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Mission</w:t>
      </w:r>
      <w:r>
        <w:t xml:space="preserve"> </w:t>
      </w:r>
      <w:r>
        <w:t xml:space="preserve">300</w:t>
      </w:r>
      <w:r>
        <w:t xml:space="preserve"> </w:t>
      </w:r>
      <w:r>
        <w:t xml:space="preserve">—</w:t>
      </w:r>
      <w:r>
        <w:t xml:space="preserve"> </w:t>
      </w:r>
      <w:r>
        <w:t xml:space="preserve">Revue</w:t>
      </w:r>
      <w:r>
        <w:t xml:space="preserve"> </w:t>
      </w:r>
      <w:r>
        <w:t xml:space="preserve">des</w:t>
      </w:r>
      <w:r>
        <w:t xml:space="preserve"> </w:t>
      </w:r>
      <w:r>
        <w:t xml:space="preserve">Pactes</w:t>
      </w:r>
      <w:r>
        <w:t xml:space="preserve"> </w:t>
      </w:r>
      <w:r>
        <w:t xml:space="preserve">nationaux</w:t>
      </w:r>
      <w:r>
        <w:t xml:space="preserve"> </w:t>
      </w:r>
      <w:r>
        <w:t xml:space="preserve">de</w:t>
      </w:r>
      <w:r>
        <w:t xml:space="preserve"> </w:t>
      </w:r>
      <w:r>
        <w:t xml:space="preserve">l’énergie</w:t>
      </w:r>
    </w:p>
    <w:p>
      <w:pPr>
        <w:pStyle w:val="Subtitle"/>
      </w:pPr>
      <w:r>
        <w:t xml:space="preserve">Phase</w:t>
      </w:r>
      <w:r>
        <w:t xml:space="preserve"> </w:t>
      </w:r>
      <w:r>
        <w:t xml:space="preserve">1</w:t>
      </w:r>
      <w:r>
        <w:t xml:space="preserve"> </w:t>
      </w:r>
      <w:r>
        <w:t xml:space="preserve">:</w:t>
      </w:r>
      <w:r>
        <w:t xml:space="preserve"> </w:t>
      </w:r>
      <w:r>
        <w:t xml:space="preserve">appropriation</w:t>
      </w:r>
      <w:r>
        <w:t xml:space="preserve"> </w:t>
      </w:r>
      <w:r>
        <w:t xml:space="preserve">des</w:t>
      </w:r>
      <w:r>
        <w:t xml:space="preserve"> </w:t>
      </w:r>
      <w:r>
        <w:t xml:space="preserve">36</w:t>
      </w:r>
      <w:r>
        <w:t xml:space="preserve"> </w:t>
      </w:r>
      <w:r>
        <w:t xml:space="preserve">pactes</w:t>
      </w:r>
      <w:r>
        <w:t xml:space="preserve"> </w:t>
      </w:r>
      <w:r>
        <w:t xml:space="preserve">nationaux</w:t>
      </w:r>
      <w:r>
        <w:t xml:space="preserve"> </w:t>
      </w:r>
      <w:r>
        <w:t xml:space="preserve">(Banque</w:t>
      </w:r>
      <w:r>
        <w:t xml:space="preserve"> </w:t>
      </w:r>
      <w:r>
        <w:t xml:space="preserve">mondiale</w:t>
      </w:r>
      <w:r>
        <w:t xml:space="preserve"> </w:t>
      </w:r>
      <w:r>
        <w:t xml:space="preserve">/</w:t>
      </w:r>
      <w:r>
        <w:t xml:space="preserve"> </w:t>
      </w:r>
      <w:r>
        <w:t xml:space="preserve">BAD)</w:t>
      </w:r>
    </w:p>
    <w:p>
      <w:pPr>
        <w:pStyle w:val="Date"/>
      </w:pPr>
      <w:r>
        <w:t xml:space="preserve">18</w:t>
      </w:r>
      <w:r>
        <w:t xml:space="preserve"> </w:t>
      </w:r>
      <w:r>
        <w:t xml:space="preserve">octobre</w:t>
      </w:r>
      <w:r>
        <w:t xml:space="preserve"> </w:t>
      </w:r>
      <w:r>
        <w:t xml:space="preserve">2026</w:t>
      </w:r>
    </w:p>
    <w:sdt>
      <w:sdtPr>
        <w:docPartObj>
          <w:docPartGallery w:val="Table of Contents"/>
          <w:docPartUnique/>
        </w:docPartObj>
      </w:sdtPr>
      <w:sdtContent>
        <w:p>
          <w:pPr>
            <w:pStyle w:val="TOCHeading"/>
          </w:pPr>
          <w:r>
            <w:t xml:space="preserve">Table des matières</w:t>
          </w:r>
        </w:p>
        <w:p>
          <w:r>
            <w:fldChar w:fldCharType="begin" w:dirty="true"/>
            <w:instrText xml:space="preserve">TOC \o "1-2" \h \z \u</w:instrText>
            <w:fldChar w:fldCharType="separate"/>
            <w:fldChar w:fldCharType="end"/>
          </w:r>
        </w:p>
      </w:sdtContent>
    </w:sdt>
    <w:bookmarkStart w:id="20" w:name="note-de-lecture"/>
    <w:p>
      <w:pPr>
        <w:pStyle w:val="Heading1"/>
      </w:pPr>
      <w:r>
        <w:t xml:space="preserve">Note de lecture</w:t>
      </w:r>
    </w:p>
    <w:p>
      <w:pPr>
        <w:pStyle w:val="FirstParagraph"/>
      </w:pPr>
      <w:r>
        <w:rPr>
          <w:bCs/>
          <w:b/>
        </w:rPr>
        <w:t xml:space="preserve">Statuts des données.</w:t>
      </w:r>
      <w:r>
        <w:t xml:space="preserve"> </w:t>
      </w:r>
      <w:r>
        <w:rPr>
          <w:bCs/>
          <w:b/>
        </w:rPr>
        <w:t xml:space="preserve">[V]</w:t>
      </w:r>
      <w:r>
        <w:t xml:space="preserve"> </w:t>
      </w:r>
      <w:r>
        <w:t xml:space="preserve">vérifié dans un document primaire (pacte, états financiers, document de projet Banque mondiale/BAD, rapport FMI ou régulateur) ·</w:t>
      </w:r>
      <w:r>
        <w:t xml:space="preserve"> </w:t>
      </w:r>
      <w:r>
        <w:rPr>
          <w:bCs/>
          <w:b/>
        </w:rPr>
        <w:t xml:space="preserve">[S]</w:t>
      </w:r>
      <w:r>
        <w:t xml:space="preserve"> </w:t>
      </w:r>
      <w:r>
        <w:t xml:space="preserve">source secondaire (presse, rapport tiers) ·</w:t>
      </w:r>
      <w:r>
        <w:t xml:space="preserve"> </w:t>
      </w:r>
      <w:r>
        <w:rPr>
          <w:bCs/>
          <w:b/>
        </w:rPr>
        <w:t xml:space="preserve">[E]</w:t>
      </w:r>
      <w:r>
        <w:t xml:space="preserve"> </w:t>
      </w:r>
      <w:r>
        <w:t xml:space="preserve">estimation ou calcul de l’équipe ·</w:t>
      </w:r>
      <w:r>
        <w:t xml:space="preserve"> </w:t>
      </w:r>
      <w:r>
        <w:rPr>
          <w:bCs/>
          <w:b/>
        </w:rPr>
        <w:t xml:space="preserve">[?]</w:t>
      </w:r>
      <w:r>
        <w:t xml:space="preserve"> </w:t>
      </w:r>
      <w:r>
        <w:t xml:space="preserve">inconnu ou non trouvé.</w:t>
      </w:r>
    </w:p>
    <w:p>
      <w:pPr>
        <w:pStyle w:val="BodyText"/>
      </w:pPr>
      <w:r>
        <w:rPr>
          <w:bCs/>
          <w:b/>
        </w:rPr>
        <w:t xml:space="preserve">Méthode.</w:t>
      </w:r>
      <w:r>
        <w:t xml:space="preserve"> </w:t>
      </w:r>
      <w:r>
        <w:t xml:space="preserve">Revue réalisée par plusieurs agents d’IA travaillant en parallèle par région, à partir des documents publics disponibles au 18 octobre 2026, suivie d’une synthèse transversale et d’un contrôle par échantillonnage (chiffres recoupés dans les PDF sources ; identifiants de projets Banque mondiale vérifiés via l’API officielle). Les chiffres des pactes sont des déclarations des gouvernements, non des données auditées.</w:t>
      </w:r>
    </w:p>
    <w:p>
      <w:pPr>
        <w:pStyle w:val="BlockText"/>
      </w:pPr>
      <w:r>
        <w:t xml:space="preserve">Phase 1 — état au 18 octobre 2026. Synthèse rédigée</w:t>
      </w:r>
      <w:r>
        <w:t xml:space="preserve"> </w:t>
      </w:r>
      <w:r>
        <w:rPr>
          <w:bCs/>
          <w:b/>
        </w:rPr>
        <w:t xml:space="preserve">uniquement</w:t>
      </w:r>
      <w:r>
        <w:t xml:space="preserve"> </w:t>
      </w:r>
      <w:r>
        <w:t xml:space="preserve">à partir de</w:t>
      </w:r>
      <w:r>
        <w:t xml:space="preserve"> </w:t>
      </w:r>
      <w:r>
        <w:rPr>
          <w:rStyle w:val="VerbatimChar"/>
        </w:rPr>
        <w:t xml:space="preserve">00_inventaire_pactes.md</w:t>
      </w:r>
      <w:r>
        <w:t xml:space="preserve"> </w:t>
      </w:r>
      <w:r>
        <w:t xml:space="preserve">et des 36 fiches de</w:t>
      </w:r>
      <w:r>
        <w:t xml:space="preserve"> </w:t>
      </w:r>
      <w:r>
        <w:rPr>
          <w:rStyle w:val="VerbatimChar"/>
        </w:rPr>
        <w:t xml:space="preserve">fiches/</w:t>
      </w:r>
      <w:r>
        <w:t xml:space="preserve">. Aucun chiffre n’a été ajouté ; les pourcentages d’actions en retard sont des calculs à partir des comptes donnés dans les fiches (marqués [E]).</w:t>
      </w:r>
      <w:r>
        <w:t xml:space="preserve"> </w:t>
      </w:r>
      <w:r>
        <w:t xml:space="preserve">Statuts repris des fiches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(y compris les classements et calculs de cette synthèse) ·</w:t>
      </w:r>
      <w:r>
        <w:t xml:space="preserve"> </w:t>
      </w:r>
      <w:r>
        <w:rPr>
          <w:bCs/>
          <w:b/>
        </w:rPr>
        <w:t xml:space="preserve">[?]</w:t>
      </w:r>
      <w:r>
        <w:t xml:space="preserve"> </w:t>
      </w:r>
      <w:r>
        <w:t xml:space="preserve">inconnu.</w:t>
      </w:r>
      <w:r>
        <w:t xml:space="preserve"> </w:t>
      </w:r>
      <w:r>
        <w:t xml:space="preserve">Convention : sauf mention contraire, une donnée citée est [V] dans la fiche correspondante. Les fiches sont désignées par leur code ISO3 (ex.</w:t>
      </w:r>
      <w:r>
        <w:t xml:space="preserve"> </w:t>
      </w:r>
      <w:r>
        <w:rPr>
          <w:rStyle w:val="VerbatimChar"/>
        </w:rPr>
        <w:t xml:space="preserve">SEN</w:t>
      </w:r>
      <w:r>
        <w:t xml:space="preserve"> </w:t>
      </w:r>
      <w:r>
        <w:t xml:space="preserve">=</w:t>
      </w:r>
      <w:r>
        <w:t xml:space="preserve"> </w:t>
      </w:r>
      <w:r>
        <w:rPr>
          <w:rStyle w:val="VerbatimChar"/>
        </w:rPr>
        <w:t xml:space="preserve">fiches/SEN_senegal.md</w:t>
      </w:r>
      <w:r>
        <w:t xml:space="preserve">).</w:t>
      </w:r>
    </w:p>
    <w:p>
      <w:r>
        <w:pict>
          <v:rect style="width:0;height:1.5pt" o:hralign="center" o:hrstd="t" o:hr="t"/>
        </w:pict>
      </w:r>
    </w:p>
    <w:bookmarkEnd w:id="20"/>
    <w:bookmarkStart w:id="21" w:name="résumé-exécutif"/>
    <w:p>
      <w:pPr>
        <w:pStyle w:val="Heading1"/>
      </w:pPr>
      <w:r>
        <w:t xml:space="preserve">1. Résumé exécutif</w:t>
      </w:r>
    </w:p>
    <w:p>
      <w:pPr>
        <w:numPr>
          <w:ilvl w:val="0"/>
          <w:numId w:val="1001"/>
        </w:numPr>
        <w:pStyle w:val="Compact"/>
      </w:pPr>
      <w:r>
        <w:t xml:space="preserve">Les 36 pactes (12 en janv. 2025, 17 + Zimbabwe en sept.-oct. 2025, 6 en juin 2026) partagent un gabarit commun : accès, renouvelables, cuisson propre, capitaux privés, et un pilier V « viabilité de l’opérateur » qui porte les engagements tarifaires (cf. inventaire).</w:t>
      </w:r>
    </w:p>
    <w:p>
      <w:pPr>
        <w:numPr>
          <w:ilvl w:val="0"/>
          <w:numId w:val="1001"/>
        </w:numPr>
        <w:pStyle w:val="Compact"/>
      </w:pPr>
      <w:r>
        <w:t xml:space="preserve">Les engagements tarifaires se répartissent ainsi [E] :</w:t>
      </w:r>
      <w:r>
        <w:t xml:space="preserve"> </w:t>
      </w:r>
      <w:r>
        <w:rPr>
          <w:bCs/>
          <w:b/>
        </w:rPr>
        <w:t xml:space="preserve">6</w:t>
      </w:r>
      <w:r>
        <w:t xml:space="preserve"> </w:t>
      </w:r>
      <w:r>
        <w:t xml:space="preserve">pactes ont une trajectoire chiffrée et datée ;</w:t>
      </w:r>
      <w:r>
        <w:t xml:space="preserve"> </w:t>
      </w:r>
      <w:r>
        <w:rPr>
          <w:bCs/>
          <w:b/>
        </w:rPr>
        <w:t xml:space="preserve">10</w:t>
      </w:r>
      <w:r>
        <w:t xml:space="preserve"> </w:t>
      </w:r>
      <w:r>
        <w:t xml:space="preserve">donnent une date de résultat (couverture des coûts) sans chiffre ;</w:t>
      </w:r>
      <w:r>
        <w:t xml:space="preserve"> </w:t>
      </w:r>
      <w:r>
        <w:rPr>
          <w:bCs/>
          <w:b/>
        </w:rPr>
        <w:t xml:space="preserve">9</w:t>
      </w:r>
      <w:r>
        <w:t xml:space="preserve"> </w:t>
      </w:r>
      <w:r>
        <w:t xml:space="preserve">ne datent que des étapes de processus (étude de coût de service, méthodologie, ordonnance) ;</w:t>
      </w:r>
      <w:r>
        <w:t xml:space="preserve"> </w:t>
      </w:r>
      <w:r>
        <w:rPr>
          <w:bCs/>
          <w:b/>
        </w:rPr>
        <w:t xml:space="preserve">8</w:t>
      </w:r>
      <w:r>
        <w:t xml:space="preserve"> </w:t>
      </w:r>
      <w:r>
        <w:t xml:space="preserve">sont vagues ou évitent le sujet ;</w:t>
      </w:r>
      <w:r>
        <w:t xml:space="preserve"> </w:t>
      </w:r>
      <w:r>
        <w:rPr>
          <w:bCs/>
          <w:b/>
        </w:rPr>
        <w:t xml:space="preserve">3</w:t>
      </w:r>
      <w:r>
        <w:t xml:space="preserve"> </w:t>
      </w:r>
      <w:r>
        <w:t xml:space="preserve">se présentent comme déjà au coût, ou visent une baisse.</w:t>
      </w:r>
    </w:p>
    <w:p>
      <w:pPr>
        <w:numPr>
          <w:ilvl w:val="0"/>
          <w:numId w:val="1001"/>
        </w:numPr>
        <w:pStyle w:val="Compact"/>
      </w:pPr>
      <w:r>
        <w:t xml:space="preserve">Le</w:t>
      </w:r>
      <w:r>
        <w:t xml:space="preserve"> </w:t>
      </w:r>
      <w:r>
        <w:rPr>
          <w:bCs/>
          <w:b/>
        </w:rPr>
        <w:t xml:space="preserve">gel tarifaire est la règle</w:t>
      </w:r>
      <w:r>
        <w:t xml:space="preserve"> </w:t>
      </w:r>
      <w:r>
        <w:t xml:space="preserve">: Congo depuis 1994, RCA depuis « trois décennies », Tchad depuis 2012, Cameroun (BT/MT) depuis 2012, Gabon depuis 2018, Bénin depuis 2020, Niger depuis 2022. Dans plusieurs pays, une méthode existe mais n’est pas appliquée (MOZ, MWI, NER, GMB).</w:t>
      </w:r>
    </w:p>
    <w:p>
      <w:pPr>
        <w:numPr>
          <w:ilvl w:val="0"/>
          <w:numId w:val="1001"/>
        </w:numPr>
        <w:pStyle w:val="Compact"/>
      </w:pPr>
      <w:r>
        <w:t xml:space="preserve">La couverture des coûts, quand elle est chiffrée, va de 36-45 % (GIN) à environ 80 % (TZA, TGO [E]). L’écart est comblé par des transferts budgétaires (MRT ≈ 2 % du PIB/an ; SLE 102 % des recettes en 2022) et par des</w:t>
      </w:r>
      <w:r>
        <w:t xml:space="preserve"> </w:t>
      </w:r>
      <w:r>
        <w:rPr>
          <w:bCs/>
          <w:b/>
        </w:rPr>
        <w:t xml:space="preserve">arriérés en chaîne</w:t>
      </w:r>
      <w:r>
        <w:t xml:space="preserve"> </w:t>
      </w:r>
      <w:r>
        <w:t xml:space="preserve">(État → opérateur → IPP), dont la dette envers les IPP de CIV : 127 M USD en 2021, 600 M USD en 2023.</w:t>
      </w:r>
    </w:p>
    <w:p>
      <w:pPr>
        <w:numPr>
          <w:ilvl w:val="0"/>
          <w:numId w:val="1001"/>
        </w:numPr>
        <w:pStyle w:val="Compact"/>
      </w:pPr>
      <w:r>
        <w:rPr>
          <w:bCs/>
          <w:b/>
        </w:rPr>
        <w:t xml:space="preserve">Les tarifs sociaux sont le maillon faible</w:t>
      </w:r>
      <w:r>
        <w:t xml:space="preserve">. Seuls environ 9 pactes prévoient un tarif social ou un lifeline daté. Les rares chiffres disponibles montrent des subventions régressives : au Nigeria, 80 % des subventions vont au quintile le plus riche ; au Congo, la structure est « régressive, sans tarif social ». La protection est souvent non financée (ETH : PSO de 163 300 USD face à des hausses ×4 à ×6 [S]).</w:t>
      </w:r>
    </w:p>
    <w:p>
      <w:pPr>
        <w:numPr>
          <w:ilvl w:val="0"/>
          <w:numId w:val="1001"/>
        </w:numPr>
        <w:pStyle w:val="Compact"/>
      </w:pPr>
      <w:r>
        <w:t xml:space="preserve">Sur la participation privée dans la distribution, les mouvements sont contradictoires : de nouvelles concessions (GHA, SLE, STP, BDI), mais aussi des retours au public (fin de la concession UMEME en Ouganda, rachat des parts d’Actis dans ENEO au Cameroun).</w:t>
      </w:r>
    </w:p>
    <w:p>
      <w:pPr>
        <w:numPr>
          <w:ilvl w:val="0"/>
          <w:numId w:val="1001"/>
        </w:numPr>
        <w:pStyle w:val="Compact"/>
      </w:pPr>
      <w:r>
        <w:rPr>
          <w:bCs/>
          <w:b/>
        </w:rPr>
        <w:t xml:space="preserve">La qualité des pactes est faible</w:t>
      </w:r>
      <w:r>
        <w:t xml:space="preserve"> </w:t>
      </w:r>
      <w:r>
        <w:t xml:space="preserve">: nombreuses incohérences internes, et copier-coller entre pactes, dont le rendement de 84,99 % et l’END de 38,8 GWh communs à CIV et TGO, et plusieurs autres cas probables (§4.6).</w:t>
      </w:r>
    </w:p>
    <w:p>
      <w:pPr>
        <w:numPr>
          <w:ilvl w:val="0"/>
          <w:numId w:val="1001"/>
        </w:numPr>
        <w:pStyle w:val="Compact"/>
      </w:pPr>
      <w:r>
        <w:rPr>
          <w:bCs/>
          <w:b/>
        </w:rPr>
        <w:t xml:space="preserve">L’exécution prend du retard.</w:t>
      </w:r>
      <w:r>
        <w:t xml:space="preserve"> </w:t>
      </w:r>
      <w:r>
        <w:t xml:space="preserve">Seuls 12 pays ont publié un rapport d’avancement. Sur 596 actions suivies, 178 sont en retard (≈ 30 % [E]) et 67 sont achevées (≈ 11 % [E]). Les actions tarifaires prioritaires sont souvent « Delayed » (CIV, MDG, BDI).</w:t>
      </w:r>
    </w:p>
    <w:p>
      <w:pPr>
        <w:numPr>
          <w:ilvl w:val="0"/>
          <w:numId w:val="1001"/>
        </w:numPr>
        <w:pStyle w:val="Compact"/>
      </w:pPr>
      <w:r>
        <w:t xml:space="preserve">Cas d’étude recommandés : SEN, CIV (+ TGO), GHA, NGA, ETH, RWA, CMR, MWI, complétés par GIN, COG, SLE, UGA et NAM (§5.4).</w:t>
      </w:r>
    </w:p>
    <w:p>
      <w:r>
        <w:pict>
          <v:rect style="width:0;height:1.5pt" o:hralign="center" o:hrstd="t" o:hr="t"/>
        </w:pict>
      </w:r>
    </w:p>
    <w:bookmarkEnd w:id="21"/>
    <w:bookmarkStart w:id="25" w:name="tableau-comparatif-des-36-pays"/>
    <w:p>
      <w:pPr>
        <w:pStyle w:val="Heading1"/>
      </w:pPr>
      <w:r>
        <w:t xml:space="preserve">2. Tableau comparatif des 36 pays</w:t>
      </w:r>
    </w:p>
    <w:p>
      <w:pPr>
        <w:pStyle w:val="FirstParagraph"/>
      </w:pPr>
      <w:r>
        <w:t xml:space="preserve">Abréviations : CoS = étude de coût de service ; CP = contrat de performance ; RR = revenu requis ; ATC&amp;C / AT&amp;C = pertes techniques, commerciales et de recouvrement ; « rendement » = rendement global du réseau (100 % − pertes). « Non mentionné » = la fiche ne signale aucun engagement de ce type. Les pourcentages de la dernière colonne sont calculés [E] à partir des comptes des rapports d’avancement cités dans les fiches.</w:t>
      </w:r>
    </w:p>
    <w:bookmarkStart w:id="22" w:name="cohorte-1-janvier-2025-dar-es-salaam"/>
    <w:p>
      <w:pPr>
        <w:pStyle w:val="Heading2"/>
      </w:pPr>
      <w:r>
        <w:t xml:space="preserve">2.1 Cohorte 1 — janvier 2025 (Dar es Salaam)</w:t>
      </w:r>
    </w:p>
    <w:tbl>
      <w:tblPr>
        <w:tblStyle w:val="Table"/>
        <w:tblW w:type="dxa" w:w="14570"/>
        <w:tblLook w:firstRow="1" w:lastRow="0" w:firstColumn="0" w:lastColumn="0" w:noHBand="0" w:noVBand="0" w:val="0020"/>
        <w:jc w:val="start"/>
      </w:tblPr>
      <w:tblGrid>
        <w:gridCol w:w="672"/>
        <w:gridCol w:w="998"/>
        <w:gridCol w:w="958"/>
        <w:gridCol w:w="883"/>
        <w:gridCol w:w="1884"/>
        <w:gridCol w:w="672"/>
        <w:gridCol w:w="2231"/>
        <w:gridCol w:w="924"/>
        <w:gridCol w:w="672"/>
        <w:gridCol w:w="1852"/>
        <w:gridCol w:w="1356"/>
        <w:gridCol w:w="672"/>
        <w:gridCol w:w="790"/>
      </w:tblGrid>
      <w:tr>
        <w:trPr>
          <w:tblHeader w:val="true"/>
        </w:trPr>
        <w:tc>
          <w:tcPr>
            <w:tcW w:w="672" w:type="dxa"/>
          </w:tcPr>
          <w:tcPr/>
          <w:p>
            <w:pPr>
              <w:pStyle w:val="Compact"/>
              <w:jc w:val="left"/>
            </w:pPr>
            <w:r>
              <w:t xml:space="preserve">Pays (fiche)</w:t>
            </w:r>
          </w:p>
        </w:tc>
        <w:tc>
          <w:tcPr>
            <w:tcW w:w="998" w:type="dxa"/>
          </w:tcPr>
          <w:tcPr/>
          <w:p>
            <w:pPr>
              <w:pStyle w:val="Compact"/>
              <w:jc w:val="left"/>
            </w:pPr>
            <w:r>
              <w:t xml:space="preserve">Opérateur</w:t>
            </w:r>
          </w:p>
        </w:tc>
        <w:tc>
          <w:tcPr>
            <w:tcW w:w="958" w:type="dxa"/>
          </w:tcPr>
          <w:tcPr/>
          <w:p>
            <w:pPr>
              <w:pStyle w:val="Compact"/>
              <w:jc w:val="left"/>
            </w:pPr>
            <w:r>
              <w:t xml:space="preserve">Cohorte / date</w:t>
            </w:r>
          </w:p>
        </w:tc>
        <w:tc>
          <w:tcPr>
            <w:tcW w:w="883" w:type="dxa"/>
          </w:tcPr>
          <w:tcPr/>
          <w:p>
            <w:pPr>
              <w:pStyle w:val="Compact"/>
              <w:jc w:val="left"/>
            </w:pPr>
            <w:r>
              <w:t xml:space="preserve">Cible accès 2030</w:t>
            </w:r>
          </w:p>
        </w:tc>
        <w:tc>
          <w:tcPr>
            <w:tcW w:w="1884" w:type="dxa"/>
          </w:tcPr>
          <w:tcPr/>
          <w:p>
            <w:pPr>
              <w:pStyle w:val="Compact"/>
              <w:jc w:val="left"/>
            </w:pPr>
            <w:r>
              <w:t xml:space="preserve">Couverture des coûts actuelle</w:t>
            </w:r>
          </w:p>
        </w:tc>
        <w:tc>
          <w:tcPr>
            <w:tcW w:w="672" w:type="dxa"/>
          </w:tcPr>
          <w:tcPr/>
          <w:p>
            <w:pPr>
              <w:pStyle w:val="Compact"/>
              <w:jc w:val="left"/>
            </w:pPr>
            <w:r>
              <w:t xml:space="preserve">Dernier ajustement / gel</w:t>
            </w:r>
          </w:p>
        </w:tc>
        <w:tc>
          <w:tcPr>
            <w:tcW w:w="2231" w:type="dxa"/>
          </w:tcPr>
          <w:tcPr/>
          <w:p>
            <w:pPr>
              <w:pStyle w:val="Compact"/>
              <w:jc w:val="left"/>
            </w:pPr>
            <w:r>
              <w:t xml:space="preserve">Engagement tarifaire principal (date)</w:t>
            </w:r>
          </w:p>
        </w:tc>
        <w:tc>
          <w:tcPr>
            <w:tcW w:w="924" w:type="dxa"/>
          </w:tcPr>
          <w:tcPr/>
          <w:p>
            <w:pPr>
              <w:pStyle w:val="Compact"/>
              <w:jc w:val="left"/>
            </w:pPr>
            <w:r>
              <w:t xml:space="preserve">Tarif social prévu</w:t>
            </w:r>
          </w:p>
        </w:tc>
        <w:tc>
          <w:tcPr>
            <w:tcW w:w="672" w:type="dxa"/>
          </w:tcPr>
          <w:tcPr/>
          <w:p>
            <w:pPr>
              <w:pStyle w:val="Compact"/>
              <w:jc w:val="left"/>
            </w:pPr>
            <w:r>
              <w:t xml:space="preserve">CoS prévue</w:t>
            </w:r>
          </w:p>
        </w:tc>
        <w:tc>
          <w:tcPr>
            <w:tcW w:w="1852" w:type="dxa"/>
          </w:tcPr>
          <w:tcPr/>
          <w:p>
            <w:pPr>
              <w:pStyle w:val="Compact"/>
              <w:jc w:val="left"/>
            </w:pPr>
            <w:r>
              <w:t xml:space="preserve">Réforme opérateur</w:t>
            </w:r>
          </w:p>
        </w:tc>
        <w:tc>
          <w:tcPr>
            <w:tcW w:w="1356" w:type="dxa"/>
          </w:tcPr>
          <w:tcPr/>
          <w:p>
            <w:pPr>
              <w:pStyle w:val="Compact"/>
              <w:jc w:val="left"/>
            </w:pPr>
            <w:r>
              <w:t xml:space="preserve">Pertes actuelles → cible</w:t>
            </w:r>
          </w:p>
        </w:tc>
        <w:tc>
          <w:tcPr>
            <w:tcW w:w="672" w:type="dxa"/>
          </w:tcPr>
          <w:tcPr/>
          <w:p>
            <w:pPr>
              <w:pStyle w:val="Compact"/>
              <w:jc w:val="left"/>
            </w:pPr>
            <w:r>
              <w:t xml:space="preserve">Rapport publié</w:t>
            </w:r>
          </w:p>
        </w:tc>
        <w:tc>
          <w:tcPr>
            <w:tcW w:w="790" w:type="dxa"/>
          </w:tcPr>
          <w:tcPr/>
          <w:p>
            <w:pPr>
              <w:pStyle w:val="Compact"/>
              <w:jc w:val="left"/>
            </w:pPr>
            <w:r>
              <w:t xml:space="preserve">% actions en retard</w:t>
            </w:r>
          </w:p>
        </w:tc>
      </w:tr>
      <w:tr>
        <w:tc>
          <w:tcPr>
            <w:tcW w:w="672" w:type="dxa"/>
          </w:tcPr>
          <w:tcPr/>
          <w:p>
            <w:pPr>
              <w:pStyle w:val="Compact"/>
              <w:jc w:val="left"/>
            </w:pPr>
            <w:r>
              <w:t xml:space="preserve">Côte d’Ivoire (CIV)</w:t>
            </w:r>
          </w:p>
        </w:tc>
        <w:tc>
          <w:tcPr>
            <w:tcW w:w="998" w:type="dxa"/>
          </w:tcPr>
          <w:tcPr/>
          <w:p>
            <w:pPr>
              <w:pStyle w:val="Compact"/>
              <w:jc w:val="left"/>
            </w:pPr>
            <w:r>
              <w:t xml:space="preserve">CI-ENERGIES (patrimoine) + CIE (privé, ouvrages concédés)</w:t>
            </w:r>
          </w:p>
        </w:tc>
        <w:tc>
          <w:tcPr>
            <w:tcW w:w="958" w:type="dxa"/>
          </w:tcPr>
          <w:tcPr/>
          <w:p>
            <w:pPr>
              <w:pStyle w:val="Compact"/>
              <w:jc w:val="left"/>
            </w:pPr>
            <w:r>
              <w:t xml:space="preserve">C1, janv. 2025</w:t>
            </w:r>
          </w:p>
        </w:tc>
        <w:tc>
          <w:tcPr>
            <w:tcW w:w="883" w:type="dxa"/>
          </w:tcPr>
          <w:tcPr/>
          <w:p>
            <w:pPr>
              <w:pStyle w:val="Compact"/>
              <w:jc w:val="left"/>
            </w:pPr>
            <w:r>
              <w:t xml:space="preserve">Desserte 64 % (2023) → 100 %</w:t>
            </w:r>
          </w:p>
        </w:tc>
        <w:tc>
          <w:tcPr>
            <w:tcW w:w="1884" w:type="dxa"/>
          </w:tcPr>
          <w:tcPr/>
          <w:p>
            <w:pPr>
              <w:pStyle w:val="Compact"/>
              <w:jc w:val="left"/>
            </w:pPr>
            <w:r>
              <w:t xml:space="preserve">Indicateur « Non » (2024), « quasi-équilibre » ; subvention 234 M USD (2023) ; tarif moyen 71,03 FCFA/kWh</w:t>
            </w:r>
          </w:p>
        </w:tc>
        <w:tc>
          <w:tcPr>
            <w:tcW w:w="672" w:type="dxa"/>
          </w:tcPr>
          <w:tcPr/>
          <w:p>
            <w:pPr>
              <w:pStyle w:val="Compact"/>
              <w:jc w:val="left"/>
            </w:pPr>
            <w:r>
              <w:t xml:space="preserve">Ajustements en 2023</w:t>
            </w:r>
          </w:p>
        </w:tc>
        <w:tc>
          <w:tcPr>
            <w:tcW w:w="2231" w:type="dxa"/>
          </w:tcPr>
          <w:tcPr/>
          <w:p>
            <w:pPr>
              <w:pStyle w:val="Compact"/>
              <w:jc w:val="left"/>
            </w:pPr>
            <w:r>
              <w:t xml:space="preserve">Plan d’assainissement financier « convergence vers les coûts réels », fin S1 2025 (</w:t>
            </w:r>
            <w:r>
              <w:rPr>
                <w:bCs/>
                <w:b/>
              </w:rPr>
              <w:t xml:space="preserve">Delayed</w:t>
            </w:r>
            <w:r>
              <w:t xml:space="preserve">)</w:t>
            </w:r>
          </w:p>
        </w:tc>
        <w:tc>
          <w:tcPr>
            <w:tcW w:w="924" w:type="dxa"/>
          </w:tcPr>
          <w:tcPr/>
          <w:p>
            <w:pPr>
              <w:pStyle w:val="Compact"/>
              <w:jc w:val="left"/>
            </w:pPr>
            <w:r>
              <w:t xml:space="preserve">Existant (décret 2016-786)</w:t>
            </w:r>
          </w:p>
        </w:tc>
        <w:tc>
          <w:tcPr>
            <w:tcW w:w="672" w:type="dxa"/>
          </w:tcPr>
          <w:tcPr/>
          <w:p>
            <w:pPr>
              <w:pStyle w:val="Compact"/>
              <w:jc w:val="left"/>
            </w:pPr>
            <w:r>
              <w:t xml:space="preserve">[?]</w:t>
            </w:r>
          </w:p>
        </w:tc>
        <w:tc>
          <w:tcPr>
            <w:tcW w:w="1852" w:type="dxa"/>
          </w:tcPr>
          <w:tcPr/>
          <w:p>
            <w:pPr>
              <w:pStyle w:val="Compact"/>
              <w:jc w:val="left"/>
            </w:pPr>
            <w:r>
              <w:t xml:space="preserve">Concession CIE existante ; révision du modèle CI-ENERGIES ; pas de CP</w:t>
            </w:r>
          </w:p>
        </w:tc>
        <w:tc>
          <w:tcPr>
            <w:tcW w:w="1356" w:type="dxa"/>
          </w:tcPr>
          <w:tcPr/>
          <w:p>
            <w:pPr>
              <w:pStyle w:val="Compact"/>
              <w:jc w:val="left"/>
            </w:pPr>
            <w:r>
              <w:t xml:space="preserve">Rendement 84,99 % (2023) → [?] ; ATC&amp;C non renseignées</w:t>
            </w:r>
          </w:p>
        </w:tc>
        <w:tc>
          <w:tcPr>
            <w:tcW w:w="672" w:type="dxa"/>
          </w:tcPr>
          <w:tcPr/>
          <w:p>
            <w:pPr>
              <w:pStyle w:val="Compact"/>
              <w:jc w:val="left"/>
            </w:pPr>
            <w:r>
              <w:t xml:space="preserve">Oui</w:t>
            </w:r>
          </w:p>
        </w:tc>
        <w:tc>
          <w:tcPr>
            <w:tcW w:w="790" w:type="dxa"/>
          </w:tcPr>
          <w:tcPr/>
          <w:p>
            <w:pPr>
              <w:pStyle w:val="Compact"/>
              <w:jc w:val="left"/>
            </w:pPr>
            <w:r>
              <w:t xml:space="preserve">6/23 ≈ 26 % (4/10 prioritaires)</w:t>
            </w:r>
          </w:p>
        </w:tc>
      </w:tr>
      <w:tr>
        <w:tc>
          <w:tcPr>
            <w:tcW w:w="672" w:type="dxa"/>
          </w:tcPr>
          <w:tcPr/>
          <w:p>
            <w:pPr>
              <w:pStyle w:val="Compact"/>
              <w:jc w:val="left"/>
            </w:pPr>
            <w:r>
              <w:t xml:space="preserve">Liberia (LBR)</w:t>
            </w:r>
          </w:p>
        </w:tc>
        <w:tc>
          <w:tcPr>
            <w:tcW w:w="998" w:type="dxa"/>
          </w:tcPr>
          <w:tcPr/>
          <w:p>
            <w:pPr>
              <w:pStyle w:val="Compact"/>
              <w:jc w:val="left"/>
            </w:pPr>
            <w:r>
              <w:t xml:space="preserve">LEC (+ 4 distributeurs privés licenciés)</w:t>
            </w:r>
          </w:p>
        </w:tc>
        <w:tc>
          <w:tcPr>
            <w:tcW w:w="958" w:type="dxa"/>
          </w:tcPr>
          <w:tcPr/>
          <w:p>
            <w:pPr>
              <w:pStyle w:val="Compact"/>
              <w:jc w:val="left"/>
            </w:pPr>
            <w:r>
              <w:t xml:space="preserve">C1, janv. 2025 (Dar es Salaam [E] fiche)</w:t>
            </w:r>
          </w:p>
        </w:tc>
        <w:tc>
          <w:tcPr>
            <w:tcW w:w="883" w:type="dxa"/>
          </w:tcPr>
          <w:tcPr/>
          <w:p>
            <w:pPr>
              <w:pStyle w:val="Compact"/>
              <w:jc w:val="left"/>
            </w:pPr>
            <w:r>
              <w:t xml:space="preserve">32,7 % → ≥ 75 %</w:t>
            </w:r>
          </w:p>
        </w:tc>
        <w:tc>
          <w:tcPr>
            <w:tcW w:w="1884" w:type="dxa"/>
          </w:tcPr>
          <w:tcPr/>
          <w:p>
            <w:pPr>
              <w:pStyle w:val="Compact"/>
              <w:jc w:val="left"/>
            </w:pPr>
            <w:r>
              <w:t xml:space="preserve">Tarif moyen 0,23 USD/kWh ; subventions « 0 » ; perte d’exploitation ≈ 37 % du CA (FY2023)</w:t>
            </w:r>
          </w:p>
        </w:tc>
        <w:tc>
          <w:tcPr>
            <w:tcW w:w="672" w:type="dxa"/>
          </w:tcPr>
          <w:tcPr/>
          <w:p>
            <w:pPr>
              <w:pStyle w:val="Compact"/>
              <w:jc w:val="left"/>
            </w:pPr>
            <w:r>
              <w:t xml:space="preserve">[?]</w:t>
            </w:r>
          </w:p>
        </w:tc>
        <w:tc>
          <w:tcPr>
            <w:tcW w:w="2231" w:type="dxa"/>
          </w:tcPr>
          <w:tcPr/>
          <w:p>
            <w:pPr>
              <w:pStyle w:val="Compact"/>
              <w:jc w:val="left"/>
            </w:pPr>
            <w:r>
              <w:t xml:space="preserve">Tarif pluriannuel reflet des coûts approuvé juin 2025, ajustements T3 2025 ; LEC à l’équilibre FY2028</w:t>
            </w:r>
          </w:p>
        </w:tc>
        <w:tc>
          <w:tcPr>
            <w:tcW w:w="924" w:type="dxa"/>
          </w:tcPr>
          <w:tcPr/>
          <w:p>
            <w:pPr>
              <w:pStyle w:val="Compact"/>
              <w:jc w:val="left"/>
            </w:pPr>
            <w:r>
              <w:t xml:space="preserve">Non</w:t>
            </w:r>
          </w:p>
        </w:tc>
        <w:tc>
          <w:tcPr>
            <w:tcW w:w="672" w:type="dxa"/>
          </w:tcPr>
          <w:tcPr/>
          <w:p>
            <w:pPr>
              <w:pStyle w:val="Compact"/>
              <w:jc w:val="left"/>
            </w:pPr>
            <w:r>
              <w:t xml:space="preserve">[?]</w:t>
            </w:r>
          </w:p>
        </w:tc>
        <w:tc>
          <w:tcPr>
            <w:tcW w:w="1852" w:type="dxa"/>
          </w:tcPr>
          <w:tcPr/>
          <w:p>
            <w:pPr>
              <w:pStyle w:val="Compact"/>
              <w:jc w:val="left"/>
            </w:pPr>
            <w:r>
              <w:t xml:space="preserve">Gouvernance (équipe dirigeante permanente) ; pas de concession ni de contrat de gestion</w:t>
            </w:r>
          </w:p>
        </w:tc>
        <w:tc>
          <w:tcPr>
            <w:tcW w:w="1356" w:type="dxa"/>
          </w:tcPr>
          <w:tcPr/>
          <w:p>
            <w:pPr>
              <w:pStyle w:val="Compact"/>
              <w:jc w:val="left"/>
            </w:pPr>
            <w:r>
              <w:t xml:space="preserve">Commerciales 27,4 % (juil. 2024) ; ATC&amp;C 45,4 % → [?]</w:t>
            </w:r>
          </w:p>
        </w:tc>
        <w:tc>
          <w:tcPr>
            <w:tcW w:w="672" w:type="dxa"/>
          </w:tcPr>
          <w:tcPr/>
          <w:p>
            <w:pPr>
              <w:pStyle w:val="Compact"/>
              <w:jc w:val="left"/>
            </w:pPr>
            <w:r>
              <w:t xml:space="preserve">Non</w:t>
            </w:r>
          </w:p>
        </w:tc>
        <w:tc>
          <w:tcPr>
            <w:tcW w:w="790" w:type="dxa"/>
          </w:tcPr>
          <w:tcPr/>
          <w:p>
            <w:pPr>
              <w:pStyle w:val="Compact"/>
              <w:jc w:val="left"/>
            </w:pPr>
            <w:r>
              <w:t xml:space="preserve">—</w:t>
            </w:r>
          </w:p>
        </w:tc>
      </w:tr>
      <w:tr>
        <w:tc>
          <w:tcPr>
            <w:tcW w:w="672" w:type="dxa"/>
          </w:tcPr>
          <w:tcPr/>
          <w:p>
            <w:pPr>
              <w:pStyle w:val="Compact"/>
              <w:jc w:val="left"/>
            </w:pPr>
            <w:r>
              <w:t xml:space="preserve">Madagascar (MDG)</w:t>
            </w:r>
          </w:p>
        </w:tc>
        <w:tc>
          <w:tcPr>
            <w:tcW w:w="998" w:type="dxa"/>
          </w:tcPr>
          <w:tcPr/>
          <w:p>
            <w:pPr>
              <w:pStyle w:val="Compact"/>
              <w:jc w:val="left"/>
            </w:pPr>
            <w:r>
              <w:t xml:space="preserve">JIRAMA</w:t>
            </w:r>
          </w:p>
        </w:tc>
        <w:tc>
          <w:tcPr>
            <w:tcW w:w="958" w:type="dxa"/>
          </w:tcPr>
          <w:tcPr/>
          <w:p>
            <w:pPr>
              <w:pStyle w:val="Compact"/>
              <w:jc w:val="left"/>
            </w:pPr>
            <w:r>
              <w:t xml:space="preserve">C1, janv. 2025</w:t>
            </w:r>
          </w:p>
        </w:tc>
        <w:tc>
          <w:tcPr>
            <w:tcW w:w="883" w:type="dxa"/>
          </w:tcPr>
          <w:tcPr/>
          <w:p>
            <w:pPr>
              <w:pStyle w:val="Compact"/>
              <w:jc w:val="left"/>
            </w:pPr>
            <w:r>
              <w:t xml:space="preserve">36 % (2022) → 80 %</w:t>
            </w:r>
          </w:p>
        </w:tc>
        <w:tc>
          <w:tcPr>
            <w:tcW w:w="1884" w:type="dxa"/>
          </w:tcPr>
          <w:tcPr/>
          <w:p>
            <w:pPr>
              <w:pStyle w:val="Compact"/>
              <w:jc w:val="left"/>
            </w:pPr>
            <w:r>
              <w:t xml:space="preserve">[?] ; déficit ≈ 250 M USD/an ; IPP ≈ 0,28 USD/kWh</w:t>
            </w:r>
          </w:p>
        </w:tc>
        <w:tc>
          <w:tcPr>
            <w:tcW w:w="672" w:type="dxa"/>
          </w:tcPr>
          <w:tcPr/>
          <w:p>
            <w:pPr>
              <w:pStyle w:val="Compact"/>
              <w:jc w:val="left"/>
            </w:pPr>
            <w:r>
              <w:t xml:space="preserve">[?]</w:t>
            </w:r>
          </w:p>
        </w:tc>
        <w:tc>
          <w:tcPr>
            <w:tcW w:w="2231" w:type="dxa"/>
          </w:tcPr>
          <w:tcPr/>
          <w:p>
            <w:pPr>
              <w:pStyle w:val="Compact"/>
              <w:jc w:val="left"/>
            </w:pPr>
            <w:r>
              <w:t xml:space="preserve">Méthodologie pluriannuelle + tarifs sociaux, déc. 2025 (</w:t>
            </w:r>
            <w:r>
              <w:rPr>
                <w:bCs/>
                <w:b/>
              </w:rPr>
              <w:t xml:space="preserve">Delayed</w:t>
            </w:r>
            <w:r>
              <w:t xml:space="preserve">) ; sortie des subventions (feuille de route juin 2025) ; coûts couverts 2030</w:t>
            </w:r>
          </w:p>
        </w:tc>
        <w:tc>
          <w:tcPr>
            <w:tcW w:w="924" w:type="dxa"/>
          </w:tcPr>
          <w:tcPr/>
          <w:p>
            <w:pPr>
              <w:pStyle w:val="Compact"/>
              <w:jc w:val="left"/>
            </w:pPr>
            <w:r>
              <w:t xml:space="preserve">Oui (déc. 2025, en retard)</w:t>
            </w:r>
          </w:p>
        </w:tc>
        <w:tc>
          <w:tcPr>
            <w:tcW w:w="672" w:type="dxa"/>
          </w:tcPr>
          <w:tcPr/>
          <w:p>
            <w:pPr>
              <w:pStyle w:val="Compact"/>
              <w:jc w:val="left"/>
            </w:pPr>
            <w:r>
              <w:t xml:space="preserve">Évaluation d’accessibilité déc. 2025 ; CoS [?]</w:t>
            </w:r>
          </w:p>
        </w:tc>
        <w:tc>
          <w:tcPr>
            <w:tcW w:w="1852" w:type="dxa"/>
          </w:tcPr>
          <w:tcPr/>
          <w:p>
            <w:pPr>
              <w:pStyle w:val="Compact"/>
              <w:jc w:val="left"/>
            </w:pPr>
            <w:r>
              <w:t xml:space="preserve">CP à signer ; plan de redressement ; concession des réseaux isolés</w:t>
            </w:r>
          </w:p>
        </w:tc>
        <w:tc>
          <w:tcPr>
            <w:tcW w:w="1356" w:type="dxa"/>
          </w:tcPr>
          <w:tcPr/>
          <w:p>
            <w:pPr>
              <w:pStyle w:val="Compact"/>
              <w:jc w:val="left"/>
            </w:pPr>
            <w:r>
              <w:t xml:space="preserve">≈ 30 % → techniques 5 % + commerciales &lt; 10 % (2030) ; « &lt; 16 % » ailleurs</w:t>
            </w:r>
          </w:p>
        </w:tc>
        <w:tc>
          <w:tcPr>
            <w:tcW w:w="672" w:type="dxa"/>
          </w:tcPr>
          <w:tcPr/>
          <w:p>
            <w:pPr>
              <w:pStyle w:val="Compact"/>
              <w:jc w:val="left"/>
            </w:pPr>
            <w:r>
              <w:t xml:space="preserve">Oui</w:t>
            </w:r>
          </w:p>
        </w:tc>
        <w:tc>
          <w:tcPr>
            <w:tcW w:w="790" w:type="dxa"/>
          </w:tcPr>
          <w:tcPr/>
          <w:p>
            <w:pPr>
              <w:pStyle w:val="Compact"/>
              <w:jc w:val="left"/>
            </w:pPr>
            <w:r>
              <w:t xml:space="preserve">10/43 ≈ 23 % (4/13 prioritaires)</w:t>
            </w:r>
          </w:p>
        </w:tc>
      </w:tr>
      <w:tr>
        <w:tc>
          <w:tcPr>
            <w:tcW w:w="672" w:type="dxa"/>
          </w:tcPr>
          <w:tcPr/>
          <w:p>
            <w:pPr>
              <w:pStyle w:val="Compact"/>
              <w:jc w:val="left"/>
            </w:pPr>
            <w:r>
              <w:t xml:space="preserve">Malawi (MWI)</w:t>
            </w:r>
          </w:p>
        </w:tc>
        <w:tc>
          <w:tcPr>
            <w:tcW w:w="998" w:type="dxa"/>
          </w:tcPr>
          <w:tcPr/>
          <w:p>
            <w:pPr>
              <w:pStyle w:val="Compact"/>
              <w:jc w:val="left"/>
            </w:pPr>
            <w:r>
              <w:t xml:space="preserve">ESCOM (acheteur unique) ; EGENCO</w:t>
            </w:r>
          </w:p>
        </w:tc>
        <w:tc>
          <w:tcPr>
            <w:tcW w:w="958" w:type="dxa"/>
          </w:tcPr>
          <w:tcPr/>
          <w:p>
            <w:pPr>
              <w:pStyle w:val="Compact"/>
              <w:jc w:val="left"/>
            </w:pPr>
            <w:r>
              <w:t xml:space="preserve">C1, janv. 2025</w:t>
            </w:r>
          </w:p>
        </w:tc>
        <w:tc>
          <w:tcPr>
            <w:tcW w:w="883" w:type="dxa"/>
          </w:tcPr>
          <w:tcPr/>
          <w:p>
            <w:pPr>
              <w:pStyle w:val="Compact"/>
              <w:jc w:val="left"/>
            </w:pPr>
            <w:r>
              <w:t xml:space="preserve">25,9 % → 70 %</w:t>
            </w:r>
          </w:p>
        </w:tc>
        <w:tc>
          <w:tcPr>
            <w:tcW w:w="1884" w:type="dxa"/>
          </w:tcPr>
          <w:tcPr/>
          <w:p>
            <w:pPr>
              <w:pStyle w:val="Compact"/>
              <w:jc w:val="left"/>
            </w:pPr>
            <w:r>
              <w:t xml:space="preserve">77 % (tarif 0,09 contre 0,12 USD/kWh) ; ratio ESCOM 87 % (2023)</w:t>
            </w:r>
          </w:p>
        </w:tc>
        <w:tc>
          <w:tcPr>
            <w:tcW w:w="672" w:type="dxa"/>
          </w:tcPr>
          <w:tcPr/>
          <w:p>
            <w:pPr>
              <w:pStyle w:val="Compact"/>
              <w:jc w:val="left"/>
            </w:pPr>
            <w:r>
              <w:t xml:space="preserve">Base 2023-2027 approuvée ; formule automatique (ATAF) non appliquée</w:t>
            </w:r>
          </w:p>
        </w:tc>
        <w:tc>
          <w:tcPr>
            <w:tcW w:w="2231" w:type="dxa"/>
          </w:tcPr>
          <w:tcPr/>
          <w:p>
            <w:pPr>
              <w:pStyle w:val="Compact"/>
              <w:jc w:val="left"/>
            </w:pPr>
            <w:r>
              <w:t xml:space="preserve">Appliquer les grilles et l’ATAF, 2025-2027 (priorité « dans les temps »)</w:t>
            </w:r>
          </w:p>
        </w:tc>
        <w:tc>
          <w:tcPr>
            <w:tcW w:w="924" w:type="dxa"/>
          </w:tcPr>
          <w:tcPr/>
          <w:p>
            <w:pPr>
              <w:pStyle w:val="Compact"/>
              <w:jc w:val="left"/>
            </w:pPr>
            <w:r>
              <w:t xml:space="preserve">Non (réseau)</w:t>
            </w:r>
          </w:p>
        </w:tc>
        <w:tc>
          <w:tcPr>
            <w:tcW w:w="672" w:type="dxa"/>
          </w:tcPr>
          <w:tcPr/>
          <w:p>
            <w:pPr>
              <w:pStyle w:val="Compact"/>
              <w:jc w:val="left"/>
            </w:pPr>
            <w:r>
              <w:t xml:space="preserve">[?]</w:t>
            </w:r>
          </w:p>
        </w:tc>
        <w:tc>
          <w:tcPr>
            <w:tcW w:w="1852" w:type="dxa"/>
          </w:tcPr>
          <w:tcPr/>
          <w:p>
            <w:pPr>
              <w:pStyle w:val="Compact"/>
              <w:jc w:val="left"/>
            </w:pPr>
            <w:r>
              <w:t xml:space="preserve">Revue fonctionnelle ESCOM (</w:t>
            </w:r>
            <w:r>
              <w:rPr>
                <w:bCs/>
                <w:b/>
              </w:rPr>
              <w:t xml:space="preserve">en retard</w:t>
            </w:r>
            <w:r>
              <w:t xml:space="preserve">) ; ouverture T&amp;D au privé (</w:t>
            </w:r>
            <w:r>
              <w:rPr>
                <w:bCs/>
                <w:b/>
              </w:rPr>
              <w:t xml:space="preserve">en retard</w:t>
            </w:r>
            <w:r>
              <w:t xml:space="preserve">)</w:t>
            </w:r>
          </w:p>
        </w:tc>
        <w:tc>
          <w:tcPr>
            <w:tcW w:w="1356" w:type="dxa"/>
          </w:tcPr>
          <w:tcPr/>
          <w:p>
            <w:pPr>
              <w:pStyle w:val="Compact"/>
              <w:jc w:val="left"/>
            </w:pPr>
            <w:r>
              <w:t xml:space="preserve">ATCC 20,73 % → « 17 % par an » (ambigu)</w:t>
            </w:r>
          </w:p>
        </w:tc>
        <w:tc>
          <w:tcPr>
            <w:tcW w:w="672" w:type="dxa"/>
          </w:tcPr>
          <w:tcPr/>
          <w:p>
            <w:pPr>
              <w:pStyle w:val="Compact"/>
              <w:jc w:val="left"/>
            </w:pPr>
            <w:r>
              <w:t xml:space="preserve">Oui</w:t>
            </w:r>
          </w:p>
        </w:tc>
        <w:tc>
          <w:tcPr>
            <w:tcW w:w="790" w:type="dxa"/>
          </w:tcPr>
          <w:tcPr/>
          <w:p>
            <w:pPr>
              <w:pStyle w:val="Compact"/>
              <w:jc w:val="left"/>
            </w:pPr>
            <w:r>
              <w:t xml:space="preserve">28/68 ≈ 41 % (3/13 prioritaires)</w:t>
            </w:r>
          </w:p>
        </w:tc>
      </w:tr>
      <w:tr>
        <w:tc>
          <w:tcPr>
            <w:tcW w:w="672" w:type="dxa"/>
          </w:tcPr>
          <w:tcPr/>
          <w:p>
            <w:pPr>
              <w:pStyle w:val="Compact"/>
              <w:jc w:val="left"/>
            </w:pPr>
            <w:r>
              <w:t xml:space="preserve">Mauritanie (MRT)</w:t>
            </w:r>
          </w:p>
        </w:tc>
        <w:tc>
          <w:tcPr>
            <w:tcW w:w="998" w:type="dxa"/>
          </w:tcPr>
          <w:tcPr/>
          <w:p>
            <w:pPr>
              <w:pStyle w:val="Compact"/>
              <w:jc w:val="left"/>
            </w:pPr>
            <w:r>
              <w:t xml:space="preserve">SOMELEC (restructurée en 4 entités) ; 21 centres isolés en affermage</w:t>
            </w:r>
          </w:p>
        </w:tc>
        <w:tc>
          <w:tcPr>
            <w:tcW w:w="958" w:type="dxa"/>
          </w:tcPr>
          <w:tcPr/>
          <w:p>
            <w:pPr>
              <w:pStyle w:val="Compact"/>
              <w:jc w:val="left"/>
            </w:pPr>
            <w:r>
              <w:t xml:space="preserve">Page BM janv. 2025 ; document daté déc. 2024 ; cohorte [?] dans la fiche</w:t>
            </w:r>
          </w:p>
        </w:tc>
        <w:tc>
          <w:tcPr>
            <w:tcW w:w="883" w:type="dxa"/>
          </w:tcPr>
          <w:tcPr/>
          <w:p>
            <w:pPr>
              <w:pStyle w:val="Compact"/>
              <w:jc w:val="left"/>
            </w:pPr>
            <w:r>
              <w:t xml:space="preserve">55 % → 100 %</w:t>
            </w:r>
          </w:p>
        </w:tc>
        <w:tc>
          <w:tcPr>
            <w:tcW w:w="1884" w:type="dxa"/>
          </w:tcPr>
          <w:tcPr/>
          <w:p>
            <w:pPr>
              <w:pStyle w:val="Compact"/>
              <w:jc w:val="left"/>
            </w:pPr>
            <w:r>
              <w:t xml:space="preserve">Indicateur « Non » ; transferts ≈ 2 % du PIB/an</w:t>
            </w:r>
          </w:p>
        </w:tc>
        <w:tc>
          <w:tcPr>
            <w:tcW w:w="672" w:type="dxa"/>
          </w:tcPr>
          <w:tcPr/>
          <w:p>
            <w:pPr>
              <w:pStyle w:val="Compact"/>
              <w:jc w:val="left"/>
            </w:pPr>
            <w:r>
              <w:t xml:space="preserve">[?]</w:t>
            </w:r>
          </w:p>
        </w:tc>
        <w:tc>
          <w:tcPr>
            <w:tcW w:w="2231" w:type="dxa"/>
          </w:tcPr>
          <w:tcPr/>
          <w:p>
            <w:pPr>
              <w:pStyle w:val="Compact"/>
              <w:jc w:val="left"/>
            </w:pPr>
            <w:r>
              <w:rPr>
                <w:bCs/>
                <w:b/>
              </w:rPr>
              <w:t xml:space="preserve">Aucun</w:t>
            </w:r>
            <w:r>
              <w:t xml:space="preserve"> </w:t>
            </w:r>
            <w:r>
              <w:t xml:space="preserve">; « alternatives à l’augmentation de tarif »</w:t>
            </w:r>
          </w:p>
        </w:tc>
        <w:tc>
          <w:tcPr>
            <w:tcW w:w="924" w:type="dxa"/>
          </w:tcPr>
          <w:tcPr/>
          <w:p>
            <w:pPr>
              <w:pStyle w:val="Compact"/>
              <w:jc w:val="left"/>
            </w:pPr>
            <w:r>
              <w:t xml:space="preserve">Existant (6,47 c$/kWh)</w:t>
            </w:r>
          </w:p>
        </w:tc>
        <w:tc>
          <w:tcPr>
            <w:tcW w:w="672" w:type="dxa"/>
          </w:tcPr>
          <w:tcPr/>
          <w:p>
            <w:pPr>
              <w:pStyle w:val="Compact"/>
              <w:jc w:val="left"/>
            </w:pPr>
            <w:r>
              <w:t xml:space="preserve">Non mentionné</w:t>
            </w:r>
          </w:p>
        </w:tc>
        <w:tc>
          <w:tcPr>
            <w:tcW w:w="1852" w:type="dxa"/>
          </w:tcPr>
          <w:tcPr/>
          <w:p>
            <w:pPr>
              <w:pStyle w:val="Compact"/>
              <w:jc w:val="left"/>
            </w:pPr>
            <w:r>
              <w:t xml:space="preserve">Restructuration en holding ; affermage des centres isolés</w:t>
            </w:r>
          </w:p>
        </w:tc>
        <w:tc>
          <w:tcPr>
            <w:tcW w:w="1356" w:type="dxa"/>
          </w:tcPr>
          <w:tcPr/>
          <w:p>
            <w:pPr>
              <w:pStyle w:val="Compact"/>
              <w:jc w:val="left"/>
            </w:pPr>
            <w:r>
              <w:t xml:space="preserve">Rendement 77,47 % (2023) → 80 % ; pertes 30 % ou 18 % (ATC&amp;C, lecture ambiguë)</w:t>
            </w:r>
          </w:p>
        </w:tc>
        <w:tc>
          <w:tcPr>
            <w:tcW w:w="672" w:type="dxa"/>
          </w:tcPr>
          <w:tcPr/>
          <w:p>
            <w:pPr>
              <w:pStyle w:val="Compact"/>
              <w:jc w:val="left"/>
            </w:pPr>
            <w:r>
              <w:t xml:space="preserve">Non</w:t>
            </w:r>
          </w:p>
        </w:tc>
        <w:tc>
          <w:tcPr>
            <w:tcW w:w="790" w:type="dxa"/>
          </w:tcPr>
          <w:tcPr/>
          <w:p>
            <w:pPr>
              <w:pStyle w:val="Compact"/>
              <w:jc w:val="left"/>
            </w:pPr>
            <w:r>
              <w:t xml:space="preserve">—</w:t>
            </w:r>
          </w:p>
        </w:tc>
      </w:tr>
      <w:tr>
        <w:tc>
          <w:tcPr>
            <w:tcW w:w="672" w:type="dxa"/>
          </w:tcPr>
          <w:tcPr/>
          <w:p>
            <w:pPr>
              <w:pStyle w:val="Compact"/>
              <w:jc w:val="left"/>
            </w:pPr>
            <w:r>
              <w:t xml:space="preserve">Niger (NER)</w:t>
            </w:r>
          </w:p>
        </w:tc>
        <w:tc>
          <w:tcPr>
            <w:tcW w:w="998" w:type="dxa"/>
          </w:tcPr>
          <w:tcPr/>
          <w:p>
            <w:pPr>
              <w:pStyle w:val="Compact"/>
              <w:jc w:val="left"/>
            </w:pPr>
            <w:r>
              <w:t xml:space="preserve">NIGELEC</w:t>
            </w:r>
          </w:p>
        </w:tc>
        <w:tc>
          <w:tcPr>
            <w:tcW w:w="958" w:type="dxa"/>
          </w:tcPr>
          <w:tcPr/>
          <w:p>
            <w:pPr>
              <w:pStyle w:val="Compact"/>
              <w:jc w:val="left"/>
            </w:pPr>
            <w:r>
              <w:t xml:space="preserve">C1, janv. 2025</w:t>
            </w:r>
          </w:p>
        </w:tc>
        <w:tc>
          <w:tcPr>
            <w:tcW w:w="883" w:type="dxa"/>
          </w:tcPr>
          <w:tcPr/>
          <w:p>
            <w:pPr>
              <w:pStyle w:val="Compact"/>
              <w:jc w:val="left"/>
            </w:pPr>
            <w:r>
              <w:t xml:space="preserve">20,84 % (2022) → 60 %</w:t>
            </w:r>
          </w:p>
        </w:tc>
        <w:tc>
          <w:tcPr>
            <w:tcW w:w="1884" w:type="dxa"/>
          </w:tcPr>
          <w:tcPr/>
          <w:p>
            <w:pPr>
              <w:pStyle w:val="Compact"/>
              <w:jc w:val="left"/>
            </w:pPr>
            <w:r>
              <w:t xml:space="preserve">[?] ; pertes de 15 Md FCFA compensées par l’État ; subvention 20,63 M USD (2023)</w:t>
            </w:r>
          </w:p>
        </w:tc>
        <w:tc>
          <w:tcPr>
            <w:tcW w:w="672" w:type="dxa"/>
          </w:tcPr>
          <w:tcPr/>
          <w:p>
            <w:pPr>
              <w:pStyle w:val="Compact"/>
              <w:jc w:val="left"/>
            </w:pPr>
            <w:r>
              <w:t xml:space="preserve">Aucun ajustement depuis 2022 (hausse calculée par l’ARSE non appliquée)</w:t>
            </w:r>
          </w:p>
        </w:tc>
        <w:tc>
          <w:tcPr>
            <w:tcW w:w="2231" w:type="dxa"/>
          </w:tcPr>
          <w:tcPr/>
          <w:p>
            <w:pPr>
              <w:pStyle w:val="Compact"/>
              <w:jc w:val="left"/>
            </w:pPr>
            <w:r>
              <w:t xml:space="preserve">Plan de viabilité de la NIGELEC en 2025 : « tarifs …</w:t>
            </w:r>
            <w:r>
              <w:t xml:space="preserve"> </w:t>
            </w:r>
            <w:r>
              <w:rPr>
                <w:bCs/>
                <w:b/>
              </w:rPr>
              <w:t xml:space="preserve">et/ou</w:t>
            </w:r>
            <w:r>
              <w:t xml:space="preserve"> </w:t>
            </w:r>
            <w:r>
              <w:t xml:space="preserve">subvention » (rapport : échéance 31/12/2026, « On Track »)</w:t>
            </w:r>
          </w:p>
        </w:tc>
        <w:tc>
          <w:tcPr>
            <w:tcW w:w="924" w:type="dxa"/>
          </w:tcPr>
          <w:tcPr/>
          <w:p>
            <w:pPr>
              <w:pStyle w:val="Compact"/>
              <w:jc w:val="left"/>
            </w:pPr>
            <w:r>
              <w:t xml:space="preserve">Existant (tranche sociale, méthodologie 2018)</w:t>
            </w:r>
          </w:p>
        </w:tc>
        <w:tc>
          <w:tcPr>
            <w:tcW w:w="672" w:type="dxa"/>
          </w:tcPr>
          <w:tcPr/>
          <w:p>
            <w:pPr>
              <w:pStyle w:val="Compact"/>
              <w:jc w:val="left"/>
            </w:pPr>
            <w:r>
              <w:t xml:space="preserve">Étude ARSE existante, non appliquée</w:t>
            </w:r>
          </w:p>
        </w:tc>
        <w:tc>
          <w:tcPr>
            <w:tcW w:w="1852" w:type="dxa"/>
          </w:tcPr>
          <w:tcPr/>
          <w:p>
            <w:pPr>
              <w:pStyle w:val="Compact"/>
              <w:jc w:val="left"/>
            </w:pPr>
            <w:r>
              <w:t xml:space="preserve">Plan de viabilité ; comptes audités (</w:t>
            </w:r>
            <w:r>
              <w:rPr>
                <w:bCs/>
                <w:b/>
              </w:rPr>
              <w:t xml:space="preserve">Delayed</w:t>
            </w:r>
            <w:r>
              <w:t xml:space="preserve">)</w:t>
            </w:r>
          </w:p>
        </w:tc>
        <w:tc>
          <w:tcPr>
            <w:tcW w:w="1356" w:type="dxa"/>
          </w:tcPr>
          <w:tcPr/>
          <w:p>
            <w:pPr>
              <w:pStyle w:val="Compact"/>
              <w:jc w:val="left"/>
            </w:pPr>
            <w:r>
              <w:t xml:space="preserve">Transport 10,27 % + distribution 11 % → [?]</w:t>
            </w:r>
          </w:p>
        </w:tc>
        <w:tc>
          <w:tcPr>
            <w:tcW w:w="672" w:type="dxa"/>
          </w:tcPr>
          <w:tcPr/>
          <w:p>
            <w:pPr>
              <w:pStyle w:val="Compact"/>
              <w:jc w:val="left"/>
            </w:pPr>
            <w:r>
              <w:t xml:space="preserve">Oui</w:t>
            </w:r>
          </w:p>
        </w:tc>
        <w:tc>
          <w:tcPr>
            <w:tcW w:w="790" w:type="dxa"/>
          </w:tcPr>
          <w:tcPr/>
          <w:p>
            <w:pPr>
              <w:pStyle w:val="Compact"/>
              <w:jc w:val="left"/>
            </w:pPr>
            <w:r>
              <w:t xml:space="preserve">9/21 ≈ 43 % (4/10 prioritaires)</w:t>
            </w:r>
          </w:p>
        </w:tc>
      </w:tr>
      <w:tr>
        <w:tc>
          <w:tcPr>
            <w:tcW w:w="672" w:type="dxa"/>
          </w:tcPr>
          <w:tcPr/>
          <w:p>
            <w:pPr>
              <w:pStyle w:val="Compact"/>
              <w:jc w:val="left"/>
            </w:pPr>
            <w:r>
              <w:t xml:space="preserve">Nigeria (NGA)</w:t>
            </w:r>
          </w:p>
        </w:tc>
        <w:tc>
          <w:tcPr>
            <w:tcW w:w="998" w:type="dxa"/>
          </w:tcPr>
          <w:tcPr/>
          <w:p>
            <w:pPr>
              <w:pStyle w:val="Compact"/>
              <w:jc w:val="left"/>
            </w:pPr>
            <w:r>
              <w:t xml:space="preserve">GENCOs et DISCOs privées ; TCN ; NBET</w:t>
            </w:r>
          </w:p>
        </w:tc>
        <w:tc>
          <w:tcPr>
            <w:tcW w:w="958" w:type="dxa"/>
          </w:tcPr>
          <w:tcPr/>
          <w:p>
            <w:pPr>
              <w:pStyle w:val="Compact"/>
              <w:jc w:val="left"/>
            </w:pPr>
            <w:r>
              <w:t xml:space="preserve">C1, janv. 2025</w:t>
            </w:r>
          </w:p>
        </w:tc>
        <w:tc>
          <w:tcPr>
            <w:tcW w:w="883" w:type="dxa"/>
          </w:tcPr>
          <w:tcPr/>
          <w:p>
            <w:pPr>
              <w:pStyle w:val="Compact"/>
              <w:jc w:val="left"/>
            </w:pPr>
            <w:r>
              <w:t xml:space="preserve">61 % (2022) → 100 %</w:t>
            </w:r>
          </w:p>
        </w:tc>
        <w:tc>
          <w:tcPr>
            <w:tcW w:w="1884" w:type="dxa"/>
          </w:tcPr>
          <w:tcPr/>
          <w:p>
            <w:pPr>
              <w:pStyle w:val="Compact"/>
              <w:jc w:val="left"/>
            </w:pPr>
            <w:r>
              <w:t xml:space="preserve">Indicateur « No » ; déficit tarifaire de 2 200 Md NGN attendu en 2024</w:t>
            </w:r>
          </w:p>
        </w:tc>
        <w:tc>
          <w:tcPr>
            <w:tcW w:w="672" w:type="dxa"/>
          </w:tcPr>
          <w:tcPr/>
          <w:p>
            <w:pPr>
              <w:pStyle w:val="Compact"/>
              <w:jc w:val="left"/>
            </w:pPr>
            <w:r>
              <w:t xml:space="preserve">[?]</w:t>
            </w:r>
          </w:p>
        </w:tc>
        <w:tc>
          <w:tcPr>
            <w:tcW w:w="2231" w:type="dxa"/>
          </w:tcPr>
          <w:tcPr/>
          <w:p>
            <w:pPr>
              <w:pStyle w:val="Compact"/>
              <w:jc w:val="left"/>
            </w:pPr>
            <w:r>
              <w:t xml:space="preserve">Subvention plate (ou 50 premiers kWh) dès 2025 ; tarif pleinement reflet des coûts + tarif social ≤ 2027 ; ajustements trimestriels</w:t>
            </w:r>
          </w:p>
        </w:tc>
        <w:tc>
          <w:tcPr>
            <w:tcW w:w="924" w:type="dxa"/>
          </w:tcPr>
          <w:tcPr/>
          <w:p>
            <w:pPr>
              <w:pStyle w:val="Compact"/>
              <w:jc w:val="left"/>
            </w:pPr>
            <w:r>
              <w:t xml:space="preserve">Oui (≤ 2027)</w:t>
            </w:r>
          </w:p>
        </w:tc>
        <w:tc>
          <w:tcPr>
            <w:tcW w:w="672" w:type="dxa"/>
          </w:tcPr>
          <w:tcPr/>
          <w:p>
            <w:pPr>
              <w:pStyle w:val="Compact"/>
              <w:jc w:val="left"/>
            </w:pPr>
            <w:r>
              <w:t xml:space="preserve">[?]</w:t>
            </w:r>
          </w:p>
        </w:tc>
        <w:tc>
          <w:tcPr>
            <w:tcW w:w="1852" w:type="dxa"/>
          </w:tcPr>
          <w:tcPr/>
          <w:p>
            <w:pPr>
              <w:pStyle w:val="Compact"/>
              <w:jc w:val="left"/>
            </w:pPr>
            <w:r>
              <w:t xml:space="preserve">Affermage des DISCOs défaillantes ; dégroupage de TCN (ISO/TSP) ; PIP</w:t>
            </w:r>
          </w:p>
        </w:tc>
        <w:tc>
          <w:tcPr>
            <w:tcW w:w="1356" w:type="dxa"/>
          </w:tcPr>
          <w:tcPr/>
          <w:p>
            <w:pPr>
              <w:pStyle w:val="Compact"/>
              <w:jc w:val="left"/>
            </w:pPr>
            <w:r>
              <w:t xml:space="preserve">ATC&amp;C 42 % ou 47 % → « aggressive targets » non chiffrées</w:t>
            </w:r>
          </w:p>
        </w:tc>
        <w:tc>
          <w:tcPr>
            <w:tcW w:w="672" w:type="dxa"/>
          </w:tcPr>
          <w:tcPr/>
          <w:p>
            <w:pPr>
              <w:pStyle w:val="Compact"/>
              <w:jc w:val="left"/>
            </w:pPr>
            <w:r>
              <w:t xml:space="preserve">Oui</w:t>
            </w:r>
          </w:p>
        </w:tc>
        <w:tc>
          <w:tcPr>
            <w:tcW w:w="790" w:type="dxa"/>
          </w:tcPr>
          <w:tcPr/>
          <w:p>
            <w:pPr>
              <w:pStyle w:val="Compact"/>
              <w:jc w:val="left"/>
            </w:pPr>
            <w:r>
              <w:t xml:space="preserve">18/49 ≈ 37 % (4 prioritaires)</w:t>
            </w:r>
          </w:p>
        </w:tc>
      </w:tr>
      <w:tr>
        <w:tc>
          <w:tcPr>
            <w:tcW w:w="672" w:type="dxa"/>
          </w:tcPr>
          <w:tcPr/>
          <w:p>
            <w:pPr>
              <w:pStyle w:val="Compact"/>
              <w:jc w:val="left"/>
            </w:pPr>
            <w:r>
              <w:t xml:space="preserve">RD Congo (COD)</w:t>
            </w:r>
          </w:p>
        </w:tc>
        <w:tc>
          <w:tcPr>
            <w:tcW w:w="998" w:type="dxa"/>
          </w:tcPr>
          <w:tcPr/>
          <w:p>
            <w:pPr>
              <w:pStyle w:val="Compact"/>
              <w:jc w:val="left"/>
            </w:pPr>
            <w:r>
              <w:t xml:space="preserve">SNEL (+ 2e opérateur public prévu)</w:t>
            </w:r>
          </w:p>
        </w:tc>
        <w:tc>
          <w:tcPr>
            <w:tcW w:w="958" w:type="dxa"/>
          </w:tcPr>
          <w:tcPr/>
          <w:p>
            <w:pPr>
              <w:pStyle w:val="Compact"/>
              <w:jc w:val="left"/>
            </w:pPr>
            <w:r>
              <w:t xml:space="preserve">C1, janv. 2025</w:t>
            </w:r>
          </w:p>
        </w:tc>
        <w:tc>
          <w:tcPr>
            <w:tcW w:w="883" w:type="dxa"/>
          </w:tcPr>
          <w:tcPr/>
          <w:p>
            <w:pPr>
              <w:pStyle w:val="Compact"/>
              <w:jc w:val="left"/>
            </w:pPr>
            <w:r>
              <w:t xml:space="preserve">21,5 % → 62 %</w:t>
            </w:r>
          </w:p>
        </w:tc>
        <w:tc>
          <w:tcPr>
            <w:tcW w:w="1884" w:type="dxa"/>
          </w:tcPr>
          <w:tcPr/>
          <w:p>
            <w:pPr>
              <w:pStyle w:val="Compact"/>
              <w:jc w:val="left"/>
            </w:pPr>
            <w:r>
              <w:t xml:space="preserve">Tarif ≈ 9 c USD/kWh contre « coût moyen » de 0,4 USD/kWh (annexe, mal défini)</w:t>
            </w:r>
          </w:p>
        </w:tc>
        <w:tc>
          <w:tcPr>
            <w:tcW w:w="672" w:type="dxa"/>
          </w:tcPr>
          <w:tcPr/>
          <w:p>
            <w:pPr>
              <w:pStyle w:val="Compact"/>
              <w:jc w:val="left"/>
            </w:pPr>
            <w:r>
              <w:t xml:space="preserve">[?]</w:t>
            </w:r>
          </w:p>
        </w:tc>
        <w:tc>
          <w:tcPr>
            <w:tcW w:w="2231" w:type="dxa"/>
          </w:tcPr>
          <w:tcPr/>
          <w:p>
            <w:pPr>
              <w:pStyle w:val="Compact"/>
              <w:jc w:val="left"/>
            </w:pPr>
            <w:r>
              <w:t xml:space="preserve">Régime tarifaire couvrant les coûts, janv. 2026 ; 100 % des coûts opérationnels en 2029 (indicateur : 95 %)</w:t>
            </w:r>
          </w:p>
        </w:tc>
        <w:tc>
          <w:tcPr>
            <w:tcW w:w="924" w:type="dxa"/>
          </w:tcPr>
          <w:tcPr/>
          <w:p>
            <w:pPr>
              <w:pStyle w:val="Compact"/>
              <w:jc w:val="left"/>
            </w:pPr>
            <w:r>
              <w:t xml:space="preserve">Non mentionné</w:t>
            </w:r>
          </w:p>
        </w:tc>
        <w:tc>
          <w:tcPr>
            <w:tcW w:w="672" w:type="dxa"/>
          </w:tcPr>
          <w:tcPr/>
          <w:p>
            <w:pPr>
              <w:pStyle w:val="Compact"/>
              <w:jc w:val="left"/>
            </w:pPr>
            <w:r>
              <w:t xml:space="preserve">[?]</w:t>
            </w:r>
          </w:p>
        </w:tc>
        <w:tc>
          <w:tcPr>
            <w:tcW w:w="1852" w:type="dxa"/>
          </w:tcPr>
          <w:tcPr/>
          <w:p>
            <w:pPr>
              <w:pStyle w:val="Compact"/>
              <w:jc w:val="left"/>
            </w:pPr>
            <w:r>
              <w:t xml:space="preserve">Plan de redressement ; CP ; séparation interne fin 2026 ; 2e opérateur public</w:t>
            </w:r>
          </w:p>
        </w:tc>
        <w:tc>
          <w:tcPr>
            <w:tcW w:w="1356" w:type="dxa"/>
          </w:tcPr>
          <w:tcPr/>
          <w:p>
            <w:pPr>
              <w:pStyle w:val="Compact"/>
              <w:jc w:val="left"/>
            </w:pPr>
            <w:r>
              <w:t xml:space="preserve">46 % (2022) → 15 %</w:t>
            </w:r>
          </w:p>
        </w:tc>
        <w:tc>
          <w:tcPr>
            <w:tcW w:w="672" w:type="dxa"/>
          </w:tcPr>
          <w:tcPr/>
          <w:p>
            <w:pPr>
              <w:pStyle w:val="Compact"/>
              <w:jc w:val="left"/>
            </w:pPr>
            <w:r>
              <w:t xml:space="preserve">Oui</w:t>
            </w:r>
          </w:p>
        </w:tc>
        <w:tc>
          <w:tcPr>
            <w:tcW w:w="790" w:type="dxa"/>
          </w:tcPr>
          <w:tcPr/>
          <w:p>
            <w:pPr>
              <w:pStyle w:val="Compact"/>
              <w:jc w:val="left"/>
            </w:pPr>
            <w:r>
              <w:t xml:space="preserve">14/44 ≈ 32 % (5 prioritaires ; 0 achevée)</w:t>
            </w:r>
          </w:p>
        </w:tc>
      </w:tr>
      <w:tr>
        <w:tc>
          <w:tcPr>
            <w:tcW w:w="672" w:type="dxa"/>
          </w:tcPr>
          <w:tcPr/>
          <w:p>
            <w:pPr>
              <w:pStyle w:val="Compact"/>
              <w:jc w:val="left"/>
            </w:pPr>
            <w:r>
              <w:t xml:space="preserve">Sénégal (SEN)</w:t>
            </w:r>
          </w:p>
        </w:tc>
        <w:tc>
          <w:tcPr>
            <w:tcW w:w="998" w:type="dxa"/>
          </w:tcPr>
          <w:tcPr/>
          <w:p>
            <w:pPr>
              <w:pStyle w:val="Compact"/>
              <w:jc w:val="left"/>
            </w:pPr>
            <w:r>
              <w:t xml:space="preserve">SENELEC (+ concessionnaires CER)</w:t>
            </w:r>
          </w:p>
        </w:tc>
        <w:tc>
          <w:tcPr>
            <w:tcW w:w="958" w:type="dxa"/>
          </w:tcPr>
          <w:tcPr/>
          <w:p>
            <w:pPr>
              <w:pStyle w:val="Compact"/>
              <w:jc w:val="left"/>
            </w:pPr>
            <w:r>
              <w:t xml:space="preserve">C1, janv. 2025</w:t>
            </w:r>
          </w:p>
        </w:tc>
        <w:tc>
          <w:tcPr>
            <w:tcW w:w="883" w:type="dxa"/>
          </w:tcPr>
          <w:tcPr/>
          <w:p>
            <w:pPr>
              <w:pStyle w:val="Compact"/>
              <w:jc w:val="left"/>
            </w:pPr>
            <w:r>
              <w:t xml:space="preserve">84 % (2023) → 100 % dès 2029</w:t>
            </w:r>
          </w:p>
        </w:tc>
        <w:tc>
          <w:tcPr>
            <w:tcW w:w="1884" w:type="dxa"/>
          </w:tcPr>
          <w:tcPr/>
          <w:p>
            <w:pPr>
              <w:pStyle w:val="Compact"/>
              <w:jc w:val="left"/>
            </w:pPr>
            <w:r>
              <w:t xml:space="preserve">Ventes = 72 % des charges (2021-2023) ; besoin d’ajustement de 34 % selon la CRSE ; subvention = 30 % du tarif</w:t>
            </w:r>
          </w:p>
        </w:tc>
        <w:tc>
          <w:tcPr>
            <w:tcW w:w="672" w:type="dxa"/>
          </w:tcPr>
          <w:tcPr/>
          <w:p>
            <w:pPr>
              <w:pStyle w:val="Compact"/>
              <w:jc w:val="left"/>
            </w:pPr>
            <w:r>
              <w:t xml:space="preserve">[?]</w:t>
            </w:r>
          </w:p>
        </w:tc>
        <w:tc>
          <w:tcPr>
            <w:tcW w:w="2231" w:type="dxa"/>
          </w:tcPr>
          <w:tcPr/>
          <w:p>
            <w:pPr>
              <w:pStyle w:val="Compact"/>
              <w:jc w:val="left"/>
            </w:pPr>
            <w:r>
              <w:t xml:space="preserve">« Baisse de la subvention » fin déc. 2025, sans montant (hors priorités suivies)</w:t>
            </w:r>
          </w:p>
        </w:tc>
        <w:tc>
          <w:tcPr>
            <w:tcW w:w="924" w:type="dxa"/>
          </w:tcPr>
          <w:tcPr/>
          <w:p>
            <w:pPr>
              <w:pStyle w:val="Compact"/>
              <w:jc w:val="left"/>
            </w:pPr>
            <w:r>
              <w:t xml:space="preserve">Mesures compensatoires non spécifiées ; aide au préfinancement des raccordements</w:t>
            </w:r>
          </w:p>
        </w:tc>
        <w:tc>
          <w:tcPr>
            <w:tcW w:w="672" w:type="dxa"/>
          </w:tcPr>
          <w:tcPr/>
          <w:p>
            <w:pPr>
              <w:pStyle w:val="Compact"/>
              <w:jc w:val="left"/>
            </w:pPr>
            <w:r>
              <w:t xml:space="preserve">[?] (deux études BM de calibrage)</w:t>
            </w:r>
          </w:p>
        </w:tc>
        <w:tc>
          <w:tcPr>
            <w:tcW w:w="1852" w:type="dxa"/>
          </w:tcPr>
          <w:tcPr/>
          <w:p>
            <w:pPr>
              <w:pStyle w:val="Compact"/>
              <w:jc w:val="left"/>
            </w:pPr>
            <w:r>
              <w:t xml:space="preserve">Filialisation (Transport) ; CP existant audité ; plan Nodalis (2030)</w:t>
            </w:r>
          </w:p>
        </w:tc>
        <w:tc>
          <w:tcPr>
            <w:tcW w:w="1356" w:type="dxa"/>
          </w:tcPr>
          <w:tcPr/>
          <w:p>
            <w:pPr>
              <w:pStyle w:val="Compact"/>
              <w:jc w:val="left"/>
            </w:pPr>
            <w:r>
              <w:t xml:space="preserve">Rendement 81,7 % (2023) → [?]</w:t>
            </w:r>
          </w:p>
        </w:tc>
        <w:tc>
          <w:tcPr>
            <w:tcW w:w="672" w:type="dxa"/>
          </w:tcPr>
          <w:tcPr/>
          <w:p>
            <w:pPr>
              <w:pStyle w:val="Compact"/>
              <w:jc w:val="left"/>
            </w:pPr>
            <w:r>
              <w:t xml:space="preserve">Oui</w:t>
            </w:r>
          </w:p>
        </w:tc>
        <w:tc>
          <w:tcPr>
            <w:tcW w:w="790" w:type="dxa"/>
          </w:tcPr>
          <w:tcPr/>
          <w:p>
            <w:pPr>
              <w:pStyle w:val="Compact"/>
              <w:jc w:val="left"/>
            </w:pPr>
            <w:r>
              <w:t xml:space="preserve">7/26 ≈ 27 % (2 prioritaires)</w:t>
            </w:r>
          </w:p>
        </w:tc>
      </w:tr>
      <w:tr>
        <w:tc>
          <w:tcPr>
            <w:tcW w:w="672" w:type="dxa"/>
          </w:tcPr>
          <w:tcPr/>
          <w:p>
            <w:pPr>
              <w:pStyle w:val="Compact"/>
              <w:jc w:val="left"/>
            </w:pPr>
            <w:r>
              <w:t xml:space="preserve">Tanzanie (TZA)</w:t>
            </w:r>
          </w:p>
        </w:tc>
        <w:tc>
          <w:tcPr>
            <w:tcW w:w="998" w:type="dxa"/>
          </w:tcPr>
          <w:tcPr/>
          <w:p>
            <w:pPr>
              <w:pStyle w:val="Compact"/>
              <w:jc w:val="left"/>
            </w:pPr>
            <w:r>
              <w:t xml:space="preserve">TANESCO ; ZECO</w:t>
            </w:r>
          </w:p>
        </w:tc>
        <w:tc>
          <w:tcPr>
            <w:tcW w:w="958" w:type="dxa"/>
          </w:tcPr>
          <w:tcPr/>
          <w:p>
            <w:pPr>
              <w:pStyle w:val="Compact"/>
              <w:jc w:val="left"/>
            </w:pPr>
            <w:r>
              <w:t xml:space="preserve">C1, janv. 2025 (Dar es Salaam [E] fiche)</w:t>
            </w:r>
          </w:p>
        </w:tc>
        <w:tc>
          <w:tcPr>
            <w:tcW w:w="883" w:type="dxa"/>
          </w:tcPr>
          <w:tcPr/>
          <w:p>
            <w:pPr>
              <w:pStyle w:val="Compact"/>
              <w:jc w:val="left"/>
            </w:pPr>
            <w:r>
              <w:t xml:space="preserve">Connectivité 46 % (2022) → 75 % (accès à 600 m : 100 %)</w:t>
            </w:r>
          </w:p>
        </w:tc>
        <w:tc>
          <w:tcPr>
            <w:tcW w:w="1884" w:type="dxa"/>
          </w:tcPr>
          <w:tcPr/>
          <w:p>
            <w:pPr>
              <w:pStyle w:val="Compact"/>
              <w:jc w:val="left"/>
            </w:pPr>
            <w:r>
              <w:t xml:space="preserve">TANESCO 80 % ; ZECO 81 % ; subventions 56,8 M USD/an</w:t>
            </w:r>
          </w:p>
        </w:tc>
        <w:tc>
          <w:tcPr>
            <w:tcW w:w="672" w:type="dxa"/>
          </w:tcPr>
          <w:tcPr/>
          <w:p>
            <w:pPr>
              <w:pStyle w:val="Compact"/>
              <w:jc w:val="left"/>
            </w:pPr>
            <w:r>
              <w:t xml:space="preserve">[?]</w:t>
            </w:r>
          </w:p>
        </w:tc>
        <w:tc>
          <w:tcPr>
            <w:tcW w:w="2231" w:type="dxa"/>
          </w:tcPr>
          <w:tcPr/>
          <w:p>
            <w:pPr>
              <w:pStyle w:val="Compact"/>
              <w:jc w:val="left"/>
            </w:pPr>
            <w:r>
              <w:t xml:space="preserve">CoS juin 2026 (reportée au 30/08/2026, « retards mineurs ») ; ajustements annuels dès 2027</w:t>
            </w:r>
          </w:p>
        </w:tc>
        <w:tc>
          <w:tcPr>
            <w:tcW w:w="924" w:type="dxa"/>
          </w:tcPr>
          <w:tcPr/>
          <w:p>
            <w:pPr>
              <w:pStyle w:val="Compact"/>
              <w:jc w:val="left"/>
            </w:pPr>
            <w:r>
              <w:t xml:space="preserve">Vague (« protéger les pauvres », non opérationnalisé)</w:t>
            </w:r>
          </w:p>
        </w:tc>
        <w:tc>
          <w:tcPr>
            <w:tcW w:w="672" w:type="dxa"/>
          </w:tcPr>
          <w:tcPr/>
          <w:p>
            <w:pPr>
              <w:pStyle w:val="Compact"/>
              <w:jc w:val="left"/>
            </w:pPr>
            <w:r>
              <w:t xml:space="preserve">Oui (2026)</w:t>
            </w:r>
          </w:p>
        </w:tc>
        <w:tc>
          <w:tcPr>
            <w:tcW w:w="1852" w:type="dxa"/>
          </w:tcPr>
          <w:tcPr/>
          <w:p>
            <w:pPr>
              <w:pStyle w:val="Compact"/>
              <w:jc w:val="left"/>
            </w:pPr>
            <w:r>
              <w:t xml:space="preserve">PIP approuvés par l’EWURA, juin 2026 ; modèle intégré maintenu</w:t>
            </w:r>
          </w:p>
        </w:tc>
        <w:tc>
          <w:tcPr>
            <w:tcW w:w="1356" w:type="dxa"/>
          </w:tcPr>
          <w:tcPr/>
          <w:p>
            <w:pPr>
              <w:pStyle w:val="Compact"/>
              <w:jc w:val="left"/>
            </w:pPr>
            <w:r>
              <w:t xml:space="preserve">T&amp;D 14,2 % → −0,05 pt/an</w:t>
            </w:r>
          </w:p>
        </w:tc>
        <w:tc>
          <w:tcPr>
            <w:tcW w:w="672" w:type="dxa"/>
          </w:tcPr>
          <w:tcPr/>
          <w:p>
            <w:pPr>
              <w:pStyle w:val="Compact"/>
              <w:jc w:val="left"/>
            </w:pPr>
            <w:r>
              <w:t xml:space="preserve">Oui</w:t>
            </w:r>
          </w:p>
        </w:tc>
        <w:tc>
          <w:tcPr>
            <w:tcW w:w="790" w:type="dxa"/>
          </w:tcPr>
          <w:tcPr/>
          <w:p>
            <w:pPr>
              <w:pStyle w:val="Compact"/>
              <w:jc w:val="left"/>
            </w:pPr>
            <w:r>
              <w:t xml:space="preserve">4/53 ≈ 8 %</w:t>
            </w:r>
          </w:p>
        </w:tc>
      </w:tr>
      <w:tr>
        <w:tc>
          <w:tcPr>
            <w:tcW w:w="672" w:type="dxa"/>
          </w:tcPr>
          <w:tcPr/>
          <w:p>
            <w:pPr>
              <w:pStyle w:val="Compact"/>
              <w:jc w:val="left"/>
            </w:pPr>
            <w:r>
              <w:t xml:space="preserve">Tchad (TCD)</w:t>
            </w:r>
          </w:p>
        </w:tc>
        <w:tc>
          <w:tcPr>
            <w:tcW w:w="998" w:type="dxa"/>
          </w:tcPr>
          <w:tcPr/>
          <w:p>
            <w:pPr>
              <w:pStyle w:val="Compact"/>
              <w:jc w:val="left"/>
            </w:pPr>
            <w:r>
              <w:t xml:space="preserve">SNE</w:t>
            </w:r>
          </w:p>
        </w:tc>
        <w:tc>
          <w:tcPr>
            <w:tcW w:w="958" w:type="dxa"/>
          </w:tcPr>
          <w:tcPr/>
          <w:p>
            <w:pPr>
              <w:pStyle w:val="Compact"/>
              <w:jc w:val="left"/>
            </w:pPr>
            <w:r>
              <w:t xml:space="preserve">C1, janv. 2025 ; document daté déc. 2024</w:t>
            </w:r>
          </w:p>
        </w:tc>
        <w:tc>
          <w:tcPr>
            <w:tcW w:w="883" w:type="dxa"/>
          </w:tcPr>
          <w:tcPr/>
          <w:p>
            <w:pPr>
              <w:pStyle w:val="Compact"/>
              <w:jc w:val="left"/>
            </w:pPr>
            <w:r>
              <w:t xml:space="preserve">11 % → 90 % (préambule : « 15 % »)</w:t>
            </w:r>
          </w:p>
        </w:tc>
        <w:tc>
          <w:tcPr>
            <w:tcW w:w="1884" w:type="dxa"/>
          </w:tcPr>
          <w:tcPr/>
          <w:p>
            <w:pPr>
              <w:pStyle w:val="Compact"/>
              <w:jc w:val="left"/>
            </w:pPr>
            <w:r>
              <w:t xml:space="preserve">[?] ; coût moyen 0,175 USD/kWh</w:t>
            </w:r>
          </w:p>
        </w:tc>
        <w:tc>
          <w:tcPr>
            <w:tcW w:w="672" w:type="dxa"/>
          </w:tcPr>
          <w:tcPr/>
          <w:p>
            <w:pPr>
              <w:pStyle w:val="Compact"/>
              <w:jc w:val="left"/>
            </w:pPr>
            <w:r>
              <w:t xml:space="preserve">Politique tarifaire de 2012</w:t>
            </w:r>
          </w:p>
        </w:tc>
        <w:tc>
          <w:tcPr>
            <w:tcW w:w="2231" w:type="dxa"/>
          </w:tcPr>
          <w:tcPr/>
          <w:p>
            <w:pPr>
              <w:pStyle w:val="Compact"/>
              <w:jc w:val="left"/>
            </w:pPr>
            <w:r>
              <w:t xml:space="preserve">Aucune trajectoire ; « étude en cours »</w:t>
            </w:r>
          </w:p>
        </w:tc>
        <w:tc>
          <w:tcPr>
            <w:tcW w:w="924" w:type="dxa"/>
          </w:tcPr>
          <w:tcPr/>
          <w:p>
            <w:pPr>
              <w:pStyle w:val="Compact"/>
              <w:jc w:val="left"/>
            </w:pPr>
            <w:r>
              <w:t xml:space="preserve">Non mentionné</w:t>
            </w:r>
          </w:p>
        </w:tc>
        <w:tc>
          <w:tcPr>
            <w:tcW w:w="672" w:type="dxa"/>
          </w:tcPr>
          <w:tcPr/>
          <w:p>
            <w:pPr>
              <w:pStyle w:val="Compact"/>
              <w:jc w:val="left"/>
            </w:pPr>
            <w:r>
              <w:t xml:space="preserve">Étude tarifaire en cours</w:t>
            </w:r>
          </w:p>
        </w:tc>
        <w:tc>
          <w:tcPr>
            <w:tcW w:w="1852" w:type="dxa"/>
          </w:tcPr>
          <w:tcPr/>
          <w:p>
            <w:pPr>
              <w:pStyle w:val="Compact"/>
              <w:jc w:val="left"/>
            </w:pPr>
            <w:r>
              <w:t xml:space="preserve">CP État-SNE « en cours » ; plan de performance 2025 ; équilibre SNE 2028</w:t>
            </w:r>
          </w:p>
        </w:tc>
        <w:tc>
          <w:tcPr>
            <w:tcW w:w="1356" w:type="dxa"/>
          </w:tcPr>
          <w:tcPr/>
          <w:p>
            <w:pPr>
              <w:pStyle w:val="Compact"/>
              <w:jc w:val="left"/>
            </w:pPr>
            <w:r>
              <w:t xml:space="preserve">ATCC 39 % → &lt; 15 % (2027)</w:t>
            </w:r>
          </w:p>
        </w:tc>
        <w:tc>
          <w:tcPr>
            <w:tcW w:w="672" w:type="dxa"/>
          </w:tcPr>
          <w:tcPr/>
          <w:p>
            <w:pPr>
              <w:pStyle w:val="Compact"/>
              <w:jc w:val="left"/>
            </w:pPr>
            <w:r>
              <w:t xml:space="preserve">Oui</w:t>
            </w:r>
          </w:p>
        </w:tc>
        <w:tc>
          <w:tcPr>
            <w:tcW w:w="790" w:type="dxa"/>
          </w:tcPr>
          <w:tcPr/>
          <w:p>
            <w:pPr>
              <w:pStyle w:val="Compact"/>
              <w:jc w:val="left"/>
            </w:pPr>
            <w:r>
              <w:t xml:space="preserve">1/14 ≈ 7 % (MTF)</w:t>
            </w:r>
          </w:p>
        </w:tc>
      </w:tr>
      <w:tr>
        <w:tc>
          <w:tcPr>
            <w:tcW w:w="672" w:type="dxa"/>
          </w:tcPr>
          <w:tcPr/>
          <w:p>
            <w:pPr>
              <w:pStyle w:val="Compact"/>
              <w:jc w:val="left"/>
            </w:pPr>
            <w:r>
              <w:t xml:space="preserve">Zambie (ZMB)</w:t>
            </w:r>
          </w:p>
        </w:tc>
        <w:tc>
          <w:tcPr>
            <w:tcW w:w="998" w:type="dxa"/>
          </w:tcPr>
          <w:tcPr/>
          <w:p>
            <w:pPr>
              <w:pStyle w:val="Compact"/>
              <w:jc w:val="left"/>
            </w:pPr>
            <w:r>
              <w:t xml:space="preserve">ZESCO (+ CEC, North Western Power)</w:t>
            </w:r>
          </w:p>
        </w:tc>
        <w:tc>
          <w:tcPr>
            <w:tcW w:w="958" w:type="dxa"/>
          </w:tcPr>
          <w:tcPr/>
          <w:p>
            <w:pPr>
              <w:pStyle w:val="Compact"/>
              <w:jc w:val="left"/>
            </w:pPr>
            <w:r>
              <w:t xml:space="preserve">C1, janv. 2025 (Dar es Salaam [E] fiche)</w:t>
            </w:r>
          </w:p>
        </w:tc>
        <w:tc>
          <w:tcPr>
            <w:tcW w:w="883" w:type="dxa"/>
          </w:tcPr>
          <w:tcPr/>
          <w:p>
            <w:pPr>
              <w:pStyle w:val="Compact"/>
              <w:jc w:val="left"/>
            </w:pPr>
            <w:r>
              <w:t xml:space="preserve">53,6 % (ou 47,8 %) → 100 %</w:t>
            </w:r>
          </w:p>
        </w:tc>
        <w:tc>
          <w:tcPr>
            <w:tcW w:w="1884" w:type="dxa"/>
          </w:tcPr>
          <w:tcPr/>
          <w:p>
            <w:pPr>
              <w:pStyle w:val="Compact"/>
              <w:jc w:val="left"/>
            </w:pPr>
            <w:r>
              <w:t xml:space="preserve">Indicateur « No » ; tarif et subventions « Information not available »</w:t>
            </w:r>
          </w:p>
        </w:tc>
        <w:tc>
          <w:tcPr>
            <w:tcW w:w="672" w:type="dxa"/>
          </w:tcPr>
          <w:tcPr/>
          <w:p>
            <w:pPr>
              <w:pStyle w:val="Compact"/>
              <w:jc w:val="left"/>
            </w:pPr>
            <w:r>
              <w:t xml:space="preserve">[?]</w:t>
            </w:r>
          </w:p>
        </w:tc>
        <w:tc>
          <w:tcPr>
            <w:tcW w:w="2231" w:type="dxa"/>
          </w:tcPr>
          <w:tcPr/>
          <w:p>
            <w:pPr>
              <w:pStyle w:val="Compact"/>
              <w:jc w:val="left"/>
            </w:pPr>
            <w:r>
              <w:t xml:space="preserve">Recouvrement intégral des coûts + répercussion des tarifs IPP, 2027 (cadre MYTF)</w:t>
            </w:r>
          </w:p>
        </w:tc>
        <w:tc>
          <w:tcPr>
            <w:tcW w:w="924" w:type="dxa"/>
          </w:tcPr>
          <w:tcPr/>
          <w:p>
            <w:pPr>
              <w:pStyle w:val="Compact"/>
              <w:jc w:val="left"/>
            </w:pPr>
            <w:r>
              <w:t xml:space="preserve">Non (réseau)</w:t>
            </w:r>
          </w:p>
        </w:tc>
        <w:tc>
          <w:tcPr>
            <w:tcW w:w="672" w:type="dxa"/>
          </w:tcPr>
          <w:tcPr/>
          <w:p>
            <w:pPr>
              <w:pStyle w:val="Compact"/>
              <w:jc w:val="left"/>
            </w:pPr>
            <w:r>
              <w:t xml:space="preserve">[?]</w:t>
            </w:r>
          </w:p>
        </w:tc>
        <w:tc>
          <w:tcPr>
            <w:tcW w:w="1852" w:type="dxa"/>
          </w:tcPr>
          <w:tcPr/>
          <w:p>
            <w:pPr>
              <w:pStyle w:val="Compact"/>
              <w:jc w:val="left"/>
            </w:pPr>
            <w:r>
              <w:t xml:space="preserve">Cadre KPI ZESCO-ERB ; ISMO déc. 2025 ; pilote de concessions de distribution</w:t>
            </w:r>
          </w:p>
        </w:tc>
        <w:tc>
          <w:tcPr>
            <w:tcW w:w="1356" w:type="dxa"/>
          </w:tcPr>
          <w:tcPr/>
          <w:p>
            <w:pPr>
              <w:pStyle w:val="Compact"/>
              <w:jc w:val="left"/>
            </w:pPr>
            <w:r>
              <w:t xml:space="preserve">[?] → [?]</w:t>
            </w:r>
          </w:p>
        </w:tc>
        <w:tc>
          <w:tcPr>
            <w:tcW w:w="672" w:type="dxa"/>
          </w:tcPr>
          <w:tcPr/>
          <w:p>
            <w:pPr>
              <w:pStyle w:val="Compact"/>
              <w:jc w:val="left"/>
            </w:pPr>
            <w:r>
              <w:t xml:space="preserve">Non</w:t>
            </w:r>
          </w:p>
        </w:tc>
        <w:tc>
          <w:tcPr>
            <w:tcW w:w="790" w:type="dxa"/>
          </w:tcPr>
          <w:tcPr/>
          <w:p>
            <w:pPr>
              <w:pStyle w:val="Compact"/>
              <w:jc w:val="left"/>
            </w:pPr>
            <w:r>
              <w:t xml:space="preserve">—</w:t>
            </w:r>
          </w:p>
        </w:tc>
      </w:tr>
    </w:tbl>
    <w:bookmarkEnd w:id="22"/>
    <w:bookmarkStart w:id="23" w:name="X6898a008011e5641e5475e6ad3d7da7ec305d1f"/>
    <w:p>
      <w:pPr>
        <w:pStyle w:val="Heading2"/>
      </w:pPr>
      <w:r>
        <w:t xml:space="preserve">2.2 Cohorte 2 — septembre 2025 (New York), et Zimbabwe (oct. 2025, Johannesburg)</w:t>
      </w:r>
    </w:p>
    <w:tbl>
      <w:tblPr>
        <w:tblStyle w:val="Table"/>
        <w:tblW w:type="dxa" w:w="14570"/>
        <w:tblLook w:firstRow="1" w:lastRow="0" w:firstColumn="0" w:lastColumn="0" w:noHBand="0" w:noVBand="0" w:val="0020"/>
        <w:jc w:val="start"/>
      </w:tblPr>
      <w:tblGrid>
        <w:gridCol w:w="662"/>
        <w:gridCol w:w="907"/>
        <w:gridCol w:w="1152"/>
        <w:gridCol w:w="794"/>
        <w:gridCol w:w="1581"/>
        <w:gridCol w:w="1072"/>
        <w:gridCol w:w="2254"/>
        <w:gridCol w:w="1039"/>
        <w:gridCol w:w="945"/>
        <w:gridCol w:w="1757"/>
        <w:gridCol w:w="1076"/>
        <w:gridCol w:w="662"/>
        <w:gridCol w:w="662"/>
      </w:tblGrid>
      <w:tr>
        <w:trPr>
          <w:tblHeader w:val="true"/>
        </w:trPr>
        <w:tc>
          <w:tcPr>
            <w:tcW w:w="662" w:type="dxa"/>
          </w:tcPr>
          <w:tcPr/>
          <w:p>
            <w:pPr>
              <w:pStyle w:val="Compact"/>
              <w:jc w:val="left"/>
            </w:pPr>
            <w:r>
              <w:t xml:space="preserve">Pays (fiche)</w:t>
            </w:r>
          </w:p>
        </w:tc>
        <w:tc>
          <w:tcPr>
            <w:tcW w:w="907" w:type="dxa"/>
          </w:tcPr>
          <w:tcPr/>
          <w:p>
            <w:pPr>
              <w:pStyle w:val="Compact"/>
              <w:jc w:val="left"/>
            </w:pPr>
            <w:r>
              <w:t xml:space="preserve">Opérateur</w:t>
            </w:r>
          </w:p>
        </w:tc>
        <w:tc>
          <w:tcPr>
            <w:tcW w:w="1152" w:type="dxa"/>
          </w:tcPr>
          <w:tcPr/>
          <w:p>
            <w:pPr>
              <w:pStyle w:val="Compact"/>
              <w:jc w:val="left"/>
            </w:pPr>
            <w:r>
              <w:t xml:space="preserve">Cohorte / date</w:t>
            </w:r>
          </w:p>
        </w:tc>
        <w:tc>
          <w:tcPr>
            <w:tcW w:w="794" w:type="dxa"/>
          </w:tcPr>
          <w:tcPr/>
          <w:p>
            <w:pPr>
              <w:pStyle w:val="Compact"/>
              <w:jc w:val="left"/>
            </w:pPr>
            <w:r>
              <w:t xml:space="preserve">Cible accès 2030</w:t>
            </w:r>
          </w:p>
        </w:tc>
        <w:tc>
          <w:tcPr>
            <w:tcW w:w="1581" w:type="dxa"/>
          </w:tcPr>
          <w:tcPr/>
          <w:p>
            <w:pPr>
              <w:pStyle w:val="Compact"/>
              <w:jc w:val="left"/>
            </w:pPr>
            <w:r>
              <w:t xml:space="preserve">Couverture des coûts actuelle</w:t>
            </w:r>
          </w:p>
        </w:tc>
        <w:tc>
          <w:tcPr>
            <w:tcW w:w="1072" w:type="dxa"/>
          </w:tcPr>
          <w:tcPr/>
          <w:p>
            <w:pPr>
              <w:pStyle w:val="Compact"/>
              <w:jc w:val="left"/>
            </w:pPr>
            <w:r>
              <w:t xml:space="preserve">Dernier ajustement / gel</w:t>
            </w:r>
          </w:p>
        </w:tc>
        <w:tc>
          <w:tcPr>
            <w:tcW w:w="2254" w:type="dxa"/>
          </w:tcPr>
          <w:tcPr/>
          <w:p>
            <w:pPr>
              <w:pStyle w:val="Compact"/>
              <w:jc w:val="left"/>
            </w:pPr>
            <w:r>
              <w:t xml:space="preserve">Engagement tarifaire principal (date)</w:t>
            </w:r>
          </w:p>
        </w:tc>
        <w:tc>
          <w:tcPr>
            <w:tcW w:w="1039" w:type="dxa"/>
          </w:tcPr>
          <w:tcPr/>
          <w:p>
            <w:pPr>
              <w:pStyle w:val="Compact"/>
              <w:jc w:val="left"/>
            </w:pPr>
            <w:r>
              <w:t xml:space="preserve">Tarif social prévu</w:t>
            </w:r>
          </w:p>
        </w:tc>
        <w:tc>
          <w:tcPr>
            <w:tcW w:w="945" w:type="dxa"/>
          </w:tcPr>
          <w:tcPr/>
          <w:p>
            <w:pPr>
              <w:pStyle w:val="Compact"/>
              <w:jc w:val="left"/>
            </w:pPr>
            <w:r>
              <w:t xml:space="preserve">CoS prévue</w:t>
            </w:r>
          </w:p>
        </w:tc>
        <w:tc>
          <w:tcPr>
            <w:tcW w:w="1757" w:type="dxa"/>
          </w:tcPr>
          <w:tcPr/>
          <w:p>
            <w:pPr>
              <w:pStyle w:val="Compact"/>
              <w:jc w:val="left"/>
            </w:pPr>
            <w:r>
              <w:t xml:space="preserve">Réforme opérateur</w:t>
            </w:r>
          </w:p>
        </w:tc>
        <w:tc>
          <w:tcPr>
            <w:tcW w:w="1076" w:type="dxa"/>
          </w:tcPr>
          <w:tcPr/>
          <w:p>
            <w:pPr>
              <w:pStyle w:val="Compact"/>
              <w:jc w:val="left"/>
            </w:pPr>
            <w:r>
              <w:t xml:space="preserve">Pertes actuelles → cible</w:t>
            </w:r>
          </w:p>
        </w:tc>
        <w:tc>
          <w:tcPr>
            <w:tcW w:w="662" w:type="dxa"/>
          </w:tcPr>
          <w:tcPr/>
          <w:p>
            <w:pPr>
              <w:pStyle w:val="Compact"/>
              <w:jc w:val="left"/>
            </w:pPr>
            <w:r>
              <w:t xml:space="preserve">Rapport publié</w:t>
            </w:r>
          </w:p>
        </w:tc>
        <w:tc>
          <w:tcPr>
            <w:tcW w:w="662" w:type="dxa"/>
          </w:tcPr>
          <w:tcPr/>
          <w:p>
            <w:pPr>
              <w:pStyle w:val="Compact"/>
              <w:jc w:val="left"/>
            </w:pPr>
            <w:r>
              <w:t xml:space="preserve">% actions en retard</w:t>
            </w:r>
          </w:p>
        </w:tc>
      </w:tr>
      <w:tr>
        <w:tc>
          <w:tcPr>
            <w:tcW w:w="662" w:type="dxa"/>
          </w:tcPr>
          <w:tcPr/>
          <w:p>
            <w:pPr>
              <w:pStyle w:val="Compact"/>
              <w:jc w:val="left"/>
            </w:pPr>
            <w:r>
              <w:t xml:space="preserve">Bénin (BEN)</w:t>
            </w:r>
          </w:p>
        </w:tc>
        <w:tc>
          <w:tcPr>
            <w:tcW w:w="907" w:type="dxa"/>
          </w:tcPr>
          <w:tcPr/>
          <w:p>
            <w:pPr>
              <w:pStyle w:val="Compact"/>
              <w:jc w:val="left"/>
            </w:pPr>
            <w:r>
              <w:t xml:space="preserve">SBEE (gestion déléguée Eranove depuis janv. 2024) ; SBPE ; CEB</w:t>
            </w:r>
          </w:p>
        </w:tc>
        <w:tc>
          <w:tcPr>
            <w:tcW w:w="1152" w:type="dxa"/>
          </w:tcPr>
          <w:tcPr/>
          <w:p>
            <w:pPr>
              <w:pStyle w:val="Compact"/>
              <w:jc w:val="left"/>
            </w:pPr>
            <w:r>
              <w:t xml:space="preserve">C2, sept. 2025 (événement [?] dans la fiche)</w:t>
            </w:r>
          </w:p>
        </w:tc>
        <w:tc>
          <w:tcPr>
            <w:tcW w:w="794" w:type="dxa"/>
          </w:tcPr>
          <w:tcPr/>
          <w:p>
            <w:pPr>
              <w:pStyle w:val="Compact"/>
              <w:jc w:val="left"/>
            </w:pPr>
            <w:r>
              <w:t xml:space="preserve">42,57 % → ≥ 70 % (préambule : 100 %)</w:t>
            </w:r>
          </w:p>
        </w:tc>
        <w:tc>
          <w:tcPr>
            <w:tcW w:w="1581" w:type="dxa"/>
          </w:tcPr>
          <w:tcPr/>
          <w:p>
            <w:pPr>
              <w:pStyle w:val="Compact"/>
              <w:jc w:val="left"/>
            </w:pPr>
            <w:r>
              <w:t xml:space="preserve">Indicateur « Oui », sans données (annexe vide)</w:t>
            </w:r>
          </w:p>
        </w:tc>
        <w:tc>
          <w:tcPr>
            <w:tcW w:w="1072" w:type="dxa"/>
          </w:tcPr>
          <w:tcPr/>
          <w:p>
            <w:pPr>
              <w:pStyle w:val="Compact"/>
              <w:jc w:val="left"/>
            </w:pPr>
            <w:r>
              <w:t xml:space="preserve">Décret 2020-328 du 24/12/2020</w:t>
            </w:r>
          </w:p>
        </w:tc>
        <w:tc>
          <w:tcPr>
            <w:tcW w:w="2254" w:type="dxa"/>
          </w:tcPr>
          <w:tcPr/>
          <w:p>
            <w:pPr>
              <w:pStyle w:val="Compact"/>
              <w:jc w:val="left"/>
            </w:pPr>
            <w:r>
              <w:rPr>
                <w:bCs/>
                <w:b/>
              </w:rPr>
              <w:t xml:space="preserve">Aucun côté consommateur</w:t>
            </w:r>
            <w:r>
              <w:t xml:space="preserve"> </w:t>
            </w:r>
            <w:r>
              <w:t xml:space="preserve">; côté IPP : guide tarifaire, take-or-pay, compte séquestre (T4 2026)</w:t>
            </w:r>
          </w:p>
        </w:tc>
        <w:tc>
          <w:tcPr>
            <w:tcW w:w="1039" w:type="dxa"/>
          </w:tcPr>
          <w:tcPr/>
          <w:p>
            <w:pPr>
              <w:pStyle w:val="Compact"/>
              <w:jc w:val="left"/>
            </w:pPr>
            <w:r>
              <w:t xml:space="preserve">[?] (prix social du butane, mai 2025)</w:t>
            </w:r>
          </w:p>
        </w:tc>
        <w:tc>
          <w:tcPr>
            <w:tcW w:w="945" w:type="dxa"/>
          </w:tcPr>
          <w:tcPr/>
          <w:p>
            <w:pPr>
              <w:pStyle w:val="Compact"/>
              <w:jc w:val="left"/>
            </w:pPr>
            <w:r>
              <w:t xml:space="preserve">Oui (besoin d’AT : « modèle tarifaire adapté aux coûts »)</w:t>
            </w:r>
          </w:p>
        </w:tc>
        <w:tc>
          <w:tcPr>
            <w:tcW w:w="1757" w:type="dxa"/>
          </w:tcPr>
          <w:tcPr/>
          <w:p>
            <w:pPr>
              <w:pStyle w:val="Compact"/>
              <w:jc w:val="left"/>
            </w:pPr>
            <w:r>
              <w:t xml:space="preserve">Contrat de gestion Eranove ; CP annuels T4 2026</w:t>
            </w:r>
          </w:p>
        </w:tc>
        <w:tc>
          <w:tcPr>
            <w:tcW w:w="1076" w:type="dxa"/>
          </w:tcPr>
          <w:tcPr/>
          <w:p>
            <w:pPr>
              <w:pStyle w:val="Compact"/>
              <w:jc w:val="left"/>
            </w:pPr>
            <w:r>
              <w:t xml:space="preserve">24,62 % (2024) → 15 %</w:t>
            </w:r>
          </w:p>
        </w:tc>
        <w:tc>
          <w:tcPr>
            <w:tcW w:w="662" w:type="dxa"/>
          </w:tcPr>
          <w:tcPr/>
          <w:p>
            <w:pPr>
              <w:pStyle w:val="Compact"/>
              <w:jc w:val="left"/>
            </w:pPr>
            <w:r>
              <w:t xml:space="preserve">Non</w:t>
            </w:r>
          </w:p>
        </w:tc>
        <w:tc>
          <w:tcPr>
            <w:tcW w:w="662" w:type="dxa"/>
          </w:tcPr>
          <w:tcPr/>
          <w:p>
            <w:pPr>
              <w:pStyle w:val="Compact"/>
              <w:jc w:val="left"/>
            </w:pPr>
            <w:r>
              <w:t xml:space="preserve">—</w:t>
            </w:r>
          </w:p>
        </w:tc>
      </w:tr>
      <w:tr>
        <w:tc>
          <w:tcPr>
            <w:tcW w:w="662" w:type="dxa"/>
          </w:tcPr>
          <w:tcPr/>
          <w:p>
            <w:pPr>
              <w:pStyle w:val="Compact"/>
              <w:jc w:val="left"/>
            </w:pPr>
            <w:r>
              <w:t xml:space="preserve">Botswana (BWA)</w:t>
            </w:r>
          </w:p>
        </w:tc>
        <w:tc>
          <w:tcPr>
            <w:tcW w:w="907" w:type="dxa"/>
          </w:tcPr>
          <w:tcPr/>
          <w:p>
            <w:pPr>
              <w:pStyle w:val="Compact"/>
              <w:jc w:val="left"/>
            </w:pPr>
            <w:r>
              <w:t xml:space="preserve">BPC</w:t>
            </w:r>
          </w:p>
        </w:tc>
        <w:tc>
          <w:tcPr>
            <w:tcW w:w="1152" w:type="dxa"/>
          </w:tcPr>
          <w:tcPr/>
          <w:p>
            <w:pPr>
              <w:pStyle w:val="Compact"/>
              <w:jc w:val="left"/>
            </w:pPr>
            <w:r>
              <w:t xml:space="preserve">C2, sept. 2025 (NY [E] fiche)</w:t>
            </w:r>
          </w:p>
        </w:tc>
        <w:tc>
          <w:tcPr>
            <w:tcW w:w="794" w:type="dxa"/>
          </w:tcPr>
          <w:tcPr/>
          <w:p>
            <w:pPr>
              <w:pStyle w:val="Compact"/>
              <w:jc w:val="left"/>
            </w:pPr>
            <w:r>
              <w:t xml:space="preserve">76,6 % → 100 %</w:t>
            </w:r>
          </w:p>
        </w:tc>
        <w:tc>
          <w:tcPr>
            <w:tcW w:w="1581" w:type="dxa"/>
          </w:tcPr>
          <w:tcPr/>
          <w:p>
            <w:pPr>
              <w:pStyle w:val="Compact"/>
              <w:jc w:val="left"/>
            </w:pPr>
            <w:r>
              <w:t xml:space="preserve">127 contre 159 thebe/kWh (2023)</w:t>
            </w:r>
          </w:p>
        </w:tc>
        <w:tc>
          <w:tcPr>
            <w:tcW w:w="1072" w:type="dxa"/>
          </w:tcPr>
          <w:tcPr/>
          <w:p>
            <w:pPr>
              <w:pStyle w:val="Compact"/>
              <w:jc w:val="left"/>
            </w:pPr>
            <w:r>
              <w:t xml:space="preserve">+3 % en 2021/22 ; demandes de 2023 et 2024 rejetées</w:t>
            </w:r>
          </w:p>
        </w:tc>
        <w:tc>
          <w:tcPr>
            <w:tcW w:w="2254" w:type="dxa"/>
          </w:tcPr>
          <w:tcPr/>
          <w:p>
            <w:pPr>
              <w:pStyle w:val="Compact"/>
              <w:jc w:val="left"/>
            </w:pPr>
            <w:r>
              <w:t xml:space="preserve">CoS déc. 2025 → plan de transition mars 2026 → régime pluriannuel déc. 2026 ; écart couvert par l’État (juin 2026)</w:t>
            </w:r>
          </w:p>
        </w:tc>
        <w:tc>
          <w:tcPr>
            <w:tcW w:w="1039" w:type="dxa"/>
          </w:tcPr>
          <w:tcPr/>
          <w:p>
            <w:pPr>
              <w:pStyle w:val="Compact"/>
              <w:jc w:val="left"/>
            </w:pPr>
            <w:r>
              <w:t xml:space="preserve">Oui (ciblé, révision du seuil lifeline)</w:t>
            </w:r>
          </w:p>
        </w:tc>
        <w:tc>
          <w:tcPr>
            <w:tcW w:w="945" w:type="dxa"/>
          </w:tcPr>
          <w:tcPr/>
          <w:p>
            <w:pPr>
              <w:pStyle w:val="Compact"/>
              <w:jc w:val="left"/>
            </w:pPr>
            <w:r>
              <w:t xml:space="preserve">Oui (déc. 2025, financée par la BAD)</w:t>
            </w:r>
          </w:p>
        </w:tc>
        <w:tc>
          <w:tcPr>
            <w:tcW w:w="1757" w:type="dxa"/>
          </w:tcPr>
          <w:tcPr/>
          <w:p>
            <w:pPr>
              <w:pStyle w:val="Compact"/>
              <w:jc w:val="left"/>
            </w:pPr>
            <w:r>
              <w:t xml:space="preserve">Étude de structure de marché ; dégroupage envisagé</w:t>
            </w:r>
          </w:p>
        </w:tc>
        <w:tc>
          <w:tcPr>
            <w:tcW w:w="1076" w:type="dxa"/>
          </w:tcPr>
          <w:tcPr/>
          <w:p>
            <w:pPr>
              <w:pStyle w:val="Compact"/>
              <w:jc w:val="left"/>
            </w:pPr>
            <w:r>
              <w:t xml:space="preserve">T&amp;D 14,35 % → [?]</w:t>
            </w:r>
          </w:p>
        </w:tc>
        <w:tc>
          <w:tcPr>
            <w:tcW w:w="662" w:type="dxa"/>
          </w:tcPr>
          <w:tcPr/>
          <w:p>
            <w:pPr>
              <w:pStyle w:val="Compact"/>
              <w:jc w:val="left"/>
            </w:pPr>
            <w:r>
              <w:t xml:space="preserve">Non</w:t>
            </w:r>
          </w:p>
        </w:tc>
        <w:tc>
          <w:tcPr>
            <w:tcW w:w="662" w:type="dxa"/>
          </w:tcPr>
          <w:tcPr/>
          <w:p>
            <w:pPr>
              <w:pStyle w:val="Compact"/>
              <w:jc w:val="left"/>
            </w:pPr>
            <w:r>
              <w:t xml:space="preserve">—</w:t>
            </w:r>
          </w:p>
        </w:tc>
      </w:tr>
      <w:tr>
        <w:tc>
          <w:tcPr>
            <w:tcW w:w="662" w:type="dxa"/>
          </w:tcPr>
          <w:tcPr/>
          <w:p>
            <w:pPr>
              <w:pStyle w:val="Compact"/>
              <w:jc w:val="left"/>
            </w:pPr>
            <w:r>
              <w:t xml:space="preserve">Burundi (BDI)</w:t>
            </w:r>
          </w:p>
        </w:tc>
        <w:tc>
          <w:tcPr>
            <w:tcW w:w="907" w:type="dxa"/>
          </w:tcPr>
          <w:tcPr/>
          <w:p>
            <w:pPr>
              <w:pStyle w:val="Compact"/>
              <w:jc w:val="left"/>
            </w:pPr>
            <w:r>
              <w:t xml:space="preserve">REGIDESO ; Weza Power (privé)</w:t>
            </w:r>
          </w:p>
        </w:tc>
        <w:tc>
          <w:tcPr>
            <w:tcW w:w="1152" w:type="dxa"/>
          </w:tcPr>
          <w:tcPr/>
          <w:p>
            <w:pPr>
              <w:pStyle w:val="Compact"/>
              <w:jc w:val="left"/>
            </w:pPr>
            <w:r>
              <w:t xml:space="preserve">C2, sept. 2025, NY</w:t>
            </w:r>
          </w:p>
        </w:tc>
        <w:tc>
          <w:tcPr>
            <w:tcW w:w="794" w:type="dxa"/>
          </w:tcPr>
          <w:tcPr/>
          <w:p>
            <w:pPr>
              <w:pStyle w:val="Compact"/>
              <w:jc w:val="left"/>
            </w:pPr>
            <w:r>
              <w:t xml:space="preserve">25,9 % → 70 %</w:t>
            </w:r>
          </w:p>
        </w:tc>
        <w:tc>
          <w:tcPr>
            <w:tcW w:w="1581" w:type="dxa"/>
          </w:tcPr>
          <w:tcPr/>
          <w:p>
            <w:pPr>
              <w:pStyle w:val="Compact"/>
              <w:jc w:val="left"/>
            </w:pPr>
            <w:r>
              <w:t xml:space="preserve">[?] (coût moyen 9,4 c USD/kWh)</w:t>
            </w:r>
          </w:p>
        </w:tc>
        <w:tc>
          <w:tcPr>
            <w:tcW w:w="1072" w:type="dxa"/>
          </w:tcPr>
          <w:tcPr/>
          <w:p>
            <w:pPr>
              <w:pStyle w:val="Compact"/>
              <w:jc w:val="left"/>
            </w:pPr>
            <w:r>
              <w:t xml:space="preserve">Structure de 2017</w:t>
            </w:r>
          </w:p>
        </w:tc>
        <w:tc>
          <w:tcPr>
            <w:tcW w:w="2254" w:type="dxa"/>
          </w:tcPr>
          <w:tcPr/>
          <w:p>
            <w:pPr>
              <w:pStyle w:val="Compact"/>
              <w:jc w:val="left"/>
            </w:pPr>
            <w:r>
              <w:t xml:space="preserve">Nouvelle structure tarifaire (coûts d’exploitation) déc. 2026 ; régulation incitative juin 2026</w:t>
            </w:r>
          </w:p>
        </w:tc>
        <w:tc>
          <w:tcPr>
            <w:tcW w:w="1039" w:type="dxa"/>
          </w:tcPr>
          <w:tcPr/>
          <w:p>
            <w:pPr>
              <w:pStyle w:val="Compact"/>
              <w:jc w:val="left"/>
            </w:pPr>
            <w:r>
              <w:t xml:space="preserve">Oui (déc. 2026)</w:t>
            </w:r>
          </w:p>
        </w:tc>
        <w:tc>
          <w:tcPr>
            <w:tcW w:w="945" w:type="dxa"/>
          </w:tcPr>
          <w:tcPr/>
          <w:p>
            <w:pPr>
              <w:pStyle w:val="Compact"/>
              <w:jc w:val="left"/>
            </w:pPr>
            <w:r>
              <w:t xml:space="preserve">Non explicite (méthodologie du RR, juin 2026)</w:t>
            </w:r>
          </w:p>
        </w:tc>
        <w:tc>
          <w:tcPr>
            <w:tcW w:w="1757" w:type="dxa"/>
          </w:tcPr>
          <w:tcPr/>
          <w:p>
            <w:pPr>
              <w:pStyle w:val="Compact"/>
              <w:jc w:val="left"/>
            </w:pPr>
            <w:r>
              <w:t xml:space="preserve">CP juin 2026 ; PPP de distribution avec Weza (</w:t>
            </w:r>
            <w:r>
              <w:rPr>
                <w:bCs/>
                <w:b/>
              </w:rPr>
              <w:t xml:space="preserve">en retard</w:t>
            </w:r>
            <w:r>
              <w:t xml:space="preserve">)</w:t>
            </w:r>
          </w:p>
        </w:tc>
        <w:tc>
          <w:tcPr>
            <w:tcW w:w="1076" w:type="dxa"/>
          </w:tcPr>
          <w:tcPr/>
          <w:p>
            <w:pPr>
              <w:pStyle w:val="Compact"/>
              <w:jc w:val="left"/>
            </w:pPr>
            <w:r>
              <w:t xml:space="preserve">32 % (2024) → [?] (« 3,5 % » ambigu)</w:t>
            </w:r>
          </w:p>
        </w:tc>
        <w:tc>
          <w:tcPr>
            <w:tcW w:w="662" w:type="dxa"/>
          </w:tcPr>
          <w:tcPr/>
          <w:p>
            <w:pPr>
              <w:pStyle w:val="Compact"/>
              <w:jc w:val="left"/>
            </w:pPr>
            <w:r>
              <w:t xml:space="preserve">Oui</w:t>
            </w:r>
          </w:p>
        </w:tc>
        <w:tc>
          <w:tcPr>
            <w:tcW w:w="662" w:type="dxa"/>
          </w:tcPr>
          <w:tcPr/>
          <w:p>
            <w:pPr>
              <w:pStyle w:val="Compact"/>
              <w:jc w:val="left"/>
            </w:pPr>
            <w:r>
              <w:t xml:space="preserve">27/123 ≈ 22 % (</w:t>
            </w:r>
            <w:r>
              <w:rPr>
                <w:bCs/>
                <w:b/>
              </w:rPr>
              <w:t xml:space="preserve">10/10 prioritaires</w:t>
            </w:r>
            <w:r>
              <w:t xml:space="preserve">)</w:t>
            </w:r>
          </w:p>
        </w:tc>
      </w:tr>
      <w:tr>
        <w:tc>
          <w:tcPr>
            <w:tcW w:w="662" w:type="dxa"/>
          </w:tcPr>
          <w:tcPr/>
          <w:p>
            <w:pPr>
              <w:pStyle w:val="Compact"/>
              <w:jc w:val="left"/>
            </w:pPr>
            <w:r>
              <w:t xml:space="preserve">Cameroun (CMR)</w:t>
            </w:r>
          </w:p>
        </w:tc>
        <w:tc>
          <w:tcPr>
            <w:tcW w:w="907" w:type="dxa"/>
          </w:tcPr>
          <w:tcPr/>
          <w:p>
            <w:pPr>
              <w:pStyle w:val="Compact"/>
              <w:jc w:val="left"/>
            </w:pPr>
            <w:r>
              <w:t xml:space="preserve">ENEO (concession ; Actis 51 %, rachat par l’État) ; SONATREL</w:t>
            </w:r>
          </w:p>
        </w:tc>
        <w:tc>
          <w:tcPr>
            <w:tcW w:w="1152" w:type="dxa"/>
          </w:tcPr>
          <w:tcPr/>
          <w:p>
            <w:pPr>
              <w:pStyle w:val="Compact"/>
              <w:jc w:val="left"/>
            </w:pPr>
            <w:r>
              <w:t xml:space="preserve">C2, sept. 2025 (événement [?])</w:t>
            </w:r>
          </w:p>
        </w:tc>
        <w:tc>
          <w:tcPr>
            <w:tcW w:w="794" w:type="dxa"/>
          </w:tcPr>
          <w:tcPr/>
          <w:p>
            <w:pPr>
              <w:pStyle w:val="Compact"/>
              <w:jc w:val="left"/>
            </w:pPr>
            <w:r>
              <w:t xml:space="preserve">74 % (2025) → 100 %</w:t>
            </w:r>
          </w:p>
        </w:tc>
        <w:tc>
          <w:tcPr>
            <w:tcW w:w="1581" w:type="dxa"/>
          </w:tcPr>
          <w:tcPr/>
          <w:p>
            <w:pPr>
              <w:pStyle w:val="Compact"/>
              <w:jc w:val="left"/>
            </w:pPr>
            <w:r>
              <w:t xml:space="preserve">Compensation de 67 Md FCFA (122 M USD) en 2025 ; tarif moyen 102,65 contre coût moyen 102,56 FCFA/kWh (annexe, voir §4.6)</w:t>
            </w:r>
          </w:p>
        </w:tc>
        <w:tc>
          <w:tcPr>
            <w:tcW w:w="1072" w:type="dxa"/>
          </w:tcPr>
          <w:tcPr/>
          <w:p>
            <w:pPr>
              <w:pStyle w:val="Compact"/>
              <w:jc w:val="left"/>
            </w:pPr>
            <w:r>
              <w:t xml:space="preserve">Tarifs BT/MT régulés gelés depuis 2012 ; MT +10 %/an depuis 2023</w:t>
            </w:r>
          </w:p>
        </w:tc>
        <w:tc>
          <w:tcPr>
            <w:tcW w:w="2254" w:type="dxa"/>
          </w:tcPr>
          <w:tcPr/>
          <w:p>
            <w:pPr>
              <w:pStyle w:val="Compact"/>
              <w:jc w:val="left"/>
            </w:pPr>
            <w:r>
              <w:rPr>
                <w:bCs/>
                <w:b/>
              </w:rPr>
              <w:t xml:space="preserve">Compensation −6 %/an (2025-2028)</w:t>
            </w:r>
            <w:r>
              <w:t xml:space="preserve"> </w:t>
            </w:r>
            <w:r>
              <w:t xml:space="preserve">; MT au coût de service d’ici 2026 ; équilibre du secteur 2028 ; politique tarifaire fin 2027 (ou fin 2026)</w:t>
            </w:r>
          </w:p>
        </w:tc>
        <w:tc>
          <w:tcPr>
            <w:tcW w:w="1039" w:type="dxa"/>
          </w:tcPr>
          <w:tcPr/>
          <w:p>
            <w:pPr>
              <w:pStyle w:val="Compact"/>
              <w:jc w:val="left"/>
            </w:pPr>
            <w:r>
              <w:t xml:space="preserve">Non mentionné</w:t>
            </w:r>
          </w:p>
        </w:tc>
        <w:tc>
          <w:tcPr>
            <w:tcW w:w="945" w:type="dxa"/>
          </w:tcPr>
          <w:tcPr/>
          <w:p>
            <w:pPr>
              <w:pStyle w:val="Compact"/>
              <w:jc w:val="left"/>
            </w:pPr>
            <w:r>
              <w:t xml:space="preserve">Oui (modèle tarifaire fin 2025)</w:t>
            </w:r>
          </w:p>
        </w:tc>
        <w:tc>
          <w:tcPr>
            <w:tcW w:w="1757" w:type="dxa"/>
          </w:tcPr>
          <w:tcPr/>
          <w:p>
            <w:pPr>
              <w:pStyle w:val="Compact"/>
              <w:jc w:val="left"/>
            </w:pPr>
            <w:r>
              <w:t xml:space="preserve">Restructuration d’ENEO fin 2026 (rachat d’Actis, dettes)</w:t>
            </w:r>
          </w:p>
        </w:tc>
        <w:tc>
          <w:tcPr>
            <w:tcW w:w="1076" w:type="dxa"/>
          </w:tcPr>
          <w:tcPr/>
          <w:p>
            <w:pPr>
              <w:pStyle w:val="Compact"/>
              <w:jc w:val="left"/>
            </w:pPr>
            <w:r>
              <w:t xml:space="preserve">Techniques 14 % + commerciales 14 % (rendement de distribution 73 %) → rendement 88 %</w:t>
            </w:r>
          </w:p>
        </w:tc>
        <w:tc>
          <w:tcPr>
            <w:tcW w:w="662" w:type="dxa"/>
          </w:tcPr>
          <w:tcPr/>
          <w:p>
            <w:pPr>
              <w:pStyle w:val="Compact"/>
              <w:jc w:val="left"/>
            </w:pPr>
            <w:r>
              <w:t xml:space="preserve">Non</w:t>
            </w:r>
          </w:p>
        </w:tc>
        <w:tc>
          <w:tcPr>
            <w:tcW w:w="662" w:type="dxa"/>
          </w:tcPr>
          <w:tcPr/>
          <w:p>
            <w:pPr>
              <w:pStyle w:val="Compact"/>
              <w:jc w:val="left"/>
            </w:pPr>
            <w:r>
              <w:t xml:space="preserve">—</w:t>
            </w:r>
          </w:p>
        </w:tc>
      </w:tr>
      <w:tr>
        <w:tc>
          <w:tcPr>
            <w:tcW w:w="662" w:type="dxa"/>
          </w:tcPr>
          <w:tcPr/>
          <w:p>
            <w:pPr>
              <w:pStyle w:val="Compact"/>
              <w:jc w:val="left"/>
            </w:pPr>
            <w:r>
              <w:t xml:space="preserve">Comores (COM)</w:t>
            </w:r>
          </w:p>
        </w:tc>
        <w:tc>
          <w:tcPr>
            <w:tcW w:w="907" w:type="dxa"/>
          </w:tcPr>
          <w:tcPr/>
          <w:p>
            <w:pPr>
              <w:pStyle w:val="Compact"/>
              <w:jc w:val="left"/>
            </w:pPr>
            <w:r>
              <w:t xml:space="preserve">SONELEC</w:t>
            </w:r>
          </w:p>
        </w:tc>
        <w:tc>
          <w:tcPr>
            <w:tcW w:w="1152" w:type="dxa"/>
          </w:tcPr>
          <w:tcPr/>
          <w:p>
            <w:pPr>
              <w:pStyle w:val="Compact"/>
              <w:jc w:val="left"/>
            </w:pPr>
            <w:r>
              <w:t xml:space="preserve">C2, NY 24/09/2025</w:t>
            </w:r>
          </w:p>
        </w:tc>
        <w:tc>
          <w:tcPr>
            <w:tcW w:w="794" w:type="dxa"/>
          </w:tcPr>
          <w:tcPr/>
          <w:p>
            <w:pPr>
              <w:pStyle w:val="Compact"/>
              <w:jc w:val="left"/>
            </w:pPr>
            <w:r>
              <w:t xml:space="preserve">Pas de taux national (île : 95/49/87 %) → 100 %</w:t>
            </w:r>
          </w:p>
        </w:tc>
        <w:tc>
          <w:tcPr>
            <w:tcW w:w="1581" w:type="dxa"/>
          </w:tcPr>
          <w:tcPr/>
          <w:p>
            <w:pPr>
              <w:pStyle w:val="Compact"/>
              <w:jc w:val="left"/>
            </w:pPr>
            <w:r>
              <w:t xml:space="preserve">56,6 % (0,43 contre 0,76 USD/kWh) ; subventions ≈ 22 M USD/an</w:t>
            </w:r>
          </w:p>
        </w:tc>
        <w:tc>
          <w:tcPr>
            <w:tcW w:w="1072" w:type="dxa"/>
          </w:tcPr>
          <w:tcPr/>
          <w:p>
            <w:pPr>
              <w:pStyle w:val="Compact"/>
              <w:jc w:val="left"/>
            </w:pPr>
            <w:r>
              <w:t xml:space="preserve">[?]</w:t>
            </w:r>
          </w:p>
        </w:tc>
        <w:tc>
          <w:tcPr>
            <w:tcW w:w="2254" w:type="dxa"/>
          </w:tcPr>
          <w:tcPr/>
          <w:p>
            <w:pPr>
              <w:pStyle w:val="Compact"/>
              <w:jc w:val="left"/>
            </w:pPr>
            <w:r>
              <w:t xml:space="preserve">Méthodologie + structure juin 2026 ; application déc. 2026 ; coûts couverts 2030</w:t>
            </w:r>
          </w:p>
        </w:tc>
        <w:tc>
          <w:tcPr>
            <w:tcW w:w="1039" w:type="dxa"/>
          </w:tcPr>
          <w:tcPr/>
          <w:p>
            <w:pPr>
              <w:pStyle w:val="Compact"/>
              <w:jc w:val="left"/>
            </w:pPr>
            <w:r>
              <w:t xml:space="preserve">Oui (juin 2026)</w:t>
            </w:r>
          </w:p>
        </w:tc>
        <w:tc>
          <w:tcPr>
            <w:tcW w:w="945" w:type="dxa"/>
          </w:tcPr>
          <w:tcPr/>
          <w:p>
            <w:pPr>
              <w:pStyle w:val="Compact"/>
              <w:jc w:val="left"/>
            </w:pPr>
            <w:r>
              <w:t xml:space="preserve">Non explicite (évaluation d’accessibilité juin 2026)</w:t>
            </w:r>
          </w:p>
        </w:tc>
        <w:tc>
          <w:tcPr>
            <w:tcW w:w="1757" w:type="dxa"/>
          </w:tcPr>
          <w:tcPr/>
          <w:p>
            <w:pPr>
              <w:pStyle w:val="Compact"/>
              <w:jc w:val="left"/>
            </w:pPr>
            <w:r>
              <w:t xml:space="preserve">2 CP signés en 2025 ; option de l’opérateur unique</w:t>
            </w:r>
          </w:p>
        </w:tc>
        <w:tc>
          <w:tcPr>
            <w:tcW w:w="1076" w:type="dxa"/>
          </w:tcPr>
          <w:tcPr/>
          <w:p>
            <w:pPr>
              <w:pStyle w:val="Compact"/>
              <w:jc w:val="left"/>
            </w:pPr>
            <w:r>
              <w:t xml:space="preserve">37 % → &lt; 14 % ou 20 % (incohérence)</w:t>
            </w:r>
          </w:p>
        </w:tc>
        <w:tc>
          <w:tcPr>
            <w:tcW w:w="662" w:type="dxa"/>
          </w:tcPr>
          <w:tcPr/>
          <w:p>
            <w:pPr>
              <w:pStyle w:val="Compact"/>
              <w:jc w:val="left"/>
            </w:pPr>
            <w:r>
              <w:t xml:space="preserve">Non</w:t>
            </w:r>
          </w:p>
        </w:tc>
        <w:tc>
          <w:tcPr>
            <w:tcW w:w="662" w:type="dxa"/>
          </w:tcPr>
          <w:tcPr/>
          <w:p>
            <w:pPr>
              <w:pStyle w:val="Compact"/>
              <w:jc w:val="left"/>
            </w:pPr>
            <w:r>
              <w:t xml:space="preserve">—</w:t>
            </w:r>
          </w:p>
        </w:tc>
      </w:tr>
      <w:tr>
        <w:tc>
          <w:tcPr>
            <w:tcW w:w="662" w:type="dxa"/>
          </w:tcPr>
          <w:tcPr/>
          <w:p>
            <w:pPr>
              <w:pStyle w:val="Compact"/>
              <w:jc w:val="left"/>
            </w:pPr>
            <w:r>
              <w:t xml:space="preserve">Congo (COG)</w:t>
            </w:r>
          </w:p>
        </w:tc>
        <w:tc>
          <w:tcPr>
            <w:tcW w:w="907" w:type="dxa"/>
          </w:tcPr>
          <w:tcPr/>
          <w:p>
            <w:pPr>
              <w:pStyle w:val="Compact"/>
              <w:jc w:val="left"/>
            </w:pPr>
            <w:r>
              <w:t xml:space="preserve">E2C (statut transitoire depuis 2018)</w:t>
            </w:r>
          </w:p>
        </w:tc>
        <w:tc>
          <w:tcPr>
            <w:tcW w:w="1152" w:type="dxa"/>
          </w:tcPr>
          <w:tcPr/>
          <w:p>
            <w:pPr>
              <w:pStyle w:val="Compact"/>
              <w:jc w:val="left"/>
            </w:pPr>
            <w:r>
              <w:t xml:space="preserve">C2, sept. 2025 (événement [?])</w:t>
            </w:r>
          </w:p>
        </w:tc>
        <w:tc>
          <w:tcPr>
            <w:tcW w:w="794" w:type="dxa"/>
          </w:tcPr>
          <w:tcPr/>
          <w:p>
            <w:pPr>
              <w:pStyle w:val="Compact"/>
              <w:jc w:val="left"/>
            </w:pPr>
            <w:r>
              <w:t xml:space="preserve">31,66 % → 81,3 %</w:t>
            </w:r>
          </w:p>
        </w:tc>
        <w:tc>
          <w:tcPr>
            <w:tcW w:w="1581" w:type="dxa"/>
          </w:tcPr>
          <w:tcPr/>
          <w:p>
            <w:pPr>
              <w:pStyle w:val="Compact"/>
              <w:jc w:val="left"/>
            </w:pPr>
            <w:r>
              <w:t xml:space="preserve">56 % (0,09 contre 0,16 USD/kWh)</w:t>
            </w:r>
          </w:p>
        </w:tc>
        <w:tc>
          <w:tcPr>
            <w:tcW w:w="1072" w:type="dxa"/>
          </w:tcPr>
          <w:tcPr/>
          <w:p>
            <w:pPr>
              <w:pStyle w:val="Compact"/>
              <w:jc w:val="left"/>
            </w:pPr>
            <w:r>
              <w:rPr>
                <w:bCs/>
                <w:b/>
              </w:rPr>
              <w:t xml:space="preserve">Inchangés depuis 1994</w:t>
            </w:r>
          </w:p>
        </w:tc>
        <w:tc>
          <w:tcPr>
            <w:tcW w:w="2254" w:type="dxa"/>
          </w:tcPr>
          <w:tcPr/>
          <w:p>
            <w:pPr>
              <w:pStyle w:val="Compact"/>
              <w:jc w:val="left"/>
            </w:pPr>
            <w:r>
              <w:t xml:space="preserve">Tarif social déc. 2025 ; méthodologie du RR + nouvelle grille ≥ 100 % des coûts d’exploitation efficaces, déc. 2026</w:t>
            </w:r>
          </w:p>
        </w:tc>
        <w:tc>
          <w:tcPr>
            <w:tcW w:w="1039" w:type="dxa"/>
          </w:tcPr>
          <w:tcPr/>
          <w:p>
            <w:pPr>
              <w:pStyle w:val="Compact"/>
              <w:jc w:val="left"/>
            </w:pPr>
            <w:r>
              <w:t xml:space="preserve">Oui (déc. 2025)</w:t>
            </w:r>
          </w:p>
        </w:tc>
        <w:tc>
          <w:tcPr>
            <w:tcW w:w="945" w:type="dxa"/>
          </w:tcPr>
          <w:tcPr/>
          <w:p>
            <w:pPr>
              <w:pStyle w:val="Compact"/>
              <w:jc w:val="left"/>
            </w:pPr>
            <w:r>
              <w:t xml:space="preserve">Non explicite (méthodologie du RR)</w:t>
            </w:r>
          </w:p>
        </w:tc>
        <w:tc>
          <w:tcPr>
            <w:tcW w:w="1757" w:type="dxa"/>
          </w:tcPr>
          <w:tcPr/>
          <w:p>
            <w:pPr>
              <w:pStyle w:val="Compact"/>
              <w:jc w:val="left"/>
            </w:pPr>
            <w:r>
              <w:t xml:space="preserve">Société de transport en création ; pas de CP</w:t>
            </w:r>
          </w:p>
        </w:tc>
        <w:tc>
          <w:tcPr>
            <w:tcW w:w="1076" w:type="dxa"/>
          </w:tcPr>
          <w:tcPr/>
          <w:p>
            <w:pPr>
              <w:pStyle w:val="Compact"/>
              <w:jc w:val="left"/>
            </w:pPr>
            <w:r>
              <w:t xml:space="preserve">45 % (2022) → −3 %/an</w:t>
            </w:r>
          </w:p>
        </w:tc>
        <w:tc>
          <w:tcPr>
            <w:tcW w:w="662" w:type="dxa"/>
          </w:tcPr>
          <w:tcPr/>
          <w:p>
            <w:pPr>
              <w:pStyle w:val="Compact"/>
              <w:jc w:val="left"/>
            </w:pPr>
            <w:r>
              <w:t xml:space="preserve">Non</w:t>
            </w:r>
          </w:p>
        </w:tc>
        <w:tc>
          <w:tcPr>
            <w:tcW w:w="662" w:type="dxa"/>
          </w:tcPr>
          <w:tcPr/>
          <w:p>
            <w:pPr>
              <w:pStyle w:val="Compact"/>
              <w:jc w:val="left"/>
            </w:pPr>
            <w:r>
              <w:t xml:space="preserve">—</w:t>
            </w:r>
          </w:p>
        </w:tc>
      </w:tr>
      <w:tr>
        <w:tc>
          <w:tcPr>
            <w:tcW w:w="662" w:type="dxa"/>
          </w:tcPr>
          <w:tcPr/>
          <w:p>
            <w:pPr>
              <w:pStyle w:val="Compact"/>
              <w:jc w:val="left"/>
            </w:pPr>
            <w:r>
              <w:t xml:space="preserve">Éthiopie (ETH)</w:t>
            </w:r>
          </w:p>
        </w:tc>
        <w:tc>
          <w:tcPr>
            <w:tcW w:w="907" w:type="dxa"/>
          </w:tcPr>
          <w:tcPr/>
          <w:p>
            <w:pPr>
              <w:pStyle w:val="Compact"/>
              <w:jc w:val="left"/>
            </w:pPr>
            <w:r>
              <w:t xml:space="preserve">EEP ; EEU (déjà dégroupés)</w:t>
            </w:r>
          </w:p>
        </w:tc>
        <w:tc>
          <w:tcPr>
            <w:tcW w:w="1152" w:type="dxa"/>
          </w:tcPr>
          <w:tcPr/>
          <w:p>
            <w:pPr>
              <w:pStyle w:val="Compact"/>
              <w:jc w:val="left"/>
            </w:pPr>
            <w:r>
              <w:t xml:space="preserve">C2, sept. 2025 (NY [E] fiche)</w:t>
            </w:r>
          </w:p>
        </w:tc>
        <w:tc>
          <w:tcPr>
            <w:tcW w:w="794" w:type="dxa"/>
          </w:tcPr>
          <w:tcPr/>
          <w:p>
            <w:pPr>
              <w:pStyle w:val="Compact"/>
              <w:jc w:val="left"/>
            </w:pPr>
            <w:r>
              <w:t xml:space="preserve">Accès de base 44 % → 75 %</w:t>
            </w:r>
          </w:p>
        </w:tc>
        <w:tc>
          <w:tcPr>
            <w:tcW w:w="1581" w:type="dxa"/>
          </w:tcPr>
          <w:tcPr/>
          <w:p>
            <w:pPr>
              <w:pStyle w:val="Compact"/>
              <w:jc w:val="left"/>
            </w:pPr>
            <w:r>
              <w:t xml:space="preserve">&lt; 60 %</w:t>
            </w:r>
          </w:p>
        </w:tc>
        <w:tc>
          <w:tcPr>
            <w:tcW w:w="1072" w:type="dxa"/>
          </w:tcPr>
          <w:tcPr/>
          <w:p>
            <w:pPr>
              <w:pStyle w:val="Compact"/>
              <w:jc w:val="left"/>
            </w:pPr>
            <w:r>
              <w:t xml:space="preserve">Réforme lancée en sept. 2024, 16 hausses trimestrielles [S]</w:t>
            </w:r>
          </w:p>
        </w:tc>
        <w:tc>
          <w:tcPr>
            <w:tcW w:w="2254" w:type="dxa"/>
          </w:tcPr>
          <w:tcPr/>
          <w:p>
            <w:pPr>
              <w:pStyle w:val="Compact"/>
              <w:jc w:val="left"/>
            </w:pPr>
            <w:r>
              <w:rPr>
                <w:bCs/>
                <w:b/>
              </w:rPr>
              <w:t xml:space="preserve">Pleine couverture OPEX + dette en 2028</w:t>
            </w:r>
          </w:p>
        </w:tc>
        <w:tc>
          <w:tcPr>
            <w:tcW w:w="1039" w:type="dxa"/>
          </w:tcPr>
          <w:tcPr/>
          <w:p>
            <w:pPr>
              <w:pStyle w:val="Compact"/>
              <w:jc w:val="left"/>
            </w:pPr>
            <w:r>
              <w:t xml:space="preserve">PSO ciblée (163 300 USD)</w:t>
            </w:r>
          </w:p>
        </w:tc>
        <w:tc>
          <w:tcPr>
            <w:tcW w:w="945" w:type="dxa"/>
          </w:tcPr>
          <w:tcPr/>
          <w:p>
            <w:pPr>
              <w:pStyle w:val="Compact"/>
              <w:jc w:val="left"/>
            </w:pPr>
            <w:r>
              <w:t xml:space="preserve">[?] (conseil BM 2028)</w:t>
            </w:r>
          </w:p>
        </w:tc>
        <w:tc>
          <w:tcPr>
            <w:tcW w:w="1757" w:type="dxa"/>
          </w:tcPr>
          <w:tcPr/>
          <w:p>
            <w:pPr>
              <w:pStyle w:val="Compact"/>
              <w:jc w:val="left"/>
            </w:pPr>
            <w:r>
              <w:t xml:space="preserve">CP signés avec EEP et EEU (2024-2025)</w:t>
            </w:r>
          </w:p>
        </w:tc>
        <w:tc>
          <w:tcPr>
            <w:tcW w:w="1076" w:type="dxa"/>
          </w:tcPr>
          <w:tcPr/>
          <w:p>
            <w:pPr>
              <w:pStyle w:val="Compact"/>
              <w:jc w:val="left"/>
            </w:pPr>
            <w:r>
              <w:t xml:space="preserve">T&amp;D &gt; 27 % → &lt; 19 %</w:t>
            </w:r>
          </w:p>
        </w:tc>
        <w:tc>
          <w:tcPr>
            <w:tcW w:w="662" w:type="dxa"/>
          </w:tcPr>
          <w:tcPr/>
          <w:p>
            <w:pPr>
              <w:pStyle w:val="Compact"/>
              <w:jc w:val="left"/>
            </w:pPr>
            <w:r>
              <w:t xml:space="preserve">Non</w:t>
            </w:r>
          </w:p>
        </w:tc>
        <w:tc>
          <w:tcPr>
            <w:tcW w:w="662" w:type="dxa"/>
          </w:tcPr>
          <w:tcPr/>
          <w:p>
            <w:pPr>
              <w:pStyle w:val="Compact"/>
              <w:jc w:val="left"/>
            </w:pPr>
            <w:r>
              <w:t xml:space="preserve">—</w:t>
            </w:r>
          </w:p>
        </w:tc>
      </w:tr>
      <w:tr>
        <w:tc>
          <w:tcPr>
            <w:tcW w:w="662" w:type="dxa"/>
          </w:tcPr>
          <w:tcPr/>
          <w:p>
            <w:pPr>
              <w:pStyle w:val="Compact"/>
              <w:jc w:val="left"/>
            </w:pPr>
            <w:r>
              <w:t xml:space="preserve">Gambie (GMB)</w:t>
            </w:r>
          </w:p>
        </w:tc>
        <w:tc>
          <w:tcPr>
            <w:tcW w:w="907" w:type="dxa"/>
          </w:tcPr>
          <w:tcPr/>
          <w:p>
            <w:pPr>
              <w:pStyle w:val="Compact"/>
              <w:jc w:val="left"/>
            </w:pPr>
            <w:r>
              <w:t xml:space="preserve">NAWEC (eau + électricité)</w:t>
            </w:r>
          </w:p>
        </w:tc>
        <w:tc>
          <w:tcPr>
            <w:tcW w:w="1152" w:type="dxa"/>
          </w:tcPr>
          <w:tcPr/>
          <w:p>
            <w:pPr>
              <w:pStyle w:val="Compact"/>
              <w:jc w:val="left"/>
            </w:pPr>
            <w:r>
              <w:t xml:space="preserve">C2, sept. 2025 (événement [?])</w:t>
            </w:r>
          </w:p>
        </w:tc>
        <w:tc>
          <w:tcPr>
            <w:tcW w:w="794" w:type="dxa"/>
          </w:tcPr>
          <w:tcPr/>
          <w:p>
            <w:pPr>
              <w:pStyle w:val="Compact"/>
              <w:jc w:val="left"/>
            </w:pPr>
            <w:r>
              <w:t xml:space="preserve">73,7 % → 100 %</w:t>
            </w:r>
          </w:p>
        </w:tc>
        <w:tc>
          <w:tcPr>
            <w:tcW w:w="1581" w:type="dxa"/>
          </w:tcPr>
          <w:tcPr/>
          <w:p>
            <w:pPr>
              <w:pStyle w:val="Compact"/>
              <w:jc w:val="left"/>
            </w:pPr>
            <w:r>
              <w:t xml:space="preserve">Tarif domestique 0,21 contre coût de production 0,18 USD/kWh ; marge nette −28 % ou −37 %</w:t>
            </w:r>
          </w:p>
        </w:tc>
        <w:tc>
          <w:tcPr>
            <w:tcW w:w="1072" w:type="dxa"/>
          </w:tcPr>
          <w:tcPr/>
          <w:p>
            <w:pPr>
              <w:pStyle w:val="Compact"/>
              <w:jc w:val="left"/>
            </w:pPr>
            <w:r>
              <w:t xml:space="preserve">Hausse pondérée de 37 % en 2023</w:t>
            </w:r>
          </w:p>
        </w:tc>
        <w:tc>
          <w:tcPr>
            <w:tcW w:w="2254" w:type="dxa"/>
          </w:tcPr>
          <w:tcPr/>
          <w:p>
            <w:pPr>
              <w:pStyle w:val="Compact"/>
              <w:jc w:val="left"/>
            </w:pPr>
            <w:r>
              <w:t xml:space="preserve">CoS ; délai de couverture « e.g., 5 years » non arrêté ; répercussion des coûts (« inconsistent »)</w:t>
            </w:r>
          </w:p>
        </w:tc>
        <w:tc>
          <w:tcPr>
            <w:tcW w:w="1039" w:type="dxa"/>
          </w:tcPr>
          <w:tcPr/>
          <w:p>
            <w:pPr>
              <w:pStyle w:val="Compact"/>
              <w:jc w:val="left"/>
            </w:pPr>
            <w:r>
              <w:t xml:space="preserve">Aides ciblées via le registre social</w:t>
            </w:r>
          </w:p>
        </w:tc>
        <w:tc>
          <w:tcPr>
            <w:tcW w:w="945" w:type="dxa"/>
          </w:tcPr>
          <w:tcPr/>
          <w:p>
            <w:pPr>
              <w:pStyle w:val="Compact"/>
              <w:jc w:val="left"/>
            </w:pPr>
            <w:r>
              <w:t xml:space="preserve">Oui (non datée)</w:t>
            </w:r>
          </w:p>
        </w:tc>
        <w:tc>
          <w:tcPr>
            <w:tcW w:w="1757" w:type="dxa"/>
          </w:tcPr>
          <w:tcPr/>
          <w:p>
            <w:pPr>
              <w:pStyle w:val="Compact"/>
              <w:jc w:val="left"/>
            </w:pPr>
            <w:r>
              <w:t xml:space="preserve">Séparation eau/électricité + CP (sans date) ; pas de privé en T&amp;D</w:t>
            </w:r>
          </w:p>
        </w:tc>
        <w:tc>
          <w:tcPr>
            <w:tcW w:w="1076" w:type="dxa"/>
          </w:tcPr>
          <w:tcPr/>
          <w:p>
            <w:pPr>
              <w:pStyle w:val="Compact"/>
              <w:jc w:val="left"/>
            </w:pPr>
            <w:r>
              <w:t xml:space="preserve">21,52 % → 18 %</w:t>
            </w:r>
          </w:p>
        </w:tc>
        <w:tc>
          <w:tcPr>
            <w:tcW w:w="662" w:type="dxa"/>
          </w:tcPr>
          <w:tcPr/>
          <w:p>
            <w:pPr>
              <w:pStyle w:val="Compact"/>
              <w:jc w:val="left"/>
            </w:pPr>
            <w:r>
              <w:t xml:space="preserve">Non</w:t>
            </w:r>
          </w:p>
        </w:tc>
        <w:tc>
          <w:tcPr>
            <w:tcW w:w="662" w:type="dxa"/>
          </w:tcPr>
          <w:tcPr/>
          <w:p>
            <w:pPr>
              <w:pStyle w:val="Compact"/>
              <w:jc w:val="left"/>
            </w:pPr>
            <w:r>
              <w:t xml:space="preserve">—</w:t>
            </w:r>
          </w:p>
        </w:tc>
      </w:tr>
      <w:tr>
        <w:tc>
          <w:tcPr>
            <w:tcW w:w="662" w:type="dxa"/>
          </w:tcPr>
          <w:tcPr/>
          <w:p>
            <w:pPr>
              <w:pStyle w:val="Compact"/>
              <w:jc w:val="left"/>
            </w:pPr>
            <w:r>
              <w:t xml:space="preserve">Ghana (GHA)</w:t>
            </w:r>
          </w:p>
        </w:tc>
        <w:tc>
          <w:tcPr>
            <w:tcW w:w="907" w:type="dxa"/>
          </w:tcPr>
          <w:tcPr/>
          <w:p>
            <w:pPr>
              <w:pStyle w:val="Compact"/>
              <w:jc w:val="left"/>
            </w:pPr>
            <w:r>
              <w:t xml:space="preserve">ECG, NEDCo, VRA, GRIDCo</w:t>
            </w:r>
          </w:p>
        </w:tc>
        <w:tc>
          <w:tcPr>
            <w:tcW w:w="1152" w:type="dxa"/>
          </w:tcPr>
          <w:tcPr/>
          <w:p>
            <w:pPr>
              <w:pStyle w:val="Compact"/>
              <w:jc w:val="left"/>
            </w:pPr>
            <w:r>
              <w:t xml:space="preserve">C2, sept. 2025 (événement [?])</w:t>
            </w:r>
          </w:p>
        </w:tc>
        <w:tc>
          <w:tcPr>
            <w:tcW w:w="794" w:type="dxa"/>
          </w:tcPr>
          <w:tcPr/>
          <w:p>
            <w:pPr>
              <w:pStyle w:val="Compact"/>
              <w:jc w:val="left"/>
            </w:pPr>
            <w:r>
              <w:t xml:space="preserve">89 % → 99 %</w:t>
            </w:r>
          </w:p>
        </w:tc>
        <w:tc>
          <w:tcPr>
            <w:tcW w:w="1581" w:type="dxa"/>
          </w:tcPr>
          <w:tcPr/>
          <w:p>
            <w:pPr>
              <w:pStyle w:val="Compact"/>
              <w:jc w:val="left"/>
            </w:pPr>
            <w:r>
              <w:t xml:space="preserve">Écart tarifaire de 18 %</w:t>
            </w:r>
          </w:p>
        </w:tc>
        <w:tc>
          <w:tcPr>
            <w:tcW w:w="1072" w:type="dxa"/>
          </w:tcPr>
          <w:tcPr/>
          <w:p>
            <w:pPr>
              <w:pStyle w:val="Compact"/>
              <w:jc w:val="left"/>
            </w:pPr>
            <w:r>
              <w:t xml:space="preserve">[?]</w:t>
            </w:r>
          </w:p>
        </w:tc>
        <w:tc>
          <w:tcPr>
            <w:tcW w:w="2254" w:type="dxa"/>
          </w:tcPr>
          <w:tcPr/>
          <w:p>
            <w:pPr>
              <w:pStyle w:val="Compact"/>
              <w:jc w:val="left"/>
            </w:pPr>
            <w:r>
              <w:t xml:space="preserve">Combler l’écart de 18 % ; recouvrement intégral 2027 (MYTO déc. 2025, trimestriel) ; annexe : « +15 %/an »</w:t>
            </w:r>
          </w:p>
        </w:tc>
        <w:tc>
          <w:tcPr>
            <w:tcW w:w="1039" w:type="dxa"/>
          </w:tcPr>
          <w:tcPr/>
          <w:p>
            <w:pPr>
              <w:pStyle w:val="Compact"/>
              <w:jc w:val="left"/>
            </w:pPr>
            <w:r>
              <w:t xml:space="preserve">Lifeline → ciblage LEAP 0-30 kWh (« explore »)</w:t>
            </w:r>
          </w:p>
        </w:tc>
        <w:tc>
          <w:tcPr>
            <w:tcW w:w="945" w:type="dxa"/>
          </w:tcPr>
          <w:tcPr/>
          <w:p>
            <w:pPr>
              <w:pStyle w:val="Compact"/>
              <w:jc w:val="left"/>
            </w:pPr>
            <w:r>
              <w:t xml:space="preserve">Oui (2026)</w:t>
            </w:r>
          </w:p>
        </w:tc>
        <w:tc>
          <w:tcPr>
            <w:tcW w:w="1757" w:type="dxa"/>
          </w:tcPr>
          <w:tcPr/>
          <w:p>
            <w:pPr>
              <w:pStyle w:val="Compact"/>
              <w:jc w:val="left"/>
            </w:pPr>
            <w:r>
              <w:t xml:space="preserve">Concession privée d’ECG : sélection janv. 2026, contrat T4 2026</w:t>
            </w:r>
          </w:p>
        </w:tc>
        <w:tc>
          <w:tcPr>
            <w:tcW w:w="1076" w:type="dxa"/>
          </w:tcPr>
          <w:tcPr/>
          <w:p>
            <w:pPr>
              <w:pStyle w:val="Compact"/>
              <w:jc w:val="left"/>
            </w:pPr>
            <w:r>
              <w:t xml:space="preserve">ECG distribution 27 % → 23 % (ATC&amp;C ≈ 25 %)</w:t>
            </w:r>
          </w:p>
        </w:tc>
        <w:tc>
          <w:tcPr>
            <w:tcW w:w="662" w:type="dxa"/>
          </w:tcPr>
          <w:tcPr/>
          <w:p>
            <w:pPr>
              <w:pStyle w:val="Compact"/>
              <w:jc w:val="left"/>
            </w:pPr>
            <w:r>
              <w:t xml:space="preserve">Non</w:t>
            </w:r>
          </w:p>
        </w:tc>
        <w:tc>
          <w:tcPr>
            <w:tcW w:w="662" w:type="dxa"/>
          </w:tcPr>
          <w:tcPr/>
          <w:p>
            <w:pPr>
              <w:pStyle w:val="Compact"/>
              <w:jc w:val="left"/>
            </w:pPr>
            <w:r>
              <w:t xml:space="preserve">—</w:t>
            </w:r>
          </w:p>
        </w:tc>
      </w:tr>
      <w:tr>
        <w:tc>
          <w:tcPr>
            <w:tcW w:w="662" w:type="dxa"/>
          </w:tcPr>
          <w:tcPr/>
          <w:p>
            <w:pPr>
              <w:pStyle w:val="Compact"/>
              <w:jc w:val="left"/>
            </w:pPr>
            <w:r>
              <w:t xml:space="preserve">Guinée (GIN)</w:t>
            </w:r>
          </w:p>
        </w:tc>
        <w:tc>
          <w:tcPr>
            <w:tcW w:w="907" w:type="dxa"/>
          </w:tcPr>
          <w:tcPr/>
          <w:p>
            <w:pPr>
              <w:pStyle w:val="Compact"/>
              <w:jc w:val="left"/>
            </w:pPr>
            <w:r>
              <w:t xml:space="preserve">EDG (acheteur unique)</w:t>
            </w:r>
          </w:p>
        </w:tc>
        <w:tc>
          <w:tcPr>
            <w:tcW w:w="1152" w:type="dxa"/>
          </w:tcPr>
          <w:tcPr/>
          <w:p>
            <w:pPr>
              <w:pStyle w:val="Compact"/>
              <w:jc w:val="left"/>
            </w:pPr>
            <w:r>
              <w:t xml:space="preserve">C2, sept. 2025, NY (cité par le pacte)</w:t>
            </w:r>
          </w:p>
        </w:tc>
        <w:tc>
          <w:tcPr>
            <w:tcW w:w="794" w:type="dxa"/>
          </w:tcPr>
          <w:tcPr/>
          <w:p>
            <w:pPr>
              <w:pStyle w:val="Compact"/>
              <w:jc w:val="left"/>
            </w:pPr>
            <w:r>
              <w:t xml:space="preserve">53 % → 100 %</w:t>
            </w:r>
          </w:p>
        </w:tc>
        <w:tc>
          <w:tcPr>
            <w:tcW w:w="1581" w:type="dxa"/>
          </w:tcPr>
          <w:tcPr/>
          <w:p>
            <w:pPr>
              <w:pStyle w:val="Compact"/>
              <w:jc w:val="left"/>
            </w:pPr>
            <w:r>
              <w:t xml:space="preserve">45 % (10 c)</w:t>
            </w:r>
            <w:r>
              <w:t xml:space="preserve"> </w:t>
            </w:r>
            <w:r>
              <w:rPr>
                <w:bCs/>
                <w:b/>
              </w:rPr>
              <w:t xml:space="preserve">ou</w:t>
            </w:r>
            <w:r>
              <w:t xml:space="preserve"> </w:t>
            </w:r>
            <w:r>
              <w:t xml:space="preserve">36 % (8 c), pour un coût de 22 c USD/kWh</w:t>
            </w:r>
          </w:p>
        </w:tc>
        <w:tc>
          <w:tcPr>
            <w:tcW w:w="1072" w:type="dxa"/>
          </w:tcPr>
          <w:tcPr/>
          <w:p>
            <w:pPr>
              <w:pStyle w:val="Compact"/>
              <w:jc w:val="left"/>
            </w:pPr>
            <w:r>
              <w:t xml:space="preserve">2021 (après 2018 et 2019)</w:t>
            </w:r>
          </w:p>
        </w:tc>
        <w:tc>
          <w:tcPr>
            <w:tcW w:w="2254" w:type="dxa"/>
          </w:tcPr>
          <w:tcPr/>
          <w:p>
            <w:pPr>
              <w:pStyle w:val="Compact"/>
              <w:jc w:val="left"/>
            </w:pPr>
            <w:r>
              <w:rPr>
                <w:bCs/>
                <w:b/>
              </w:rPr>
              <w:t xml:space="preserve">+12 %/an de 2024 à 2029 (+97,38 % cumulés)</w:t>
            </w:r>
            <w:r>
              <w:t xml:space="preserve">, équilibre 2029</w:t>
            </w:r>
          </w:p>
        </w:tc>
        <w:tc>
          <w:tcPr>
            <w:tcW w:w="1039" w:type="dxa"/>
          </w:tcPr>
          <w:tcPr/>
          <w:p>
            <w:pPr>
              <w:pStyle w:val="Compact"/>
              <w:jc w:val="left"/>
            </w:pPr>
            <w:r>
              <w:t xml:space="preserve">Vague (mécanismes non détaillés)</w:t>
            </w:r>
          </w:p>
        </w:tc>
        <w:tc>
          <w:tcPr>
            <w:tcW w:w="945" w:type="dxa"/>
          </w:tcPr>
          <w:tcPr/>
          <w:p>
            <w:pPr>
              <w:pStyle w:val="Compact"/>
              <w:jc w:val="left"/>
            </w:pPr>
            <w:r>
              <w:t xml:space="preserve">[?] (méthodologie adoptée en 2024)</w:t>
            </w:r>
          </w:p>
        </w:tc>
        <w:tc>
          <w:tcPr>
            <w:tcW w:w="1757" w:type="dxa"/>
          </w:tcPr>
          <w:tcPr/>
          <w:p>
            <w:pPr>
              <w:pStyle w:val="Compact"/>
              <w:jc w:val="left"/>
            </w:pPr>
            <w:r>
              <w:t xml:space="preserve">Convention de concession + CP EDG fin 2025 ; fin du monopole du transport</w:t>
            </w:r>
          </w:p>
        </w:tc>
        <w:tc>
          <w:tcPr>
            <w:tcW w:w="1076" w:type="dxa"/>
          </w:tcPr>
          <w:tcPr/>
          <w:p>
            <w:pPr>
              <w:pStyle w:val="Compact"/>
              <w:jc w:val="left"/>
            </w:pPr>
            <w:r>
              <w:t xml:space="preserve">30 % → 8 % (trajectoire annuelle)</w:t>
            </w:r>
          </w:p>
        </w:tc>
        <w:tc>
          <w:tcPr>
            <w:tcW w:w="662" w:type="dxa"/>
          </w:tcPr>
          <w:tcPr/>
          <w:p>
            <w:pPr>
              <w:pStyle w:val="Compact"/>
              <w:jc w:val="left"/>
            </w:pPr>
            <w:r>
              <w:t xml:space="preserve">Non</w:t>
            </w:r>
          </w:p>
        </w:tc>
        <w:tc>
          <w:tcPr>
            <w:tcW w:w="662" w:type="dxa"/>
          </w:tcPr>
          <w:tcPr/>
          <w:p>
            <w:pPr>
              <w:pStyle w:val="Compact"/>
              <w:jc w:val="left"/>
            </w:pPr>
            <w:r>
              <w:t xml:space="preserve">—</w:t>
            </w:r>
          </w:p>
        </w:tc>
      </w:tr>
      <w:tr>
        <w:tc>
          <w:tcPr>
            <w:tcW w:w="662" w:type="dxa"/>
          </w:tcPr>
          <w:tcPr/>
          <w:p>
            <w:pPr>
              <w:pStyle w:val="Compact"/>
              <w:jc w:val="left"/>
            </w:pPr>
            <w:r>
              <w:t xml:space="preserve">Kenya (KEN)</w:t>
            </w:r>
          </w:p>
        </w:tc>
        <w:tc>
          <w:tcPr>
            <w:tcW w:w="907" w:type="dxa"/>
          </w:tcPr>
          <w:tcPr/>
          <w:p>
            <w:pPr>
              <w:pStyle w:val="Compact"/>
              <w:jc w:val="left"/>
            </w:pPr>
            <w:r>
              <w:t xml:space="preserve">KPLC, KenGen, KETRACO (dégroupés)</w:t>
            </w:r>
          </w:p>
        </w:tc>
        <w:tc>
          <w:tcPr>
            <w:tcW w:w="1152" w:type="dxa"/>
          </w:tcPr>
          <w:tcPr/>
          <w:p>
            <w:pPr>
              <w:pStyle w:val="Compact"/>
              <w:jc w:val="left"/>
            </w:pPr>
            <w:r>
              <w:t xml:space="preserve">C2, sept. 2025 (NY [E] fiche)</w:t>
            </w:r>
          </w:p>
        </w:tc>
        <w:tc>
          <w:tcPr>
            <w:tcW w:w="794" w:type="dxa"/>
          </w:tcPr>
          <w:tcPr/>
          <w:p>
            <w:pPr>
              <w:pStyle w:val="Compact"/>
              <w:jc w:val="left"/>
            </w:pPr>
            <w:r>
              <w:t xml:space="preserve">&gt; 75 % → 100 %</w:t>
            </w:r>
          </w:p>
        </w:tc>
        <w:tc>
          <w:tcPr>
            <w:tcW w:w="1581" w:type="dxa"/>
          </w:tcPr>
          <w:tcPr/>
          <w:p>
            <w:pPr>
              <w:pStyle w:val="Compact"/>
              <w:jc w:val="left"/>
            </w:pPr>
            <w:r>
              <w:t xml:space="preserve">[?]</w:t>
            </w:r>
          </w:p>
        </w:tc>
        <w:tc>
          <w:tcPr>
            <w:tcW w:w="1072" w:type="dxa"/>
          </w:tcPr>
          <w:tcPr/>
          <w:p>
            <w:pPr>
              <w:pStyle w:val="Compact"/>
              <w:jc w:val="left"/>
            </w:pPr>
            <w:r>
              <w:t xml:space="preserve">Demande KPLC du 31/03/2026 retirée le 03/06/2026 [S]</w:t>
            </w:r>
          </w:p>
        </w:tc>
        <w:tc>
          <w:tcPr>
            <w:tcW w:w="2254" w:type="dxa"/>
          </w:tcPr>
          <w:tcPr/>
          <w:p>
            <w:pPr>
              <w:pStyle w:val="Compact"/>
              <w:jc w:val="left"/>
            </w:pPr>
            <w:r>
              <w:t xml:space="preserve">Ordonnance tarifaire 2026-2029 d’ici avril 2026 ; révision tous les 3 ans</w:t>
            </w:r>
          </w:p>
        </w:tc>
        <w:tc>
          <w:tcPr>
            <w:tcW w:w="1039" w:type="dxa"/>
          </w:tcPr>
          <w:tcPr/>
          <w:p>
            <w:pPr>
              <w:pStyle w:val="Compact"/>
              <w:jc w:val="left"/>
            </w:pPr>
            <w:r>
              <w:t xml:space="preserve">Non (électricité) ; GPL 6 kg subventionné</w:t>
            </w:r>
          </w:p>
        </w:tc>
        <w:tc>
          <w:tcPr>
            <w:tcW w:w="945" w:type="dxa"/>
          </w:tcPr>
          <w:tcPr/>
          <w:p>
            <w:pPr>
              <w:pStyle w:val="Compact"/>
              <w:jc w:val="left"/>
            </w:pPr>
            <w:r>
              <w:t xml:space="preserve">Oui (FY2025/26, puis tous les 3 ans)</w:t>
            </w:r>
          </w:p>
        </w:tc>
        <w:tc>
          <w:tcPr>
            <w:tcW w:w="1757" w:type="dxa"/>
          </w:tcPr>
          <w:tcPr/>
          <w:p>
            <w:pPr>
              <w:pStyle w:val="Compact"/>
              <w:jc w:val="left"/>
            </w:pPr>
            <w:r>
              <w:t xml:space="preserve">Plans d’affaires ; marché concurrentiel</w:t>
            </w:r>
          </w:p>
        </w:tc>
        <w:tc>
          <w:tcPr>
            <w:tcW w:w="1076" w:type="dxa"/>
          </w:tcPr>
          <w:tcPr/>
          <w:p>
            <w:pPr>
              <w:pStyle w:val="Compact"/>
              <w:jc w:val="left"/>
            </w:pPr>
            <w:r>
              <w:t xml:space="preserve">23,16 % → 15 %</w:t>
            </w:r>
          </w:p>
        </w:tc>
        <w:tc>
          <w:tcPr>
            <w:tcW w:w="662" w:type="dxa"/>
          </w:tcPr>
          <w:tcPr/>
          <w:p>
            <w:pPr>
              <w:pStyle w:val="Compact"/>
              <w:jc w:val="left"/>
            </w:pPr>
            <w:r>
              <w:t xml:space="preserve">Non</w:t>
            </w:r>
          </w:p>
        </w:tc>
        <w:tc>
          <w:tcPr>
            <w:tcW w:w="662" w:type="dxa"/>
          </w:tcPr>
          <w:tcPr/>
          <w:p>
            <w:pPr>
              <w:pStyle w:val="Compact"/>
              <w:jc w:val="left"/>
            </w:pPr>
            <w:r>
              <w:t xml:space="preserve">—</w:t>
            </w:r>
          </w:p>
        </w:tc>
      </w:tr>
      <w:tr>
        <w:tc>
          <w:tcPr>
            <w:tcW w:w="662" w:type="dxa"/>
          </w:tcPr>
          <w:tcPr/>
          <w:p>
            <w:pPr>
              <w:pStyle w:val="Compact"/>
              <w:jc w:val="left"/>
            </w:pPr>
            <w:r>
              <w:t xml:space="preserve">Lesotho (LSO)</w:t>
            </w:r>
          </w:p>
        </w:tc>
        <w:tc>
          <w:tcPr>
            <w:tcW w:w="907" w:type="dxa"/>
          </w:tcPr>
          <w:tcPr/>
          <w:p>
            <w:pPr>
              <w:pStyle w:val="Compact"/>
              <w:jc w:val="left"/>
            </w:pPr>
            <w:r>
              <w:t xml:space="preserve">LEC</w:t>
            </w:r>
          </w:p>
        </w:tc>
        <w:tc>
          <w:tcPr>
            <w:tcW w:w="1152" w:type="dxa"/>
          </w:tcPr>
          <w:tcPr/>
          <w:p>
            <w:pPr>
              <w:pStyle w:val="Compact"/>
              <w:jc w:val="left"/>
            </w:pPr>
            <w:r>
              <w:t xml:space="preserve">C2, sept. 2025, NY</w:t>
            </w:r>
          </w:p>
        </w:tc>
        <w:tc>
          <w:tcPr>
            <w:tcW w:w="794" w:type="dxa"/>
          </w:tcPr>
          <w:tcPr/>
          <w:p>
            <w:pPr>
              <w:pStyle w:val="Compact"/>
              <w:jc w:val="left"/>
            </w:pPr>
            <w:r>
              <w:t xml:space="preserve">53 % → 100 %</w:t>
            </w:r>
          </w:p>
        </w:tc>
        <w:tc>
          <w:tcPr>
            <w:tcW w:w="1581" w:type="dxa"/>
          </w:tcPr>
          <w:tcPr/>
          <w:p>
            <w:pPr>
              <w:pStyle w:val="Compact"/>
              <w:jc w:val="left"/>
            </w:pPr>
            <w:r>
              <w:t xml:space="preserve">[?] (« à déterminer après la CoS »)</w:t>
            </w:r>
          </w:p>
        </w:tc>
        <w:tc>
          <w:tcPr>
            <w:tcW w:w="1072" w:type="dxa"/>
          </w:tcPr>
          <w:tcPr/>
          <w:p>
            <w:pPr>
              <w:pStyle w:val="Compact"/>
              <w:jc w:val="left"/>
            </w:pPr>
            <w:r>
              <w:t xml:space="preserve">[?]</w:t>
            </w:r>
          </w:p>
        </w:tc>
        <w:tc>
          <w:tcPr>
            <w:tcW w:w="2254" w:type="dxa"/>
          </w:tcPr>
          <w:tcPr/>
          <w:p>
            <w:pPr>
              <w:pStyle w:val="Compact"/>
              <w:jc w:val="left"/>
            </w:pPr>
            <w:r>
              <w:t xml:space="preserve">CoS déc. 2025 → mécanisme automatique mars 2026 → ajustement semestriel mai 2026</w:t>
            </w:r>
          </w:p>
        </w:tc>
        <w:tc>
          <w:tcPr>
            <w:tcW w:w="1039" w:type="dxa"/>
          </w:tcPr>
          <w:tcPr/>
          <w:p>
            <w:pPr>
              <w:pStyle w:val="Compact"/>
              <w:jc w:val="left"/>
            </w:pPr>
            <w:r>
              <w:t xml:space="preserve">Oui (lifeline, mai 2026)</w:t>
            </w:r>
          </w:p>
        </w:tc>
        <w:tc>
          <w:tcPr>
            <w:tcW w:w="945" w:type="dxa"/>
          </w:tcPr>
          <w:tcPr/>
          <w:p>
            <w:pPr>
              <w:pStyle w:val="Compact"/>
              <w:jc w:val="left"/>
            </w:pPr>
            <w:r>
              <w:t xml:space="preserve">Oui (déc. 2025)</w:t>
            </w:r>
          </w:p>
        </w:tc>
        <w:tc>
          <w:tcPr>
            <w:tcW w:w="1757" w:type="dxa"/>
          </w:tcPr>
          <w:tcPr/>
          <w:p>
            <w:pPr>
              <w:pStyle w:val="Compact"/>
              <w:jc w:val="left"/>
            </w:pPr>
            <w:r>
              <w:t xml:space="preserve">PIP / Turn Around Strategy ; étude des modèles de gestion de LEC</w:t>
            </w:r>
          </w:p>
        </w:tc>
        <w:tc>
          <w:tcPr>
            <w:tcW w:w="1076" w:type="dxa"/>
          </w:tcPr>
          <w:tcPr/>
          <w:p>
            <w:pPr>
              <w:pStyle w:val="Compact"/>
              <w:jc w:val="left"/>
            </w:pPr>
            <w:r>
              <w:t xml:space="preserve">AT&amp;C 10 % → [?] (« −20,9 %/an » ambigu)</w:t>
            </w:r>
          </w:p>
        </w:tc>
        <w:tc>
          <w:tcPr>
            <w:tcW w:w="662" w:type="dxa"/>
          </w:tcPr>
          <w:tcPr/>
          <w:p>
            <w:pPr>
              <w:pStyle w:val="Compact"/>
              <w:jc w:val="left"/>
            </w:pPr>
            <w:r>
              <w:t xml:space="preserve">Oui</w:t>
            </w:r>
          </w:p>
        </w:tc>
        <w:tc>
          <w:tcPr>
            <w:tcW w:w="662" w:type="dxa"/>
          </w:tcPr>
          <w:tcPr/>
          <w:p>
            <w:pPr>
              <w:pStyle w:val="Compact"/>
              <w:jc w:val="left"/>
            </w:pPr>
            <w:r>
              <w:t xml:space="preserve">38/61 ≈ 62 % (2 prioritaires)</w:t>
            </w:r>
          </w:p>
        </w:tc>
      </w:tr>
      <w:tr>
        <w:tc>
          <w:tcPr>
            <w:tcW w:w="662" w:type="dxa"/>
          </w:tcPr>
          <w:tcPr/>
          <w:p>
            <w:pPr>
              <w:pStyle w:val="Compact"/>
              <w:jc w:val="left"/>
            </w:pPr>
            <w:r>
              <w:t xml:space="preserve">Mozambique (MOZ)</w:t>
            </w:r>
          </w:p>
        </w:tc>
        <w:tc>
          <w:tcPr>
            <w:tcW w:w="907" w:type="dxa"/>
          </w:tcPr>
          <w:tcPr/>
          <w:p>
            <w:pPr>
              <w:pStyle w:val="Compact"/>
              <w:jc w:val="left"/>
            </w:pPr>
            <w:r>
              <w:t xml:space="preserve">EDM ; HCB ; MOTRACO</w:t>
            </w:r>
          </w:p>
        </w:tc>
        <w:tc>
          <w:tcPr>
            <w:tcW w:w="1152" w:type="dxa"/>
          </w:tcPr>
          <w:tcPr/>
          <w:p>
            <w:pPr>
              <w:pStyle w:val="Compact"/>
              <w:jc w:val="left"/>
            </w:pPr>
            <w:r>
              <w:t xml:space="preserve">C2, sept. 2025 (NY [E] fiche)</w:t>
            </w:r>
          </w:p>
        </w:tc>
        <w:tc>
          <w:tcPr>
            <w:tcW w:w="794" w:type="dxa"/>
          </w:tcPr>
          <w:tcPr/>
          <w:p>
            <w:pPr>
              <w:pStyle w:val="Compact"/>
              <w:jc w:val="left"/>
            </w:pPr>
            <w:r>
              <w:t xml:space="preserve">60,1 % → 100 %</w:t>
            </w:r>
          </w:p>
        </w:tc>
        <w:tc>
          <w:tcPr>
            <w:tcW w:w="1581" w:type="dxa"/>
          </w:tcPr>
          <w:tcPr/>
          <w:p>
            <w:pPr>
              <w:pStyle w:val="Compact"/>
              <w:jc w:val="left"/>
            </w:pPr>
            <w:r>
              <w:t xml:space="preserve">EDM ≥ 100 % des coûts d’exploitation (dette incluse) en 2023, en recouvrement des coûts depuis 2021</w:t>
            </w:r>
          </w:p>
        </w:tc>
        <w:tc>
          <w:tcPr>
            <w:tcW w:w="1072" w:type="dxa"/>
          </w:tcPr>
          <w:tcPr/>
          <w:p>
            <w:pPr>
              <w:pStyle w:val="Compact"/>
              <w:jc w:val="left"/>
            </w:pPr>
            <w:r>
              <w:t xml:space="preserve">Révision 2018-2019 ; méthodologie de 2022 non appliquée</w:t>
            </w:r>
          </w:p>
        </w:tc>
        <w:tc>
          <w:tcPr>
            <w:tcW w:w="2254" w:type="dxa"/>
          </w:tcPr>
          <w:tcPr/>
          <w:p>
            <w:pPr>
              <w:pStyle w:val="Compact"/>
              <w:jc w:val="left"/>
            </w:pPr>
            <w:r>
              <w:t xml:space="preserve">Appliquer la méthodologie de 2022 en 2026</w:t>
            </w:r>
          </w:p>
        </w:tc>
        <w:tc>
          <w:tcPr>
            <w:tcW w:w="1039" w:type="dxa"/>
          </w:tcPr>
          <w:tcPr/>
          <w:p>
            <w:pPr>
              <w:pStyle w:val="Compact"/>
              <w:jc w:val="left"/>
            </w:pPr>
            <w:r>
              <w:t xml:space="preserve">Vague (« protéger les faibles revenus »)</w:t>
            </w:r>
          </w:p>
        </w:tc>
        <w:tc>
          <w:tcPr>
            <w:tcW w:w="945" w:type="dxa"/>
          </w:tcPr>
          <w:tcPr/>
          <w:p>
            <w:pPr>
              <w:pStyle w:val="Compact"/>
              <w:jc w:val="left"/>
            </w:pPr>
            <w:r>
              <w:t xml:space="preserve">[?]</w:t>
            </w:r>
          </w:p>
        </w:tc>
        <w:tc>
          <w:tcPr>
            <w:tcW w:w="1757" w:type="dxa"/>
          </w:tcPr>
          <w:tcPr/>
          <w:p>
            <w:pPr>
              <w:pStyle w:val="Compact"/>
              <w:jc w:val="left"/>
            </w:pPr>
            <w:r>
              <w:t xml:space="preserve">Opérateur système indépendant (2026-2028)</w:t>
            </w:r>
          </w:p>
        </w:tc>
        <w:tc>
          <w:tcPr>
            <w:tcW w:w="1076" w:type="dxa"/>
          </w:tcPr>
          <w:tcPr/>
          <w:p>
            <w:pPr>
              <w:pStyle w:val="Compact"/>
              <w:jc w:val="left"/>
            </w:pPr>
            <w:r>
              <w:t xml:space="preserve">29 % → 24 %</w:t>
            </w:r>
          </w:p>
        </w:tc>
        <w:tc>
          <w:tcPr>
            <w:tcW w:w="662" w:type="dxa"/>
          </w:tcPr>
          <w:tcPr/>
          <w:p>
            <w:pPr>
              <w:pStyle w:val="Compact"/>
              <w:jc w:val="left"/>
            </w:pPr>
            <w:r>
              <w:t xml:space="preserve">Non</w:t>
            </w:r>
          </w:p>
        </w:tc>
        <w:tc>
          <w:tcPr>
            <w:tcW w:w="662" w:type="dxa"/>
          </w:tcPr>
          <w:tcPr/>
          <w:p>
            <w:pPr>
              <w:pStyle w:val="Compact"/>
              <w:jc w:val="left"/>
            </w:pPr>
            <w:r>
              <w:t xml:space="preserve">—</w:t>
            </w:r>
          </w:p>
        </w:tc>
      </w:tr>
      <w:tr>
        <w:tc>
          <w:tcPr>
            <w:tcW w:w="662" w:type="dxa"/>
          </w:tcPr>
          <w:tcPr/>
          <w:p>
            <w:pPr>
              <w:pStyle w:val="Compact"/>
              <w:jc w:val="left"/>
            </w:pPr>
            <w:r>
              <w:t xml:space="preserve">Namibie (NAM)</w:t>
            </w:r>
          </w:p>
        </w:tc>
        <w:tc>
          <w:tcPr>
            <w:tcW w:w="907" w:type="dxa"/>
          </w:tcPr>
          <w:tcPr/>
          <w:p>
            <w:pPr>
              <w:pStyle w:val="Compact"/>
              <w:jc w:val="left"/>
            </w:pPr>
            <w:r>
              <w:t xml:space="preserve">NamPower (acheteur unique modifié) ; REDs ; collectivités</w:t>
            </w:r>
          </w:p>
        </w:tc>
        <w:tc>
          <w:tcPr>
            <w:tcW w:w="1152" w:type="dxa"/>
          </w:tcPr>
          <w:tcPr/>
          <w:p>
            <w:pPr>
              <w:pStyle w:val="Compact"/>
              <w:jc w:val="left"/>
            </w:pPr>
            <w:r>
              <w:t xml:space="preserve">Page BM déc. 2025 (inventaire : endossé à NY en sept. 2025)</w:t>
            </w:r>
          </w:p>
        </w:tc>
        <w:tc>
          <w:tcPr>
            <w:tcW w:w="794" w:type="dxa"/>
          </w:tcPr>
          <w:tcPr/>
          <w:p>
            <w:pPr>
              <w:pStyle w:val="Compact"/>
              <w:jc w:val="left"/>
            </w:pPr>
            <w:r>
              <w:t xml:space="preserve">59,5 % → 70 % (universel en 2040)</w:t>
            </w:r>
          </w:p>
        </w:tc>
        <w:tc>
          <w:tcPr>
            <w:tcW w:w="1581" w:type="dxa"/>
          </w:tcPr>
          <w:tcPr/>
          <w:p>
            <w:pPr>
              <w:pStyle w:val="Compact"/>
              <w:jc w:val="left"/>
            </w:pPr>
            <w:r>
              <w:t xml:space="preserve">Tarif 0,117 contre coût 0,113 USD/kWh (2024), mais indicateur « No »</w:t>
            </w:r>
          </w:p>
        </w:tc>
        <w:tc>
          <w:tcPr>
            <w:tcW w:w="1072" w:type="dxa"/>
          </w:tcPr>
          <w:tcPr/>
          <w:p>
            <w:pPr>
              <w:pStyle w:val="Compact"/>
              <w:jc w:val="left"/>
            </w:pPr>
            <w:r>
              <w:t xml:space="preserve">[?]</w:t>
            </w:r>
          </w:p>
        </w:tc>
        <w:tc>
          <w:tcPr>
            <w:tcW w:w="2254" w:type="dxa"/>
          </w:tcPr>
          <w:tcPr/>
          <w:p>
            <w:pPr>
              <w:pStyle w:val="Compact"/>
              <w:jc w:val="left"/>
            </w:pPr>
            <w:r>
              <w:t xml:space="preserve">Régulation incitative pluriannuelle (PBR) 2026/27 ; financement des réseaux hors tarif</w:t>
            </w:r>
          </w:p>
        </w:tc>
        <w:tc>
          <w:tcPr>
            <w:tcW w:w="1039" w:type="dxa"/>
          </w:tcPr>
          <w:tcPr/>
          <w:p>
            <w:pPr>
              <w:pStyle w:val="Compact"/>
              <w:jc w:val="left"/>
            </w:pPr>
            <w:r>
              <w:t xml:space="preserve">[?]</w:t>
            </w:r>
          </w:p>
        </w:tc>
        <w:tc>
          <w:tcPr>
            <w:tcW w:w="945" w:type="dxa"/>
          </w:tcPr>
          <w:tcPr/>
          <w:p>
            <w:pPr>
              <w:pStyle w:val="Compact"/>
              <w:jc w:val="left"/>
            </w:pPr>
            <w:r>
              <w:t xml:space="preserve">Non (diagnostic des distributeurs)</w:t>
            </w:r>
          </w:p>
        </w:tc>
        <w:tc>
          <w:tcPr>
            <w:tcW w:w="1757" w:type="dxa"/>
          </w:tcPr>
          <w:tcPr/>
          <w:p>
            <w:pPr>
              <w:pStyle w:val="Compact"/>
              <w:jc w:val="left"/>
            </w:pPr>
            <w:r>
              <w:t xml:space="preserve">PBR ; évaluation du modèle d’acheteur unique modifié</w:t>
            </w:r>
          </w:p>
        </w:tc>
        <w:tc>
          <w:tcPr>
            <w:tcW w:w="1076" w:type="dxa"/>
          </w:tcPr>
          <w:tcPr/>
          <w:p>
            <w:pPr>
              <w:pStyle w:val="Compact"/>
              <w:jc w:val="left"/>
            </w:pPr>
            <w:r>
              <w:t xml:space="preserve">AT&amp;C 11,1 % → [?]</w:t>
            </w:r>
          </w:p>
        </w:tc>
        <w:tc>
          <w:tcPr>
            <w:tcW w:w="662" w:type="dxa"/>
          </w:tcPr>
          <w:tcPr/>
          <w:p>
            <w:pPr>
              <w:pStyle w:val="Compact"/>
              <w:jc w:val="left"/>
            </w:pPr>
            <w:r>
              <w:t xml:space="preserve">Non</w:t>
            </w:r>
          </w:p>
        </w:tc>
        <w:tc>
          <w:tcPr>
            <w:tcW w:w="662" w:type="dxa"/>
          </w:tcPr>
          <w:tcPr/>
          <w:p>
            <w:pPr>
              <w:pStyle w:val="Compact"/>
              <w:jc w:val="left"/>
            </w:pPr>
            <w:r>
              <w:t xml:space="preserve">—</w:t>
            </w:r>
          </w:p>
        </w:tc>
      </w:tr>
      <w:tr>
        <w:tc>
          <w:tcPr>
            <w:tcW w:w="662" w:type="dxa"/>
          </w:tcPr>
          <w:tcPr/>
          <w:p>
            <w:pPr>
              <w:pStyle w:val="Compact"/>
              <w:jc w:val="left"/>
            </w:pPr>
            <w:r>
              <w:t xml:space="preserve">São Tomé-et-Príncipe (STP)</w:t>
            </w:r>
          </w:p>
        </w:tc>
        <w:tc>
          <w:tcPr>
            <w:tcW w:w="907" w:type="dxa"/>
          </w:tcPr>
          <w:tcPr/>
          <w:p>
            <w:pPr>
              <w:pStyle w:val="Compact"/>
              <w:jc w:val="left"/>
            </w:pPr>
            <w:r>
              <w:t xml:space="preserve">EMAE</w:t>
            </w:r>
          </w:p>
        </w:tc>
        <w:tc>
          <w:tcPr>
            <w:tcW w:w="1152" w:type="dxa"/>
          </w:tcPr>
          <w:tcPr/>
          <w:p>
            <w:pPr>
              <w:pStyle w:val="Compact"/>
              <w:jc w:val="left"/>
            </w:pPr>
            <w:r>
              <w:t xml:space="preserve">C2, sept. 2025 (événement [?])</w:t>
            </w:r>
          </w:p>
        </w:tc>
        <w:tc>
          <w:tcPr>
            <w:tcW w:w="794" w:type="dxa"/>
          </w:tcPr>
          <w:tcPr/>
          <w:p>
            <w:pPr>
              <w:pStyle w:val="Compact"/>
              <w:jc w:val="left"/>
            </w:pPr>
            <w:r>
              <w:t xml:space="preserve">84 % → 100 %</w:t>
            </w:r>
          </w:p>
        </w:tc>
        <w:tc>
          <w:tcPr>
            <w:tcW w:w="1581" w:type="dxa"/>
          </w:tcPr>
          <w:tcPr/>
          <w:p>
            <w:pPr>
              <w:pStyle w:val="Compact"/>
              <w:jc w:val="left"/>
            </w:pPr>
            <w:r>
              <w:t xml:space="preserve">[?] (« not available »)</w:t>
            </w:r>
          </w:p>
        </w:tc>
        <w:tc>
          <w:tcPr>
            <w:tcW w:w="1072" w:type="dxa"/>
          </w:tcPr>
          <w:tcPr/>
          <w:p>
            <w:pPr>
              <w:pStyle w:val="Compact"/>
              <w:jc w:val="left"/>
            </w:pPr>
            <w:r>
              <w:t xml:space="preserve">Tarifs gelés 2018-2024 ; +15 % au 01/01/2025</w:t>
            </w:r>
          </w:p>
        </w:tc>
        <w:tc>
          <w:tcPr>
            <w:tcW w:w="2254" w:type="dxa"/>
          </w:tcPr>
          <w:tcPr/>
          <w:p>
            <w:pPr>
              <w:pStyle w:val="Compact"/>
              <w:jc w:val="left"/>
            </w:pPr>
            <w:r>
              <w:rPr>
                <w:bCs/>
                <w:b/>
              </w:rPr>
              <w:t xml:space="preserve">Trajectoire de 5 ans vers le recouvrement intégral (2030) ; ajustement annuel</w:t>
            </w:r>
          </w:p>
        </w:tc>
        <w:tc>
          <w:tcPr>
            <w:tcW w:w="1039" w:type="dxa"/>
          </w:tcPr>
          <w:tcPr/>
          <w:p>
            <w:pPr>
              <w:pStyle w:val="Compact"/>
              <w:jc w:val="left"/>
            </w:pPr>
            <w:r>
              <w:t xml:space="preserve">Vague (réorientation des subventions)</w:t>
            </w:r>
          </w:p>
        </w:tc>
        <w:tc>
          <w:tcPr>
            <w:tcW w:w="945" w:type="dxa"/>
          </w:tcPr>
          <w:tcPr/>
          <w:p>
            <w:pPr>
              <w:pStyle w:val="Compact"/>
              <w:jc w:val="left"/>
            </w:pPr>
            <w:r>
              <w:t xml:space="preserve">[?]</w:t>
            </w:r>
          </w:p>
        </w:tc>
        <w:tc>
          <w:tcPr>
            <w:tcW w:w="1757" w:type="dxa"/>
          </w:tcPr>
          <w:tcPr/>
          <w:p>
            <w:pPr>
              <w:pStyle w:val="Compact"/>
              <w:jc w:val="left"/>
            </w:pPr>
            <w:r>
              <w:t xml:space="preserve">Concession des activités commerciales d’EMAE (2026) ; compte centralisé des recettes (2027)</w:t>
            </w:r>
          </w:p>
        </w:tc>
        <w:tc>
          <w:tcPr>
            <w:tcW w:w="1076" w:type="dxa"/>
          </w:tcPr>
          <w:tcPr/>
          <w:p>
            <w:pPr>
              <w:pStyle w:val="Compact"/>
              <w:jc w:val="left"/>
            </w:pPr>
            <w:r>
              <w:t xml:space="preserve">ATCC 34 % → 18 %</w:t>
            </w:r>
          </w:p>
        </w:tc>
        <w:tc>
          <w:tcPr>
            <w:tcW w:w="662" w:type="dxa"/>
          </w:tcPr>
          <w:tcPr/>
          <w:p>
            <w:pPr>
              <w:pStyle w:val="Compact"/>
              <w:jc w:val="left"/>
            </w:pPr>
            <w:r>
              <w:t xml:space="preserve">Non</w:t>
            </w:r>
          </w:p>
        </w:tc>
        <w:tc>
          <w:tcPr>
            <w:tcW w:w="662" w:type="dxa"/>
          </w:tcPr>
          <w:tcPr/>
          <w:p>
            <w:pPr>
              <w:pStyle w:val="Compact"/>
              <w:jc w:val="left"/>
            </w:pPr>
            <w:r>
              <w:t xml:space="preserve">—</w:t>
            </w:r>
          </w:p>
        </w:tc>
      </w:tr>
      <w:tr>
        <w:tc>
          <w:tcPr>
            <w:tcW w:w="662" w:type="dxa"/>
          </w:tcPr>
          <w:tcPr/>
          <w:p>
            <w:pPr>
              <w:pStyle w:val="Compact"/>
              <w:jc w:val="left"/>
            </w:pPr>
            <w:r>
              <w:t xml:space="preserve">Sierra Leone (SLE)</w:t>
            </w:r>
          </w:p>
        </w:tc>
        <w:tc>
          <w:tcPr>
            <w:tcW w:w="907" w:type="dxa"/>
          </w:tcPr>
          <w:tcPr/>
          <w:p>
            <w:pPr>
              <w:pStyle w:val="Compact"/>
              <w:jc w:val="left"/>
            </w:pPr>
            <w:r>
              <w:t xml:space="preserve">EDSA ; EGTC</w:t>
            </w:r>
          </w:p>
        </w:tc>
        <w:tc>
          <w:tcPr>
            <w:tcW w:w="1152" w:type="dxa"/>
          </w:tcPr>
          <w:tcPr/>
          <w:p>
            <w:pPr>
              <w:pStyle w:val="Compact"/>
              <w:jc w:val="left"/>
            </w:pPr>
            <w:r>
              <w:t xml:space="preserve">C2, sept. 2025 (événement [?])</w:t>
            </w:r>
          </w:p>
        </w:tc>
        <w:tc>
          <w:tcPr>
            <w:tcW w:w="794" w:type="dxa"/>
          </w:tcPr>
          <w:tcPr/>
          <w:p>
            <w:pPr>
              <w:pStyle w:val="Compact"/>
              <w:jc w:val="left"/>
            </w:pPr>
            <w:r>
              <w:t xml:space="preserve">36 % → 78 %</w:t>
            </w:r>
          </w:p>
        </w:tc>
        <w:tc>
          <w:tcPr>
            <w:tcW w:w="1581" w:type="dxa"/>
          </w:tcPr>
          <w:tcPr/>
          <w:p>
            <w:pPr>
              <w:pStyle w:val="Compact"/>
              <w:jc w:val="left"/>
            </w:pPr>
            <w:r>
              <w:t xml:space="preserve">Tarif 0,21 contre coût de fourniture 0,28 USD/kWh ; subventions &gt; 40 M USD (fin 2024)</w:t>
            </w:r>
          </w:p>
        </w:tc>
        <w:tc>
          <w:tcPr>
            <w:tcW w:w="1072" w:type="dxa"/>
          </w:tcPr>
          <w:tcPr/>
          <w:p>
            <w:pPr>
              <w:pStyle w:val="Compact"/>
              <w:jc w:val="left"/>
            </w:pPr>
            <w:r>
              <w:t xml:space="preserve">[?]</w:t>
            </w:r>
          </w:p>
        </w:tc>
        <w:tc>
          <w:tcPr>
            <w:tcW w:w="2254" w:type="dxa"/>
          </w:tcPr>
          <w:tcPr/>
          <w:p>
            <w:pPr>
              <w:pStyle w:val="Compact"/>
              <w:jc w:val="left"/>
            </w:pPr>
            <w:r>
              <w:t xml:space="preserve">MYTO réseau avril 2026 (« by 2025 » dans la déclaration) ; mise en œuvre 2026-2030</w:t>
            </w:r>
          </w:p>
        </w:tc>
        <w:tc>
          <w:tcPr>
            <w:tcW w:w="1039" w:type="dxa"/>
          </w:tcPr>
          <w:tcPr/>
          <w:p>
            <w:pPr>
              <w:pStyle w:val="Compact"/>
              <w:jc w:val="left"/>
            </w:pPr>
            <w:r>
              <w:t xml:space="preserve">Subvention « pro-poor » au raccordement</w:t>
            </w:r>
          </w:p>
        </w:tc>
        <w:tc>
          <w:tcPr>
            <w:tcW w:w="945" w:type="dxa"/>
          </w:tcPr>
          <w:tcPr/>
          <w:p>
            <w:pPr>
              <w:pStyle w:val="Compact"/>
              <w:jc w:val="left"/>
            </w:pPr>
            <w:r>
              <w:t xml:space="preserve">[?]</w:t>
            </w:r>
          </w:p>
        </w:tc>
        <w:tc>
          <w:tcPr>
            <w:tcW w:w="1757" w:type="dxa"/>
          </w:tcPr>
          <w:tcPr/>
          <w:p>
            <w:pPr>
              <w:pStyle w:val="Compact"/>
              <w:jc w:val="left"/>
            </w:pPr>
            <w:r>
              <w:t xml:space="preserve">Concession OM&amp;M d’EDSA (mars 2026), après un contrat de gestion financé par ESURP</w:t>
            </w:r>
          </w:p>
        </w:tc>
        <w:tc>
          <w:tcPr>
            <w:tcW w:w="1076" w:type="dxa"/>
          </w:tcPr>
          <w:tcPr/>
          <w:p>
            <w:pPr>
              <w:pStyle w:val="Compact"/>
              <w:jc w:val="left"/>
            </w:pPr>
            <w:r>
              <w:t xml:space="preserve">&gt; 50 % (53,2 %) → [?]</w:t>
            </w:r>
          </w:p>
        </w:tc>
        <w:tc>
          <w:tcPr>
            <w:tcW w:w="662" w:type="dxa"/>
          </w:tcPr>
          <w:tcPr/>
          <w:p>
            <w:pPr>
              <w:pStyle w:val="Compact"/>
              <w:jc w:val="left"/>
            </w:pPr>
            <w:r>
              <w:t xml:space="preserve">Non</w:t>
            </w:r>
          </w:p>
        </w:tc>
        <w:tc>
          <w:tcPr>
            <w:tcW w:w="662" w:type="dxa"/>
          </w:tcPr>
          <w:tcPr/>
          <w:p>
            <w:pPr>
              <w:pStyle w:val="Compact"/>
              <w:jc w:val="left"/>
            </w:pPr>
            <w:r>
              <w:t xml:space="preserve">—</w:t>
            </w:r>
          </w:p>
        </w:tc>
      </w:tr>
      <w:tr>
        <w:tc>
          <w:tcPr>
            <w:tcW w:w="662" w:type="dxa"/>
          </w:tcPr>
          <w:tcPr/>
          <w:p>
            <w:pPr>
              <w:pStyle w:val="Compact"/>
              <w:jc w:val="left"/>
            </w:pPr>
            <w:r>
              <w:t xml:space="preserve">Togo (TGO)</w:t>
            </w:r>
          </w:p>
        </w:tc>
        <w:tc>
          <w:tcPr>
            <w:tcW w:w="907" w:type="dxa"/>
          </w:tcPr>
          <w:tcPr/>
          <w:p>
            <w:pPr>
              <w:pStyle w:val="Compact"/>
              <w:jc w:val="left"/>
            </w:pPr>
            <w:r>
              <w:t xml:space="preserve">CEET ; CEB</w:t>
            </w:r>
          </w:p>
        </w:tc>
        <w:tc>
          <w:tcPr>
            <w:tcW w:w="1152" w:type="dxa"/>
          </w:tcPr>
          <w:tcPr/>
          <w:p>
            <w:pPr>
              <w:pStyle w:val="Compact"/>
              <w:jc w:val="left"/>
            </w:pPr>
            <w:r>
              <w:t xml:space="preserve">C2, sept. 2025 (événement [?] dans la fiche)</w:t>
            </w:r>
          </w:p>
        </w:tc>
        <w:tc>
          <w:tcPr>
            <w:tcW w:w="794" w:type="dxa"/>
          </w:tcPr>
          <w:tcPr/>
          <w:p>
            <w:pPr>
              <w:pStyle w:val="Compact"/>
              <w:jc w:val="left"/>
            </w:pPr>
            <w:r>
              <w:t xml:space="preserve">70 % → 100 %</w:t>
            </w:r>
          </w:p>
        </w:tc>
        <w:tc>
          <w:tcPr>
            <w:tcW w:w="1581" w:type="dxa"/>
          </w:tcPr>
          <w:tcPr/>
          <w:p>
            <w:pPr>
              <w:pStyle w:val="Compact"/>
              <w:jc w:val="left"/>
            </w:pPr>
            <w:r>
              <w:t xml:space="preserve">Tarif 104,6 contre coût 125,1-130 FCFA/kWh (≈ 80-84 % [E])</w:t>
            </w:r>
          </w:p>
        </w:tc>
        <w:tc>
          <w:tcPr>
            <w:tcW w:w="1072" w:type="dxa"/>
          </w:tcPr>
          <w:tcPr/>
          <w:p>
            <w:pPr>
              <w:pStyle w:val="Compact"/>
              <w:jc w:val="left"/>
            </w:pPr>
            <w:r>
              <w:t xml:space="preserve">Grille de mai 2025 (tarifs inchangés depuis plus de 10 ans selon Tetra Tech 2022)</w:t>
            </w:r>
          </w:p>
        </w:tc>
        <w:tc>
          <w:tcPr>
            <w:tcW w:w="2254" w:type="dxa"/>
          </w:tcPr>
          <w:tcPr/>
          <w:p>
            <w:pPr>
              <w:pStyle w:val="Compact"/>
              <w:jc w:val="left"/>
            </w:pPr>
            <w:r>
              <w:t xml:space="preserve">Alignement progressif sur les coûts, équilibre 2030 ; révision du cadre T4 2028</w:t>
            </w:r>
          </w:p>
        </w:tc>
        <w:tc>
          <w:tcPr>
            <w:tcW w:w="1039" w:type="dxa"/>
          </w:tcPr>
          <w:tcPr/>
          <w:p>
            <w:pPr>
              <w:pStyle w:val="Compact"/>
              <w:jc w:val="left"/>
            </w:pPr>
            <w:r>
              <w:t xml:space="preserve">Vague (« mécanismes de protection »)</w:t>
            </w:r>
          </w:p>
        </w:tc>
        <w:tc>
          <w:tcPr>
            <w:tcW w:w="945" w:type="dxa"/>
          </w:tcPr>
          <w:tcPr/>
          <w:p>
            <w:pPr>
              <w:pStyle w:val="Compact"/>
              <w:jc w:val="left"/>
            </w:pPr>
            <w:r>
              <w:t xml:space="preserve">[?]</w:t>
            </w:r>
          </w:p>
        </w:tc>
        <w:tc>
          <w:tcPr>
            <w:tcW w:w="1757" w:type="dxa"/>
          </w:tcPr>
          <w:tcPr/>
          <w:p>
            <w:pPr>
              <w:pStyle w:val="Compact"/>
              <w:jc w:val="left"/>
            </w:pPr>
            <w:r>
              <w:t xml:space="preserve">Restructuration de la CEET (T3 2026 ou 2027), « ouverture du capital » ; CEB en GRT</w:t>
            </w:r>
          </w:p>
        </w:tc>
        <w:tc>
          <w:tcPr>
            <w:tcW w:w="1076" w:type="dxa"/>
          </w:tcPr>
          <w:tcPr/>
          <w:p>
            <w:pPr>
              <w:pStyle w:val="Compact"/>
              <w:jc w:val="left"/>
            </w:pPr>
            <w:r>
              <w:t xml:space="preserve">Distribution 16,04 % → 12 %</w:t>
            </w:r>
          </w:p>
        </w:tc>
        <w:tc>
          <w:tcPr>
            <w:tcW w:w="662" w:type="dxa"/>
          </w:tcPr>
          <w:tcPr/>
          <w:p>
            <w:pPr>
              <w:pStyle w:val="Compact"/>
              <w:jc w:val="left"/>
            </w:pPr>
            <w:r>
              <w:t xml:space="preserve">Non</w:t>
            </w:r>
          </w:p>
        </w:tc>
        <w:tc>
          <w:tcPr>
            <w:tcW w:w="662" w:type="dxa"/>
          </w:tcPr>
          <w:tcPr/>
          <w:p>
            <w:pPr>
              <w:pStyle w:val="Compact"/>
              <w:jc w:val="left"/>
            </w:pPr>
            <w:r>
              <w:t xml:space="preserve">—</w:t>
            </w:r>
          </w:p>
        </w:tc>
      </w:tr>
      <w:tr>
        <w:tc>
          <w:tcPr>
            <w:tcW w:w="662" w:type="dxa"/>
          </w:tcPr>
          <w:tcPr/>
          <w:p>
            <w:pPr>
              <w:pStyle w:val="Compact"/>
              <w:jc w:val="left"/>
            </w:pPr>
            <w:r>
              <w:t xml:space="preserve">Zimbabwe (ZWE)</w:t>
            </w:r>
          </w:p>
        </w:tc>
        <w:tc>
          <w:tcPr>
            <w:tcW w:w="907" w:type="dxa"/>
          </w:tcPr>
          <w:tcPr/>
          <w:p>
            <w:pPr>
              <w:pStyle w:val="Compact"/>
              <w:jc w:val="left"/>
            </w:pPr>
            <w:r>
              <w:t xml:space="preserve">ZESA (ZPC, ZETDC)</w:t>
            </w:r>
          </w:p>
        </w:tc>
        <w:tc>
          <w:tcPr>
            <w:tcW w:w="1152" w:type="dxa"/>
          </w:tcPr>
          <w:tcPr/>
          <w:p>
            <w:pPr>
              <w:pStyle w:val="Compact"/>
              <w:jc w:val="left"/>
            </w:pPr>
            <w:r>
              <w:t xml:space="preserve">Oct. 2025, Johannesburg (« 2e cohorte de 18 »)</w:t>
            </w:r>
          </w:p>
        </w:tc>
        <w:tc>
          <w:tcPr>
            <w:tcW w:w="794" w:type="dxa"/>
          </w:tcPr>
          <w:tcPr/>
          <w:p>
            <w:pPr>
              <w:pStyle w:val="Compact"/>
              <w:jc w:val="left"/>
            </w:pPr>
            <w:r>
              <w:t xml:space="preserve">62 % ou 41 % → 100 %</w:t>
            </w:r>
          </w:p>
        </w:tc>
        <w:tc>
          <w:tcPr>
            <w:tcW w:w="1581" w:type="dxa"/>
          </w:tcPr>
          <w:tcPr/>
          <w:p>
            <w:pPr>
              <w:pStyle w:val="Compact"/>
              <w:jc w:val="left"/>
            </w:pPr>
            <w:r>
              <w:t xml:space="preserve">Tarif moyen 16,08 USc/kWh ; « la plupart des catégories » au coût selon le pacte</w:t>
            </w:r>
          </w:p>
        </w:tc>
        <w:tc>
          <w:tcPr>
            <w:tcW w:w="1072" w:type="dxa"/>
          </w:tcPr>
          <w:tcPr/>
          <w:p>
            <w:pPr>
              <w:pStyle w:val="Compact"/>
              <w:jc w:val="left"/>
            </w:pPr>
            <w:r>
              <w:t xml:space="preserve">+21 % le 01/12/2023</w:t>
            </w:r>
          </w:p>
        </w:tc>
        <w:tc>
          <w:tcPr>
            <w:tcW w:w="2254" w:type="dxa"/>
          </w:tcPr>
          <w:tcPr/>
          <w:p>
            <w:pPr>
              <w:pStyle w:val="Compact"/>
              <w:jc w:val="left"/>
            </w:pPr>
            <w:r>
              <w:t xml:space="preserve">≥ 100 % des coûts d’exploitation en monnaie locale</w:t>
            </w:r>
            <w:r>
              <w:t xml:space="preserve"> </w:t>
            </w:r>
            <w:r>
              <w:rPr>
                <w:bCs/>
                <w:b/>
              </w:rPr>
              <w:t xml:space="preserve">et en devises</w:t>
            </w:r>
            <w:r>
              <w:t xml:space="preserve">, T4 2027</w:t>
            </w:r>
          </w:p>
        </w:tc>
        <w:tc>
          <w:tcPr>
            <w:tcW w:w="1039" w:type="dxa"/>
          </w:tcPr>
          <w:tcPr/>
          <w:p>
            <w:pPr>
              <w:pStyle w:val="Compact"/>
              <w:jc w:val="left"/>
            </w:pPr>
            <w:r>
              <w:t xml:space="preserve">Non mentionné</w:t>
            </w:r>
          </w:p>
        </w:tc>
        <w:tc>
          <w:tcPr>
            <w:tcW w:w="945" w:type="dxa"/>
          </w:tcPr>
          <w:tcPr/>
          <w:p>
            <w:pPr>
              <w:pStyle w:val="Compact"/>
              <w:jc w:val="left"/>
            </w:pPr>
            <w:r>
              <w:t xml:space="preserve">Oui (révision de la CoS 2020, T4 2026)</w:t>
            </w:r>
          </w:p>
        </w:tc>
        <w:tc>
          <w:tcPr>
            <w:tcW w:w="1757" w:type="dxa"/>
          </w:tcPr>
          <w:tcPr/>
          <w:p>
            <w:pPr>
              <w:pStyle w:val="Compact"/>
              <w:jc w:val="left"/>
            </w:pPr>
            <w:r>
              <w:t xml:space="preserve">Nouvelle structure T4 2025 ; PIP T1 2027 ; dette historique T4 2027</w:t>
            </w:r>
          </w:p>
        </w:tc>
        <w:tc>
          <w:tcPr>
            <w:tcW w:w="1076" w:type="dxa"/>
          </w:tcPr>
          <w:tcPr/>
          <w:p>
            <w:pPr>
              <w:pStyle w:val="Compact"/>
              <w:jc w:val="left"/>
            </w:pPr>
            <w:r>
              <w:t xml:space="preserve">Techniques 18-20 % → 14 %</w:t>
            </w:r>
          </w:p>
        </w:tc>
        <w:tc>
          <w:tcPr>
            <w:tcW w:w="662" w:type="dxa"/>
          </w:tcPr>
          <w:tcPr/>
          <w:p>
            <w:pPr>
              <w:pStyle w:val="Compact"/>
              <w:jc w:val="left"/>
            </w:pPr>
            <w:r>
              <w:t xml:space="preserve">Oui</w:t>
            </w:r>
          </w:p>
        </w:tc>
        <w:tc>
          <w:tcPr>
            <w:tcW w:w="662" w:type="dxa"/>
          </w:tcPr>
          <w:tcPr/>
          <w:p>
            <w:pPr>
              <w:pStyle w:val="Compact"/>
              <w:jc w:val="left"/>
            </w:pPr>
            <w:r>
              <w:t xml:space="preserve">16/71 ≈ 23 % (4 prioritaires)</w:t>
            </w:r>
          </w:p>
        </w:tc>
      </w:tr>
    </w:tbl>
    <w:bookmarkEnd w:id="23"/>
    <w:bookmarkStart w:id="24" w:name="Xe4d8781e17a17dcaeac9ffd319ef1a6a8baefc2"/>
    <w:p>
      <w:pPr>
        <w:pStyle w:val="Heading2"/>
      </w:pPr>
      <w:r>
        <w:t xml:space="preserve">2.3 Cohorte 3 — juin 2026 (Africa Energy Forum, Cape Town)</w:t>
      </w:r>
    </w:p>
    <w:tbl>
      <w:tblPr>
        <w:tblStyle w:val="Table"/>
        <w:tblW w:type="dxa" w:w="14570"/>
        <w:tblLook w:firstRow="1" w:lastRow="0" w:firstColumn="0" w:lastColumn="0" w:noHBand="0" w:noVBand="0" w:val="0020"/>
        <w:jc w:val="start"/>
      </w:tblPr>
      <w:tblGrid>
        <w:gridCol w:w="659"/>
        <w:gridCol w:w="1064"/>
        <w:gridCol w:w="937"/>
        <w:gridCol w:w="856"/>
        <w:gridCol w:w="1441"/>
        <w:gridCol w:w="1305"/>
        <w:gridCol w:w="2171"/>
        <w:gridCol w:w="1325"/>
        <w:gridCol w:w="850"/>
        <w:gridCol w:w="1702"/>
        <w:gridCol w:w="937"/>
        <w:gridCol w:w="659"/>
        <w:gridCol w:w="659"/>
      </w:tblGrid>
      <w:tr>
        <w:trPr>
          <w:tblHeader w:val="true"/>
        </w:trPr>
        <w:tc>
          <w:tcPr>
            <w:tcW w:w="659" w:type="dxa"/>
          </w:tcPr>
          <w:tcPr/>
          <w:p>
            <w:pPr>
              <w:pStyle w:val="Compact"/>
              <w:jc w:val="left"/>
            </w:pPr>
            <w:r>
              <w:t xml:space="preserve">Pays (fiche)</w:t>
            </w:r>
          </w:p>
        </w:tc>
        <w:tc>
          <w:tcPr>
            <w:tcW w:w="1064" w:type="dxa"/>
          </w:tcPr>
          <w:tcPr/>
          <w:p>
            <w:pPr>
              <w:pStyle w:val="Compact"/>
              <w:jc w:val="left"/>
            </w:pPr>
            <w:r>
              <w:t xml:space="preserve">Opérateur</w:t>
            </w:r>
          </w:p>
        </w:tc>
        <w:tc>
          <w:tcPr>
            <w:tcW w:w="937" w:type="dxa"/>
          </w:tcPr>
          <w:tcPr/>
          <w:p>
            <w:pPr>
              <w:pStyle w:val="Compact"/>
              <w:jc w:val="left"/>
            </w:pPr>
            <w:r>
              <w:t xml:space="preserve">Cohorte / date</w:t>
            </w:r>
          </w:p>
        </w:tc>
        <w:tc>
          <w:tcPr>
            <w:tcW w:w="856" w:type="dxa"/>
          </w:tcPr>
          <w:tcPr/>
          <w:p>
            <w:pPr>
              <w:pStyle w:val="Compact"/>
              <w:jc w:val="left"/>
            </w:pPr>
            <w:r>
              <w:t xml:space="preserve">Cible accès 2030</w:t>
            </w:r>
          </w:p>
        </w:tc>
        <w:tc>
          <w:tcPr>
            <w:tcW w:w="1441" w:type="dxa"/>
          </w:tcPr>
          <w:tcPr/>
          <w:p>
            <w:pPr>
              <w:pStyle w:val="Compact"/>
              <w:jc w:val="left"/>
            </w:pPr>
            <w:r>
              <w:t xml:space="preserve">Couverture des coûts actuelle</w:t>
            </w:r>
          </w:p>
        </w:tc>
        <w:tc>
          <w:tcPr>
            <w:tcW w:w="1305" w:type="dxa"/>
          </w:tcPr>
          <w:tcPr/>
          <w:p>
            <w:pPr>
              <w:pStyle w:val="Compact"/>
              <w:jc w:val="left"/>
            </w:pPr>
            <w:r>
              <w:t xml:space="preserve">Dernier ajustement / gel</w:t>
            </w:r>
          </w:p>
        </w:tc>
        <w:tc>
          <w:tcPr>
            <w:tcW w:w="2171" w:type="dxa"/>
          </w:tcPr>
          <w:tcPr/>
          <w:p>
            <w:pPr>
              <w:pStyle w:val="Compact"/>
              <w:jc w:val="left"/>
            </w:pPr>
            <w:r>
              <w:t xml:space="preserve">Engagement tarifaire principal (date)</w:t>
            </w:r>
          </w:p>
        </w:tc>
        <w:tc>
          <w:tcPr>
            <w:tcW w:w="1325" w:type="dxa"/>
          </w:tcPr>
          <w:tcPr/>
          <w:p>
            <w:pPr>
              <w:pStyle w:val="Compact"/>
              <w:jc w:val="left"/>
            </w:pPr>
            <w:r>
              <w:t xml:space="preserve">Tarif social prévu</w:t>
            </w:r>
          </w:p>
        </w:tc>
        <w:tc>
          <w:tcPr>
            <w:tcW w:w="850" w:type="dxa"/>
          </w:tcPr>
          <w:tcPr/>
          <w:p>
            <w:pPr>
              <w:pStyle w:val="Compact"/>
              <w:jc w:val="left"/>
            </w:pPr>
            <w:r>
              <w:t xml:space="preserve">CoS prévue</w:t>
            </w:r>
          </w:p>
        </w:tc>
        <w:tc>
          <w:tcPr>
            <w:tcW w:w="1702" w:type="dxa"/>
          </w:tcPr>
          <w:tcPr/>
          <w:p>
            <w:pPr>
              <w:pStyle w:val="Compact"/>
              <w:jc w:val="left"/>
            </w:pPr>
            <w:r>
              <w:t xml:space="preserve">Réforme opérateur</w:t>
            </w:r>
          </w:p>
        </w:tc>
        <w:tc>
          <w:tcPr>
            <w:tcW w:w="937" w:type="dxa"/>
          </w:tcPr>
          <w:tcPr/>
          <w:p>
            <w:pPr>
              <w:pStyle w:val="Compact"/>
              <w:jc w:val="left"/>
            </w:pPr>
            <w:r>
              <w:t xml:space="preserve">Pertes actuelles → cible</w:t>
            </w:r>
          </w:p>
        </w:tc>
        <w:tc>
          <w:tcPr>
            <w:tcW w:w="659" w:type="dxa"/>
          </w:tcPr>
          <w:tcPr/>
          <w:p>
            <w:pPr>
              <w:pStyle w:val="Compact"/>
              <w:jc w:val="left"/>
            </w:pPr>
            <w:r>
              <w:t xml:space="preserve">Rapport publié</w:t>
            </w:r>
          </w:p>
        </w:tc>
        <w:tc>
          <w:tcPr>
            <w:tcW w:w="659" w:type="dxa"/>
          </w:tcPr>
          <w:tcPr/>
          <w:p>
            <w:pPr>
              <w:pStyle w:val="Compact"/>
              <w:jc w:val="left"/>
            </w:pPr>
            <w:r>
              <w:t xml:space="preserve">% actions en retard</w:t>
            </w:r>
          </w:p>
        </w:tc>
      </w:tr>
      <w:tr>
        <w:tc>
          <w:tcPr>
            <w:tcW w:w="659" w:type="dxa"/>
          </w:tcPr>
          <w:tcPr/>
          <w:p>
            <w:pPr>
              <w:pStyle w:val="Compact"/>
              <w:jc w:val="left"/>
            </w:pPr>
            <w:r>
              <w:t xml:space="preserve">Burkina Faso (BFA)</w:t>
            </w:r>
          </w:p>
        </w:tc>
        <w:tc>
          <w:tcPr>
            <w:tcW w:w="1064" w:type="dxa"/>
          </w:tcPr>
          <w:tcPr/>
          <w:p>
            <w:pPr>
              <w:pStyle w:val="Compact"/>
              <w:jc w:val="left"/>
            </w:pPr>
            <w:r>
              <w:t xml:space="preserve">SONABEL</w:t>
            </w:r>
          </w:p>
        </w:tc>
        <w:tc>
          <w:tcPr>
            <w:tcW w:w="937" w:type="dxa"/>
          </w:tcPr>
          <w:tcPr/>
          <w:p>
            <w:pPr>
              <w:pStyle w:val="Compact"/>
              <w:jc w:val="left"/>
            </w:pPr>
            <w:r>
              <w:t xml:space="preserve">C3, juin 2026 (événement [?] dans la fiche)</w:t>
            </w:r>
          </w:p>
        </w:tc>
        <w:tc>
          <w:tcPr>
            <w:tcW w:w="856" w:type="dxa"/>
          </w:tcPr>
          <w:tcPr/>
          <w:p>
            <w:pPr>
              <w:pStyle w:val="Compact"/>
              <w:jc w:val="left"/>
            </w:pPr>
            <w:r>
              <w:t xml:space="preserve">34,2 % → 90 % (rural 70,73 %)</w:t>
            </w:r>
          </w:p>
        </w:tc>
        <w:tc>
          <w:tcPr>
            <w:tcW w:w="1441" w:type="dxa"/>
          </w:tcPr>
          <w:tcPr/>
          <w:p>
            <w:pPr>
              <w:pStyle w:val="Compact"/>
              <w:jc w:val="left"/>
            </w:pPr>
            <w:r>
              <w:t xml:space="preserve">Coût de revient 132,15 FCFA/kWh ; tarif moyen [?] ; subventions 133,66 M USD (2024)</w:t>
            </w:r>
          </w:p>
        </w:tc>
        <w:tc>
          <w:tcPr>
            <w:tcW w:w="1305" w:type="dxa"/>
          </w:tcPr>
          <w:tcPr/>
          <w:p>
            <w:pPr>
              <w:pStyle w:val="Compact"/>
              <w:jc w:val="left"/>
            </w:pPr>
            <w:r>
              <w:t xml:space="preserve">Grille d’oct. 2023 ; arrêtés ruraux du 30/01/2025</w:t>
            </w:r>
          </w:p>
        </w:tc>
        <w:tc>
          <w:tcPr>
            <w:tcW w:w="2171" w:type="dxa"/>
          </w:tcPr>
          <w:tcPr/>
          <w:p>
            <w:pPr>
              <w:pStyle w:val="Compact"/>
              <w:jc w:val="left"/>
            </w:pPr>
            <w:r>
              <w:t xml:space="preserve">Étude « trajectoire visant la couverture des coûts opérationnels d’ici 2030 » (non datée)</w:t>
            </w:r>
          </w:p>
        </w:tc>
        <w:tc>
          <w:tcPr>
            <w:tcW w:w="1325" w:type="dxa"/>
          </w:tcPr>
          <w:tcPr/>
          <w:p>
            <w:pPr>
              <w:pStyle w:val="Compact"/>
              <w:jc w:val="left"/>
            </w:pPr>
            <w:r>
              <w:t xml:space="preserve">Existant en rural (tranche sociale à 75 FCFA/kWh)</w:t>
            </w:r>
          </w:p>
        </w:tc>
        <w:tc>
          <w:tcPr>
            <w:tcW w:w="850" w:type="dxa"/>
          </w:tcPr>
          <w:tcPr/>
          <w:p>
            <w:pPr>
              <w:pStyle w:val="Compact"/>
              <w:jc w:val="left"/>
            </w:pPr>
            <w:r>
              <w:t xml:space="preserve">Oui (non datée)</w:t>
            </w:r>
          </w:p>
        </w:tc>
        <w:tc>
          <w:tcPr>
            <w:tcW w:w="1702" w:type="dxa"/>
          </w:tcPr>
          <w:tcPr/>
          <w:p>
            <w:pPr>
              <w:pStyle w:val="Compact"/>
              <w:jc w:val="left"/>
            </w:pPr>
            <w:r>
              <w:t xml:space="preserve">Séparation comptable fin 2025 ; concessions rurales concurrentielles</w:t>
            </w:r>
          </w:p>
        </w:tc>
        <w:tc>
          <w:tcPr>
            <w:tcW w:w="937" w:type="dxa"/>
          </w:tcPr>
          <w:tcPr/>
          <w:p>
            <w:pPr>
              <w:pStyle w:val="Compact"/>
              <w:jc w:val="left"/>
            </w:pPr>
            <w:r>
              <w:t xml:space="preserve">15,06 % → 12 % (2026-2027)</w:t>
            </w:r>
          </w:p>
        </w:tc>
        <w:tc>
          <w:tcPr>
            <w:tcW w:w="659" w:type="dxa"/>
          </w:tcPr>
          <w:tcPr/>
          <w:p>
            <w:pPr>
              <w:pStyle w:val="Compact"/>
              <w:jc w:val="left"/>
            </w:pPr>
            <w:r>
              <w:t xml:space="preserve">Non</w:t>
            </w:r>
          </w:p>
        </w:tc>
        <w:tc>
          <w:tcPr>
            <w:tcW w:w="659" w:type="dxa"/>
          </w:tcPr>
          <w:tcPr/>
          <w:p>
            <w:pPr>
              <w:pStyle w:val="Compact"/>
              <w:jc w:val="left"/>
            </w:pPr>
            <w:r>
              <w:t xml:space="preserve">—</w:t>
            </w:r>
          </w:p>
        </w:tc>
      </w:tr>
      <w:tr>
        <w:tc>
          <w:tcPr>
            <w:tcW w:w="659" w:type="dxa"/>
          </w:tcPr>
          <w:tcPr/>
          <w:p>
            <w:pPr>
              <w:pStyle w:val="Compact"/>
              <w:jc w:val="left"/>
            </w:pPr>
            <w:r>
              <w:t xml:space="preserve">RCA (CAF)</w:t>
            </w:r>
          </w:p>
        </w:tc>
        <w:tc>
          <w:tcPr>
            <w:tcW w:w="1064" w:type="dxa"/>
          </w:tcPr>
          <w:tcPr/>
          <w:p>
            <w:pPr>
              <w:pStyle w:val="Compact"/>
              <w:jc w:val="left"/>
            </w:pPr>
            <w:r>
              <w:t xml:space="preserve">ENERCA (monopole ; pas de régulateur autonome)</w:t>
            </w:r>
          </w:p>
        </w:tc>
        <w:tc>
          <w:tcPr>
            <w:tcW w:w="937" w:type="dxa"/>
          </w:tcPr>
          <w:tcPr/>
          <w:p>
            <w:pPr>
              <w:pStyle w:val="Compact"/>
              <w:jc w:val="left"/>
            </w:pPr>
            <w:r>
              <w:t xml:space="preserve">C3, juin 2026 (AEF [S])</w:t>
            </w:r>
          </w:p>
        </w:tc>
        <w:tc>
          <w:tcPr>
            <w:tcW w:w="856" w:type="dxa"/>
          </w:tcPr>
          <w:tcPr/>
          <w:p>
            <w:pPr>
              <w:pStyle w:val="Compact"/>
              <w:jc w:val="left"/>
            </w:pPr>
            <w:r>
              <w:t xml:space="preserve">16,8 % → 50 %</w:t>
            </w:r>
          </w:p>
        </w:tc>
        <w:tc>
          <w:tcPr>
            <w:tcW w:w="1441" w:type="dxa"/>
          </w:tcPr>
          <w:tcPr/>
          <w:p>
            <w:pPr>
              <w:pStyle w:val="Compact"/>
              <w:jc w:val="left"/>
            </w:pPr>
            <w:r>
              <w:t xml:space="preserve">[?]</w:t>
            </w:r>
          </w:p>
        </w:tc>
        <w:tc>
          <w:tcPr>
            <w:tcW w:w="1305" w:type="dxa"/>
          </w:tcPr>
          <w:tcPr/>
          <w:p>
            <w:pPr>
              <w:pStyle w:val="Compact"/>
              <w:jc w:val="left"/>
            </w:pPr>
            <w:r>
              <w:t xml:space="preserve">Pas d’ajustement depuis « trois décennies »</w:t>
            </w:r>
          </w:p>
        </w:tc>
        <w:tc>
          <w:tcPr>
            <w:tcW w:w="2171" w:type="dxa"/>
          </w:tcPr>
          <w:tcPr/>
          <w:p>
            <w:pPr>
              <w:pStyle w:val="Compact"/>
              <w:jc w:val="left"/>
            </w:pPr>
            <w:r>
              <w:t xml:space="preserve">Structure tarifaire « soutenable »,</w:t>
            </w:r>
            <w:r>
              <w:t xml:space="preserve"> </w:t>
            </w:r>
            <w:r>
              <w:rPr>
                <w:bCs/>
                <w:b/>
              </w:rPr>
              <w:t xml:space="preserve">sans date</w:t>
            </w:r>
          </w:p>
        </w:tc>
        <w:tc>
          <w:tcPr>
            <w:tcW w:w="1325" w:type="dxa"/>
          </w:tcPr>
          <w:tcPr/>
          <w:p>
            <w:pPr>
              <w:pStyle w:val="Compact"/>
              <w:jc w:val="left"/>
            </w:pPr>
            <w:r>
              <w:t xml:space="preserve">Vague (mécanismes de compensation)</w:t>
            </w:r>
          </w:p>
        </w:tc>
        <w:tc>
          <w:tcPr>
            <w:tcW w:w="850" w:type="dxa"/>
          </w:tcPr>
          <w:tcPr/>
          <w:p>
            <w:pPr>
              <w:pStyle w:val="Compact"/>
              <w:jc w:val="left"/>
            </w:pPr>
            <w:r>
              <w:t xml:space="preserve">[?] (étude tarifaire de 2021 citée)</w:t>
            </w:r>
          </w:p>
        </w:tc>
        <w:tc>
          <w:tcPr>
            <w:tcW w:w="1702" w:type="dxa"/>
          </w:tcPr>
          <w:tcPr/>
          <w:p>
            <w:pPr>
              <w:pStyle w:val="Compact"/>
              <w:jc w:val="left"/>
            </w:pPr>
            <w:r>
              <w:t xml:space="preserve">CP État-ENERCA (sans date) ; régulateur à créer</w:t>
            </w:r>
          </w:p>
        </w:tc>
        <w:tc>
          <w:tcPr>
            <w:tcW w:w="937" w:type="dxa"/>
          </w:tcPr>
          <w:tcPr/>
          <w:p>
            <w:pPr>
              <w:pStyle w:val="Compact"/>
              <w:jc w:val="left"/>
            </w:pPr>
            <w:r>
              <w:t xml:space="preserve">20 % → 8 %</w:t>
            </w:r>
          </w:p>
        </w:tc>
        <w:tc>
          <w:tcPr>
            <w:tcW w:w="659" w:type="dxa"/>
          </w:tcPr>
          <w:tcPr/>
          <w:p>
            <w:pPr>
              <w:pStyle w:val="Compact"/>
              <w:jc w:val="left"/>
            </w:pPr>
            <w:r>
              <w:t xml:space="preserve">Non</w:t>
            </w:r>
          </w:p>
        </w:tc>
        <w:tc>
          <w:tcPr>
            <w:tcW w:w="659" w:type="dxa"/>
          </w:tcPr>
          <w:tcPr/>
          <w:p>
            <w:pPr>
              <w:pStyle w:val="Compact"/>
              <w:jc w:val="left"/>
            </w:pPr>
            <w:r>
              <w:t xml:space="preserve">—</w:t>
            </w:r>
          </w:p>
        </w:tc>
      </w:tr>
      <w:tr>
        <w:tc>
          <w:tcPr>
            <w:tcW w:w="659" w:type="dxa"/>
          </w:tcPr>
          <w:tcPr/>
          <w:p>
            <w:pPr>
              <w:pStyle w:val="Compact"/>
              <w:jc w:val="left"/>
            </w:pPr>
            <w:r>
              <w:t xml:space="preserve">Djibouti (DJI)</w:t>
            </w:r>
          </w:p>
        </w:tc>
        <w:tc>
          <w:tcPr>
            <w:tcW w:w="1064" w:type="dxa"/>
          </w:tcPr>
          <w:tcPr/>
          <w:p>
            <w:pPr>
              <w:pStyle w:val="Compact"/>
              <w:jc w:val="left"/>
            </w:pPr>
            <w:r>
              <w:t xml:space="preserve">EDD</w:t>
            </w:r>
          </w:p>
        </w:tc>
        <w:tc>
          <w:tcPr>
            <w:tcW w:w="937" w:type="dxa"/>
          </w:tcPr>
          <w:tcPr/>
          <w:p>
            <w:pPr>
              <w:pStyle w:val="Compact"/>
              <w:jc w:val="left"/>
            </w:pPr>
            <w:r>
              <w:t xml:space="preserve">C3, juin 2026 (absent de la page BM)</w:t>
            </w:r>
          </w:p>
        </w:tc>
        <w:tc>
          <w:tcPr>
            <w:tcW w:w="856" w:type="dxa"/>
          </w:tcPr>
          <w:tcPr/>
          <w:p>
            <w:pPr>
              <w:pStyle w:val="Compact"/>
              <w:jc w:val="left"/>
            </w:pPr>
            <w:r>
              <w:t xml:space="preserve">70,6 % → 85 % (100 % en 2035)</w:t>
            </w:r>
          </w:p>
        </w:tc>
        <w:tc>
          <w:tcPr>
            <w:tcW w:w="1441" w:type="dxa"/>
          </w:tcPr>
          <w:tcPr/>
          <w:p>
            <w:pPr>
              <w:pStyle w:val="Compact"/>
              <w:jc w:val="left"/>
            </w:pPr>
            <w:r>
              <w:t xml:space="preserve">[?] ; tarif 0,28 USD/kWh</w:t>
            </w:r>
          </w:p>
        </w:tc>
        <w:tc>
          <w:tcPr>
            <w:tcW w:w="1305" w:type="dxa"/>
          </w:tcPr>
          <w:tcPr/>
          <w:p>
            <w:pPr>
              <w:pStyle w:val="Compact"/>
              <w:jc w:val="left"/>
            </w:pPr>
            <w:r>
              <w:t xml:space="preserve">[?] (grille de 2019 citée)</w:t>
            </w:r>
          </w:p>
        </w:tc>
        <w:tc>
          <w:tcPr>
            <w:tcW w:w="2171" w:type="dxa"/>
          </w:tcPr>
          <w:tcPr/>
          <w:p>
            <w:pPr>
              <w:pStyle w:val="Compact"/>
              <w:jc w:val="left"/>
            </w:pPr>
            <w:r>
              <w:rPr>
                <w:bCs/>
                <w:b/>
              </w:rPr>
              <w:t xml:space="preserve">Baisse</w:t>
            </w:r>
            <w:r>
              <w:t xml:space="preserve"> </w:t>
            </w:r>
            <w:r>
              <w:t xml:space="preserve">à &lt; 0,25 USD/kWh en 2030 (ou &lt; 0,20, ou 0,22 en 2035) ; 1er ajustement annuel T1 2028</w:t>
            </w:r>
          </w:p>
        </w:tc>
        <w:tc>
          <w:tcPr>
            <w:tcW w:w="1325" w:type="dxa"/>
          </w:tcPr>
          <w:tcPr/>
          <w:p>
            <w:pPr>
              <w:pStyle w:val="Compact"/>
              <w:jc w:val="left"/>
            </w:pPr>
            <w:r>
              <w:t xml:space="preserve">Oui (« tarif social protégé »)</w:t>
            </w:r>
          </w:p>
        </w:tc>
        <w:tc>
          <w:tcPr>
            <w:tcW w:w="850" w:type="dxa"/>
          </w:tcPr>
          <w:tcPr/>
          <w:p>
            <w:pPr>
              <w:pStyle w:val="Compact"/>
              <w:jc w:val="left"/>
            </w:pPr>
            <w:r>
              <w:t xml:space="preserve">Oui (T4 2026)</w:t>
            </w:r>
          </w:p>
        </w:tc>
        <w:tc>
          <w:tcPr>
            <w:tcW w:w="1702" w:type="dxa"/>
          </w:tcPr>
          <w:tcPr/>
          <w:p>
            <w:pPr>
              <w:pStyle w:val="Compact"/>
              <w:jc w:val="left"/>
            </w:pPr>
            <w:r>
              <w:t xml:space="preserve">CP annuels ; audit stratégique d’EDD ; apurement des arriérés de l’État</w:t>
            </w:r>
          </w:p>
        </w:tc>
        <w:tc>
          <w:tcPr>
            <w:tcW w:w="937" w:type="dxa"/>
          </w:tcPr>
          <w:tcPr/>
          <w:p>
            <w:pPr>
              <w:pStyle w:val="Compact"/>
              <w:jc w:val="left"/>
            </w:pPr>
            <w:r>
              <w:t xml:space="preserve">17 % → 12 % (2030)</w:t>
            </w:r>
          </w:p>
        </w:tc>
        <w:tc>
          <w:tcPr>
            <w:tcW w:w="659" w:type="dxa"/>
          </w:tcPr>
          <w:tcPr/>
          <w:p>
            <w:pPr>
              <w:pStyle w:val="Compact"/>
              <w:jc w:val="left"/>
            </w:pPr>
            <w:r>
              <w:t xml:space="preserve">Non</w:t>
            </w:r>
          </w:p>
        </w:tc>
        <w:tc>
          <w:tcPr>
            <w:tcW w:w="659" w:type="dxa"/>
          </w:tcPr>
          <w:tcPr/>
          <w:p>
            <w:pPr>
              <w:pStyle w:val="Compact"/>
              <w:jc w:val="left"/>
            </w:pPr>
            <w:r>
              <w:t xml:space="preserve">—</w:t>
            </w:r>
          </w:p>
        </w:tc>
      </w:tr>
      <w:tr>
        <w:tc>
          <w:tcPr>
            <w:tcW w:w="659" w:type="dxa"/>
          </w:tcPr>
          <w:tcPr/>
          <w:p>
            <w:pPr>
              <w:pStyle w:val="Compact"/>
              <w:jc w:val="left"/>
            </w:pPr>
            <w:r>
              <w:t xml:space="preserve">Gabon (GAB)</w:t>
            </w:r>
          </w:p>
        </w:tc>
        <w:tc>
          <w:tcPr>
            <w:tcW w:w="1064" w:type="dxa"/>
          </w:tcPr>
          <w:tcPr/>
          <w:p>
            <w:pPr>
              <w:pStyle w:val="Compact"/>
              <w:jc w:val="left"/>
            </w:pPr>
            <w:r>
              <w:t xml:space="preserve">SEEG (concession de 20 ans, 2022 ; administration provisoire) ; SP ; GPC</w:t>
            </w:r>
          </w:p>
        </w:tc>
        <w:tc>
          <w:tcPr>
            <w:tcW w:w="937" w:type="dxa"/>
          </w:tcPr>
          <w:tcPr/>
          <w:p>
            <w:pPr>
              <w:pStyle w:val="Compact"/>
              <w:jc w:val="left"/>
            </w:pPr>
            <w:r>
              <w:t xml:space="preserve">C3, juin 2026 (AEF [S])</w:t>
            </w:r>
          </w:p>
        </w:tc>
        <w:tc>
          <w:tcPr>
            <w:tcW w:w="856" w:type="dxa"/>
          </w:tcPr>
          <w:tcPr/>
          <w:p>
            <w:pPr>
              <w:pStyle w:val="Compact"/>
              <w:jc w:val="left"/>
            </w:pPr>
            <w:r>
              <w:t xml:space="preserve">92,7 % → &gt; 95 %</w:t>
            </w:r>
          </w:p>
        </w:tc>
        <w:tc>
          <w:tcPr>
            <w:tcW w:w="1441" w:type="dxa"/>
          </w:tcPr>
          <w:tcPr/>
          <w:p>
            <w:pPr>
              <w:pStyle w:val="Compact"/>
              <w:jc w:val="left"/>
            </w:pPr>
            <w:r>
              <w:t xml:space="preserve">Prix 103,2 contre coût 79,8 FCFA/kWh (non réconcilié avec « ne couvre pas les coûts »)</w:t>
            </w:r>
          </w:p>
        </w:tc>
        <w:tc>
          <w:tcPr>
            <w:tcW w:w="1305" w:type="dxa"/>
          </w:tcPr>
          <w:tcPr/>
          <w:p>
            <w:pPr>
              <w:pStyle w:val="Compact"/>
              <w:jc w:val="left"/>
            </w:pPr>
            <w:r>
              <w:rPr>
                <w:bCs/>
                <w:b/>
              </w:rPr>
              <w:t xml:space="preserve">Gel depuis oct. 2018</w:t>
            </w:r>
          </w:p>
        </w:tc>
        <w:tc>
          <w:tcPr>
            <w:tcW w:w="2171" w:type="dxa"/>
          </w:tcPr>
          <w:tcPr/>
          <w:p>
            <w:pPr>
              <w:pStyle w:val="Compact"/>
              <w:jc w:val="left"/>
            </w:pPr>
            <w:r>
              <w:t xml:space="preserve">Diagnostic 2026 et « modalités de reprise progressive », conditionnés aux progrès de l’opérateur</w:t>
            </w:r>
          </w:p>
        </w:tc>
        <w:tc>
          <w:tcPr>
            <w:tcW w:w="1325" w:type="dxa"/>
          </w:tcPr>
          <w:tcPr/>
          <w:p>
            <w:pPr>
              <w:pStyle w:val="Compact"/>
              <w:jc w:val="left"/>
            </w:pPr>
            <w:r>
              <w:t xml:space="preserve">Existant (abonnés 1 kW ≈ 45 % sous le tarif standard)</w:t>
            </w:r>
          </w:p>
        </w:tc>
        <w:tc>
          <w:tcPr>
            <w:tcW w:w="850" w:type="dxa"/>
          </w:tcPr>
          <w:tcPr/>
          <w:p>
            <w:pPr>
              <w:pStyle w:val="Compact"/>
              <w:jc w:val="left"/>
            </w:pPr>
            <w:r>
              <w:t xml:space="preserve">Diagnostic tarifaire 2026</w:t>
            </w:r>
          </w:p>
        </w:tc>
        <w:tc>
          <w:tcPr>
            <w:tcW w:w="1702" w:type="dxa"/>
          </w:tcPr>
          <w:tcPr/>
          <w:p>
            <w:pPr>
              <w:pStyle w:val="Compact"/>
              <w:jc w:val="left"/>
            </w:pPr>
            <w:r>
              <w:t xml:space="preserve">Contrat-plan État-SP-SEEG (sans date) ; scission eau/électricité 2026 ; fusion SP-GPC</w:t>
            </w:r>
          </w:p>
        </w:tc>
        <w:tc>
          <w:tcPr>
            <w:tcW w:w="937" w:type="dxa"/>
          </w:tcPr>
          <w:tcPr/>
          <w:p>
            <w:pPr>
              <w:pStyle w:val="Compact"/>
              <w:jc w:val="left"/>
            </w:pPr>
            <w:r>
              <w:t xml:space="preserve">≈ 29 % → &lt; 15 %</w:t>
            </w:r>
          </w:p>
        </w:tc>
        <w:tc>
          <w:tcPr>
            <w:tcW w:w="659" w:type="dxa"/>
          </w:tcPr>
          <w:tcPr/>
          <w:p>
            <w:pPr>
              <w:pStyle w:val="Compact"/>
              <w:jc w:val="left"/>
            </w:pPr>
            <w:r>
              <w:t xml:space="preserve">Non</w:t>
            </w:r>
          </w:p>
        </w:tc>
        <w:tc>
          <w:tcPr>
            <w:tcW w:w="659" w:type="dxa"/>
          </w:tcPr>
          <w:tcPr/>
          <w:p>
            <w:pPr>
              <w:pStyle w:val="Compact"/>
              <w:jc w:val="left"/>
            </w:pPr>
            <w:r>
              <w:t xml:space="preserve">—</w:t>
            </w:r>
          </w:p>
        </w:tc>
      </w:tr>
      <w:tr>
        <w:tc>
          <w:tcPr>
            <w:tcW w:w="659" w:type="dxa"/>
          </w:tcPr>
          <w:tcPr/>
          <w:p>
            <w:pPr>
              <w:pStyle w:val="Compact"/>
              <w:jc w:val="left"/>
            </w:pPr>
            <w:r>
              <w:t xml:space="preserve">Ouganda (UGA)</w:t>
            </w:r>
          </w:p>
        </w:tc>
        <w:tc>
          <w:tcPr>
            <w:tcW w:w="1064" w:type="dxa"/>
          </w:tcPr>
          <w:tcPr/>
          <w:p>
            <w:pPr>
              <w:pStyle w:val="Compact"/>
              <w:jc w:val="left"/>
            </w:pPr>
            <w:r>
              <w:t xml:space="preserve">UEGCL, UETCL, UEDCL (reprise de la concession UMEME le 01/04/2025)</w:t>
            </w:r>
          </w:p>
        </w:tc>
        <w:tc>
          <w:tcPr>
            <w:tcW w:w="937" w:type="dxa"/>
          </w:tcPr>
          <w:tcPr/>
          <w:p>
            <w:pPr>
              <w:pStyle w:val="Compact"/>
              <w:jc w:val="left"/>
            </w:pPr>
            <w:r>
              <w:t xml:space="preserve">C3, juin 2026</w:t>
            </w:r>
          </w:p>
        </w:tc>
        <w:tc>
          <w:tcPr>
            <w:tcW w:w="856" w:type="dxa"/>
          </w:tcPr>
          <w:tcPr/>
          <w:p>
            <w:pPr>
              <w:pStyle w:val="Compact"/>
              <w:jc w:val="left"/>
            </w:pPr>
            <w:r>
              <w:t xml:space="preserve">≈ 60 % → 85 % (ancre 82 %)</w:t>
            </w:r>
          </w:p>
        </w:tc>
        <w:tc>
          <w:tcPr>
            <w:tcW w:w="1441" w:type="dxa"/>
          </w:tcPr>
          <w:tcPr/>
          <w:p>
            <w:pPr>
              <w:pStyle w:val="Compact"/>
              <w:jc w:val="left"/>
            </w:pPr>
            <w:r>
              <w:t xml:space="preserve">[?] (annexe vide) ; tarifs dits « reflétant les coûts »</w:t>
            </w:r>
          </w:p>
        </w:tc>
        <w:tc>
          <w:tcPr>
            <w:tcW w:w="1305" w:type="dxa"/>
          </w:tcPr>
          <w:tcPr/>
          <w:p>
            <w:pPr>
              <w:pStyle w:val="Compact"/>
              <w:jc w:val="left"/>
            </w:pPr>
            <w:r>
              <w:t xml:space="preserve">Ajustements trimestriels de l’ERA</w:t>
            </w:r>
          </w:p>
        </w:tc>
        <w:tc>
          <w:tcPr>
            <w:tcW w:w="2171" w:type="dxa"/>
          </w:tcPr>
          <w:tcPr/>
          <w:p>
            <w:pPr>
              <w:pStyle w:val="Compact"/>
              <w:jc w:val="left"/>
            </w:pPr>
            <w:r>
              <w:t xml:space="preserve">CoS juin 2026 → ordonnance pluriannuelle T4 2026 (glide path de 5 ans, indexation automatique)</w:t>
            </w:r>
          </w:p>
        </w:tc>
        <w:tc>
          <w:tcPr>
            <w:tcW w:w="1325" w:type="dxa"/>
          </w:tcPr>
          <w:tcPr/>
          <w:p>
            <w:pPr>
              <w:pStyle w:val="Compact"/>
              <w:jc w:val="left"/>
            </w:pPr>
            <w:r>
              <w:t xml:space="preserve">Oui (lifeline redessiné, cycle 2027)</w:t>
            </w:r>
          </w:p>
        </w:tc>
        <w:tc>
          <w:tcPr>
            <w:tcW w:w="850" w:type="dxa"/>
          </w:tcPr>
          <w:tcPr/>
          <w:p>
            <w:pPr>
              <w:pStyle w:val="Compact"/>
              <w:jc w:val="left"/>
            </w:pPr>
            <w:r>
              <w:t xml:space="preserve">Oui (juin 2026)</w:t>
            </w:r>
          </w:p>
        </w:tc>
        <w:tc>
          <w:tcPr>
            <w:tcW w:w="1702" w:type="dxa"/>
          </w:tcPr>
          <w:tcPr/>
          <w:p>
            <w:pPr>
              <w:pStyle w:val="Compact"/>
              <w:jc w:val="left"/>
            </w:pPr>
            <w:r>
              <w:t xml:space="preserve">Transformation d’UEDCL ; holding unique envisagée</w:t>
            </w:r>
          </w:p>
        </w:tc>
        <w:tc>
          <w:tcPr>
            <w:tcW w:w="937" w:type="dxa"/>
          </w:tcPr>
          <w:tcPr/>
          <w:p>
            <w:pPr>
              <w:pStyle w:val="Compact"/>
              <w:jc w:val="left"/>
            </w:pPr>
            <w:r>
              <w:t xml:space="preserve">Distribution 18,2 % (T4 2025) ou 16 % (2025) → &lt; 12 %</w:t>
            </w:r>
          </w:p>
        </w:tc>
        <w:tc>
          <w:tcPr>
            <w:tcW w:w="659" w:type="dxa"/>
          </w:tcPr>
          <w:tcPr/>
          <w:p>
            <w:pPr>
              <w:pStyle w:val="Compact"/>
              <w:jc w:val="left"/>
            </w:pPr>
            <w:r>
              <w:t xml:space="preserve">Non</w:t>
            </w:r>
          </w:p>
        </w:tc>
        <w:tc>
          <w:tcPr>
            <w:tcW w:w="659" w:type="dxa"/>
          </w:tcPr>
          <w:tcPr/>
          <w:p>
            <w:pPr>
              <w:pStyle w:val="Compact"/>
              <w:jc w:val="left"/>
            </w:pPr>
            <w:r>
              <w:t xml:space="preserve">—</w:t>
            </w:r>
          </w:p>
        </w:tc>
      </w:tr>
      <w:tr>
        <w:tc>
          <w:tcPr>
            <w:tcW w:w="659" w:type="dxa"/>
          </w:tcPr>
          <w:tcPr/>
          <w:p>
            <w:pPr>
              <w:pStyle w:val="Compact"/>
              <w:jc w:val="left"/>
            </w:pPr>
            <w:r>
              <w:t xml:space="preserve">Rwanda (RWA)</w:t>
            </w:r>
          </w:p>
        </w:tc>
        <w:tc>
          <w:tcPr>
            <w:tcW w:w="1064" w:type="dxa"/>
          </w:tcPr>
          <w:tcPr/>
          <w:p>
            <w:pPr>
              <w:pStyle w:val="Compact"/>
              <w:jc w:val="left"/>
            </w:pPr>
            <w:r>
              <w:t xml:space="preserve">REG (EUCL, EDCL)</w:t>
            </w:r>
          </w:p>
        </w:tc>
        <w:tc>
          <w:tcPr>
            <w:tcW w:w="937" w:type="dxa"/>
          </w:tcPr>
          <w:tcPr/>
          <w:p>
            <w:pPr>
              <w:pStyle w:val="Compact"/>
              <w:jc w:val="left"/>
            </w:pPr>
            <w:r>
              <w:t xml:space="preserve">C3, juin 2026</w:t>
            </w:r>
          </w:p>
        </w:tc>
        <w:tc>
          <w:tcPr>
            <w:tcW w:w="856" w:type="dxa"/>
          </w:tcPr>
          <w:tcPr/>
          <w:p>
            <w:pPr>
              <w:pStyle w:val="Compact"/>
              <w:jc w:val="left"/>
            </w:pPr>
            <w:r>
              <w:t xml:space="preserve">84 % → 100 %</w:t>
            </w:r>
          </w:p>
        </w:tc>
        <w:tc>
          <w:tcPr>
            <w:tcW w:w="1441" w:type="dxa"/>
          </w:tcPr>
          <w:tcPr/>
          <w:p>
            <w:pPr>
              <w:pStyle w:val="Compact"/>
              <w:jc w:val="left"/>
            </w:pPr>
            <w:r>
              <w:t xml:space="preserve">Revenus &lt; OPEX + dette (non chiffré)</w:t>
            </w:r>
          </w:p>
        </w:tc>
        <w:tc>
          <w:tcPr>
            <w:tcW w:w="1305" w:type="dxa"/>
          </w:tcPr>
          <w:tcPr/>
          <w:p>
            <w:pPr>
              <w:pStyle w:val="Compact"/>
              <w:jc w:val="left"/>
            </w:pPr>
            <w:r>
              <w:rPr>
                <w:bCs/>
                <w:b/>
              </w:rPr>
              <w:t xml:space="preserve">Oct. 2025</w:t>
            </w:r>
            <w:r>
              <w:t xml:space="preserve"> </w:t>
            </w:r>
            <w:r>
              <w:t xml:space="preserve">: +45 % résidentiel, +61 % commercial, +17-31 % industriel</w:t>
            </w:r>
          </w:p>
        </w:tc>
        <w:tc>
          <w:tcPr>
            <w:tcW w:w="2171" w:type="dxa"/>
          </w:tcPr>
          <w:tcPr/>
          <w:p>
            <w:pPr>
              <w:pStyle w:val="Compact"/>
              <w:jc w:val="left"/>
            </w:pPr>
            <w:r>
              <w:t xml:space="preserve">Subventions ≤ 5 % en 2030 ; méthodologie du RR déc. 2027 ; structure binôme 2029</w:t>
            </w:r>
          </w:p>
        </w:tc>
        <w:tc>
          <w:tcPr>
            <w:tcW w:w="1325" w:type="dxa"/>
          </w:tcPr>
          <w:tcPr/>
          <w:p>
            <w:pPr>
              <w:pStyle w:val="Compact"/>
              <w:jc w:val="left"/>
            </w:pPr>
            <w:r>
              <w:t xml:space="preserve">Existant élargi (lifeline de 15 à 20 kWh/mois)</w:t>
            </w:r>
          </w:p>
        </w:tc>
        <w:tc>
          <w:tcPr>
            <w:tcW w:w="850" w:type="dxa"/>
          </w:tcPr>
          <w:tcPr/>
          <w:p>
            <w:pPr>
              <w:pStyle w:val="Compact"/>
              <w:jc w:val="left"/>
            </w:pPr>
            <w:r>
              <w:t xml:space="preserve">Oui (feuille de route 2028/29)</w:t>
            </w:r>
          </w:p>
        </w:tc>
        <w:tc>
          <w:tcPr>
            <w:tcW w:w="1702" w:type="dxa"/>
          </w:tcPr>
          <w:tcPr/>
          <w:p>
            <w:pPr>
              <w:pStyle w:val="Compact"/>
              <w:jc w:val="left"/>
            </w:pPr>
            <w:r>
              <w:t xml:space="preserve">AMI ; publication des KPI ; refinancement d’IPP</w:t>
            </w:r>
          </w:p>
        </w:tc>
        <w:tc>
          <w:tcPr>
            <w:tcW w:w="937" w:type="dxa"/>
          </w:tcPr>
          <w:tcPr/>
          <w:p>
            <w:pPr>
              <w:pStyle w:val="Compact"/>
              <w:jc w:val="left"/>
            </w:pPr>
            <w:r>
              <w:t xml:space="preserve">16,3 % → 14,2 %</w:t>
            </w:r>
          </w:p>
        </w:tc>
        <w:tc>
          <w:tcPr>
            <w:tcW w:w="659" w:type="dxa"/>
          </w:tcPr>
          <w:tcPr/>
          <w:p>
            <w:pPr>
              <w:pStyle w:val="Compact"/>
              <w:jc w:val="left"/>
            </w:pPr>
            <w:r>
              <w:t xml:space="preserve">Non</w:t>
            </w:r>
          </w:p>
        </w:tc>
        <w:tc>
          <w:tcPr>
            <w:tcW w:w="659" w:type="dxa"/>
          </w:tcPr>
          <w:tcPr/>
          <w:p>
            <w:pPr>
              <w:pStyle w:val="Compact"/>
              <w:jc w:val="left"/>
            </w:pPr>
            <w:r>
              <w:t xml:space="preserve">—</w:t>
            </w:r>
          </w:p>
        </w:tc>
      </w:tr>
    </w:tbl>
    <w:p>
      <w:r>
        <w:pict>
          <v:rect style="width:0;height:1.5pt" o:hralign="center" o:hrstd="t" o:hr="t"/>
        </w:pict>
      </w:r>
    </w:p>
    <w:bookmarkEnd w:id="24"/>
    <w:bookmarkEnd w:id="25"/>
    <w:bookmarkStart w:id="31" w:name="typologie-selon-lengagement-tarifaire-e"/>
    <w:p>
      <w:pPr>
        <w:pStyle w:val="Heading1"/>
      </w:pPr>
      <w:r>
        <w:t xml:space="preserve">3. Typologie selon l’engagement tarifaire [E]</w:t>
      </w:r>
    </w:p>
    <w:p>
      <w:pPr>
        <w:pStyle w:val="FirstParagraph"/>
      </w:pPr>
      <w:r>
        <w:t xml:space="preserve">Le classement est un jugement de l’auteur, fondé sur le texte des fiches. Critères : (i) existe-t-il un</w:t>
      </w:r>
      <w:r>
        <w:t xml:space="preserve"> </w:t>
      </w:r>
      <w:r>
        <w:rPr>
          <w:bCs/>
          <w:b/>
        </w:rPr>
        <w:t xml:space="preserve">chiffre</w:t>
      </w:r>
      <w:r>
        <w:t xml:space="preserve"> </w:t>
      </w:r>
      <w:r>
        <w:t xml:space="preserve">(hausse, écart à combler, niveau cible de subvention) ? (ii) existe-t-il une</w:t>
      </w:r>
      <w:r>
        <w:t xml:space="preserve"> </w:t>
      </w:r>
      <w:r>
        <w:rPr>
          <w:bCs/>
          <w:b/>
        </w:rPr>
        <w:t xml:space="preserve">date de résultat</w:t>
      </w:r>
      <w:r>
        <w:t xml:space="preserve"> </w:t>
      </w:r>
      <w:r>
        <w:t xml:space="preserve">(couverture des coûts, équilibre) ou seulement des dates de</w:t>
      </w:r>
      <w:r>
        <w:t xml:space="preserve"> </w:t>
      </w:r>
      <w:r>
        <w:rPr>
          <w:bCs/>
          <w:b/>
        </w:rPr>
        <w:t xml:space="preserve">processus</w:t>
      </w:r>
      <w:r>
        <w:t xml:space="preserve"> </w:t>
      </w:r>
      <w:r>
        <w:t xml:space="preserve">(étude, méthodologie, ordonnance) ?</w:t>
      </w:r>
    </w:p>
    <w:bookmarkStart w:id="26" w:name="X0e00f58ea96361e50c5ad279760a1ac824fb210"/>
    <w:p>
      <w:pPr>
        <w:pStyle w:val="Heading2"/>
      </w:pPr>
      <w:r>
        <w:t xml:space="preserve">Catégorie 1 — Trajectoire chiffrée et datée (6 pays)</w:t>
      </w:r>
    </w:p>
    <w:tbl>
      <w:tblPr>
        <w:tblStyle w:val="Table"/>
        <w:tblW w:type="dxa" w:w="14570"/>
        <w:tblLook w:firstRow="1" w:lastRow="0" w:firstColumn="0" w:lastColumn="0" w:noHBand="0" w:noVBand="0" w:val="0020"/>
        <w:jc w:val="start"/>
      </w:tblPr>
      <w:tblGrid>
        <w:gridCol w:w="2053"/>
        <w:gridCol w:w="12516"/>
      </w:tblGrid>
      <w:tr>
        <w:trPr>
          <w:tblHeader w:val="true"/>
        </w:trPr>
        <w:tc>
          <w:tcPr>
            <w:tcW w:w="2053" w:type="dxa"/>
          </w:tcPr>
          <w:tcPr/>
          <w:p>
            <w:pPr>
              <w:pStyle w:val="Compact"/>
              <w:jc w:val="left"/>
            </w:pPr>
            <w:r>
              <w:t xml:space="preserve">Pays</w:t>
            </w:r>
          </w:p>
        </w:tc>
        <w:tc>
          <w:tcPr>
            <w:tcW w:w="12516" w:type="dxa"/>
          </w:tcPr>
          <w:tcPr/>
          <w:p>
            <w:pPr>
              <w:pStyle w:val="Compact"/>
              <w:jc w:val="left"/>
            </w:pPr>
            <w:r>
              <w:t xml:space="preserve">Justification (fiche)</w:t>
            </w:r>
          </w:p>
        </w:tc>
      </w:tr>
      <w:tr>
        <w:tc>
          <w:tcPr>
            <w:tcW w:w="2053" w:type="dxa"/>
          </w:tcPr>
          <w:tcPr/>
          <w:p>
            <w:pPr>
              <w:pStyle w:val="Compact"/>
              <w:jc w:val="left"/>
            </w:pPr>
            <w:r>
              <w:t xml:space="preserve">Guinée</w:t>
            </w:r>
          </w:p>
        </w:tc>
        <w:tc>
          <w:tcPr>
            <w:tcW w:w="12516" w:type="dxa"/>
          </w:tcPr>
          <w:tcPr/>
          <w:p>
            <w:pPr>
              <w:pStyle w:val="Compact"/>
              <w:jc w:val="left"/>
            </w:pPr>
            <w:r>
              <w:t xml:space="preserve">+12 %/an de 2024 à 2029, +97,38 % cumulés, équilibre en 2029, méthodologie adoptée par arrêté en 2024. Seule trajectoire annuelle explicite. Limite : la base (8 c ou 10 c ; 36 % ou 45 %) n’est pas tranchée (cf. GIN).</w:t>
            </w:r>
          </w:p>
        </w:tc>
      </w:tr>
      <w:tr>
        <w:tc>
          <w:tcPr>
            <w:tcW w:w="2053" w:type="dxa"/>
          </w:tcPr>
          <w:tcPr/>
          <w:p>
            <w:pPr>
              <w:pStyle w:val="Compact"/>
              <w:jc w:val="left"/>
            </w:pPr>
            <w:r>
              <w:t xml:space="preserve">São Tomé-et-Príncipe</w:t>
            </w:r>
          </w:p>
        </w:tc>
        <w:tc>
          <w:tcPr>
            <w:tcW w:w="12516" w:type="dxa"/>
          </w:tcPr>
          <w:tcPr/>
          <w:p>
            <w:pPr>
              <w:pStyle w:val="Compact"/>
              <w:jc w:val="left"/>
            </w:pPr>
            <w:r>
              <w:t xml:space="preserve">+15 % au 01/01/2025, trajectoire de 5 ans vers le recouvrement intégral (2030), ajustement annuel. Aucune donnée de départ (« not available ») (cf. STP).</w:t>
            </w:r>
          </w:p>
        </w:tc>
      </w:tr>
      <w:tr>
        <w:tc>
          <w:tcPr>
            <w:tcW w:w="2053" w:type="dxa"/>
          </w:tcPr>
          <w:tcPr/>
          <w:p>
            <w:pPr>
              <w:pStyle w:val="Compact"/>
              <w:jc w:val="left"/>
            </w:pPr>
            <w:r>
              <w:t xml:space="preserve">Cameroun</w:t>
            </w:r>
          </w:p>
        </w:tc>
        <w:tc>
          <w:tcPr>
            <w:tcW w:w="12516" w:type="dxa"/>
          </w:tcPr>
          <w:tcPr/>
          <w:p>
            <w:pPr>
              <w:pStyle w:val="Compact"/>
              <w:jc w:val="left"/>
            </w:pPr>
            <w:r>
              <w:t xml:space="preserve">Compensation −6 %/an (2025-2028), MT +10 %/an jusqu’à 2026, équilibre du secteur en 2028.</w:t>
            </w:r>
            <w:r>
              <w:t xml:space="preserve"> </w:t>
            </w:r>
            <w:r>
              <w:rPr>
                <w:bCs/>
                <w:b/>
              </w:rPr>
              <w:t xml:space="preserve">Partielle</w:t>
            </w:r>
            <w:r>
              <w:t xml:space="preserve"> </w:t>
            </w:r>
            <w:r>
              <w:t xml:space="preserve">: le gel BT résidentiel depuis 2012 n’est pas levé (cf. CMR).</w:t>
            </w:r>
          </w:p>
        </w:tc>
      </w:tr>
      <w:tr>
        <w:tc>
          <w:tcPr>
            <w:tcW w:w="2053" w:type="dxa"/>
          </w:tcPr>
          <w:tcPr/>
          <w:p>
            <w:pPr>
              <w:pStyle w:val="Compact"/>
              <w:jc w:val="left"/>
            </w:pPr>
            <w:r>
              <w:t xml:space="preserve">Ghana</w:t>
            </w:r>
          </w:p>
        </w:tc>
        <w:tc>
          <w:tcPr>
            <w:tcW w:w="12516" w:type="dxa"/>
          </w:tcPr>
          <w:tcPr/>
          <w:p>
            <w:pPr>
              <w:pStyle w:val="Compact"/>
              <w:jc w:val="left"/>
            </w:pPr>
            <w:r>
              <w:t xml:space="preserve">Écart de 18 % à combler, recouvrement intégral en 2027, ajustements trimestriels (MYTO) ; « +15 %/an » en annexe seulement (cf. GHA).</w:t>
            </w:r>
          </w:p>
        </w:tc>
      </w:tr>
      <w:tr>
        <w:tc>
          <w:tcPr>
            <w:tcW w:w="2053" w:type="dxa"/>
          </w:tcPr>
          <w:tcPr/>
          <w:p>
            <w:pPr>
              <w:pStyle w:val="Compact"/>
              <w:jc w:val="left"/>
            </w:pPr>
            <w:r>
              <w:t xml:space="preserve">Éthiopie</w:t>
            </w:r>
          </w:p>
        </w:tc>
        <w:tc>
          <w:tcPr>
            <w:tcW w:w="12516" w:type="dxa"/>
          </w:tcPr>
          <w:tcPr/>
          <w:p>
            <w:pPr>
              <w:pStyle w:val="Compact"/>
              <w:jc w:val="left"/>
            </w:pPr>
            <w:r>
              <w:t xml:space="preserve">De &lt; 60 % à une pleine couverture OPEX + dette en 2028. Les hausses trimestrielles (×4 à ×6 pour les ménages) sont [S], et non dans le pacte (cf. ETH).</w:t>
            </w:r>
          </w:p>
        </w:tc>
      </w:tr>
      <w:tr>
        <w:tc>
          <w:tcPr>
            <w:tcW w:w="2053" w:type="dxa"/>
          </w:tcPr>
          <w:tcPr/>
          <w:p>
            <w:pPr>
              <w:pStyle w:val="Compact"/>
              <w:jc w:val="left"/>
            </w:pPr>
            <w:r>
              <w:t xml:space="preserve">Rwanda</w:t>
            </w:r>
          </w:p>
        </w:tc>
        <w:tc>
          <w:tcPr>
            <w:tcW w:w="12516" w:type="dxa"/>
          </w:tcPr>
          <w:tcPr/>
          <w:p>
            <w:pPr>
              <w:pStyle w:val="Compact"/>
              <w:jc w:val="left"/>
            </w:pPr>
            <w:r>
              <w:t xml:space="preserve">Hausse déjà réalisée et chiffrée (oct. 2025), cible de subventions ≤ 5 % en 2030, méthodologie du RR en 2027 (cf. RWA).</w:t>
            </w:r>
          </w:p>
        </w:tc>
      </w:tr>
    </w:tbl>
    <w:bookmarkEnd w:id="26"/>
    <w:bookmarkStart w:id="27" w:name="X56981e2df5becaf694f0e0b73abc5607be1a0fb"/>
    <w:p>
      <w:pPr>
        <w:pStyle w:val="Heading2"/>
      </w:pPr>
      <w:r>
        <w:t xml:space="preserve">Catégorie 2a — Résultat daté sans chiffre (10 pays)</w:t>
      </w:r>
    </w:p>
    <w:p>
      <w:pPr>
        <w:pStyle w:val="FirstParagraph"/>
      </w:pPr>
      <w:r>
        <w:t xml:space="preserve">Une date de couverture des coûts ou d’équilibre est fixée, sans niveau ni trajectoire.</w:t>
      </w:r>
    </w:p>
    <w:tbl>
      <w:tblPr>
        <w:tblStyle w:val="Table"/>
        <w:tblW w:type="dxa" w:w="14570"/>
        <w:tblLook w:firstRow="1" w:lastRow="0" w:firstColumn="0" w:lastColumn="0" w:noHBand="0" w:noVBand="0" w:val="0020"/>
        <w:jc w:val="start"/>
      </w:tblPr>
      <w:tblGrid>
        <w:gridCol w:w="1878"/>
        <w:gridCol w:w="12691"/>
      </w:tblGrid>
      <w:tr>
        <w:trPr>
          <w:tblHeader w:val="true"/>
        </w:trPr>
        <w:tc>
          <w:tcPr>
            <w:tcW w:w="1878" w:type="dxa"/>
          </w:tcPr>
          <w:tcPr/>
          <w:p>
            <w:pPr>
              <w:pStyle w:val="Compact"/>
              <w:jc w:val="left"/>
            </w:pPr>
            <w:r>
              <w:t xml:space="preserve">Pays</w:t>
            </w:r>
          </w:p>
        </w:tc>
        <w:tc>
          <w:tcPr>
            <w:tcW w:w="12691" w:type="dxa"/>
          </w:tcPr>
          <w:tcPr/>
          <w:p>
            <w:pPr>
              <w:pStyle w:val="Compact"/>
              <w:jc w:val="left"/>
            </w:pPr>
            <w:r>
              <w:t xml:space="preserve">Justification (fiche)</w:t>
            </w:r>
          </w:p>
        </w:tc>
      </w:tr>
      <w:tr>
        <w:tc>
          <w:tcPr>
            <w:tcW w:w="1878" w:type="dxa"/>
          </w:tcPr>
          <w:tcPr/>
          <w:p>
            <w:pPr>
              <w:pStyle w:val="Compact"/>
              <w:jc w:val="left"/>
            </w:pPr>
            <w:r>
              <w:t xml:space="preserve">RD Congo</w:t>
            </w:r>
          </w:p>
        </w:tc>
        <w:tc>
          <w:tcPr>
            <w:tcW w:w="12691" w:type="dxa"/>
          </w:tcPr>
          <w:tcPr/>
          <w:p>
            <w:pPr>
              <w:pStyle w:val="Compact"/>
              <w:jc w:val="left"/>
            </w:pPr>
            <w:r>
              <w:t xml:space="preserve">Régime couvrant les coûts en janv. 2026, 100 % des coûts opérationnels en 2029 (95 % dans l’indicateur) ; aucun niveau ; subventions non renseignées (cf. COD).</w:t>
            </w:r>
          </w:p>
        </w:tc>
      </w:tr>
      <w:tr>
        <w:tc>
          <w:tcPr>
            <w:tcW w:w="1878" w:type="dxa"/>
          </w:tcPr>
          <w:tcPr/>
          <w:p>
            <w:pPr>
              <w:pStyle w:val="Compact"/>
              <w:jc w:val="left"/>
            </w:pPr>
            <w:r>
              <w:t xml:space="preserve">Zambie</w:t>
            </w:r>
          </w:p>
        </w:tc>
        <w:tc>
          <w:tcPr>
            <w:tcW w:w="12691" w:type="dxa"/>
          </w:tcPr>
          <w:tcPr/>
          <w:p>
            <w:pPr>
              <w:pStyle w:val="Compact"/>
              <w:jc w:val="left"/>
            </w:pPr>
            <w:r>
              <w:t xml:space="preserve">Recouvrement intégral et répercussion des tarifs IPP en 2027 (MYTF) ; tarifs « Information not available » (cf. ZMB).</w:t>
            </w:r>
          </w:p>
        </w:tc>
      </w:tr>
      <w:tr>
        <w:tc>
          <w:tcPr>
            <w:tcW w:w="1878" w:type="dxa"/>
          </w:tcPr>
          <w:tcPr/>
          <w:p>
            <w:pPr>
              <w:pStyle w:val="Compact"/>
              <w:jc w:val="left"/>
            </w:pPr>
            <w:r>
              <w:t xml:space="preserve">Zimbabwe</w:t>
            </w:r>
          </w:p>
        </w:tc>
        <w:tc>
          <w:tcPr>
            <w:tcW w:w="12691" w:type="dxa"/>
          </w:tcPr>
          <w:tcPr/>
          <w:p>
            <w:pPr>
              <w:pStyle w:val="Compact"/>
              <w:jc w:val="left"/>
            </w:pPr>
            <w:r>
              <w:t xml:space="preserve">≥ 100 % des coûts d’exploitation en monnaie locale et en devises au T4 2027 ; subventions « No data » (cf. ZWE).</w:t>
            </w:r>
          </w:p>
        </w:tc>
      </w:tr>
      <w:tr>
        <w:tc>
          <w:tcPr>
            <w:tcW w:w="1878" w:type="dxa"/>
          </w:tcPr>
          <w:tcPr/>
          <w:p>
            <w:pPr>
              <w:pStyle w:val="Compact"/>
              <w:jc w:val="left"/>
            </w:pPr>
            <w:r>
              <w:t xml:space="preserve">Nigeria</w:t>
            </w:r>
          </w:p>
        </w:tc>
        <w:tc>
          <w:tcPr>
            <w:tcW w:w="12691" w:type="dxa"/>
          </w:tcPr>
          <w:tcPr/>
          <w:p>
            <w:pPr>
              <w:pStyle w:val="Compact"/>
              <w:jc w:val="left"/>
            </w:pPr>
            <w:r>
              <w:t xml:space="preserve">Tarif reflet des coûts avec tarif social ≤ 2027, subvention plate dès 2025 ; pas de niveau cible (cf. NGA).</w:t>
            </w:r>
          </w:p>
        </w:tc>
      </w:tr>
      <w:tr>
        <w:tc>
          <w:tcPr>
            <w:tcW w:w="1878" w:type="dxa"/>
          </w:tcPr>
          <w:tcPr/>
          <w:p>
            <w:pPr>
              <w:pStyle w:val="Compact"/>
              <w:jc w:val="left"/>
            </w:pPr>
            <w:r>
              <w:t xml:space="preserve">Madagascar</w:t>
            </w:r>
          </w:p>
        </w:tc>
        <w:tc>
          <w:tcPr>
            <w:tcW w:w="12691" w:type="dxa"/>
          </w:tcPr>
          <w:tcPr/>
          <w:p>
            <w:pPr>
              <w:pStyle w:val="Compact"/>
              <w:jc w:val="left"/>
            </w:pPr>
            <w:r>
              <w:t xml:space="preserve">Méthodologie déc. 2025 (en retard), coûts couverts en 2030 ; « aucun chiffre » (cf. MDG).</w:t>
            </w:r>
          </w:p>
        </w:tc>
      </w:tr>
      <w:tr>
        <w:tc>
          <w:tcPr>
            <w:tcW w:w="1878" w:type="dxa"/>
          </w:tcPr>
          <w:tcPr/>
          <w:p>
            <w:pPr>
              <w:pStyle w:val="Compact"/>
              <w:jc w:val="left"/>
            </w:pPr>
            <w:r>
              <w:t xml:space="preserve">Comores</w:t>
            </w:r>
          </w:p>
        </w:tc>
        <w:tc>
          <w:tcPr>
            <w:tcW w:w="12691" w:type="dxa"/>
          </w:tcPr>
          <w:tcPr/>
          <w:p>
            <w:pPr>
              <w:pStyle w:val="Compact"/>
              <w:jc w:val="left"/>
            </w:pPr>
            <w:r>
              <w:t xml:space="preserve">Application déc. 2026, coûts couverts en 2030 ; « pas chiffrée » (cf. COM).</w:t>
            </w:r>
          </w:p>
        </w:tc>
      </w:tr>
      <w:tr>
        <w:tc>
          <w:tcPr>
            <w:tcW w:w="1878" w:type="dxa"/>
          </w:tcPr>
          <w:tcPr/>
          <w:p>
            <w:pPr>
              <w:pStyle w:val="Compact"/>
              <w:jc w:val="left"/>
            </w:pPr>
            <w:r>
              <w:t xml:space="preserve">Togo</w:t>
            </w:r>
          </w:p>
        </w:tc>
        <w:tc>
          <w:tcPr>
            <w:tcW w:w="12691" w:type="dxa"/>
          </w:tcPr>
          <w:tcPr/>
          <w:p>
            <w:pPr>
              <w:pStyle w:val="Compact"/>
              <w:jc w:val="left"/>
            </w:pPr>
            <w:r>
              <w:t xml:space="preserve">Grille de mai 2025, alignement progressif, équilibre en 2030, révision T4 2028 ; contenu de la grille [?] (cf. TGO).</w:t>
            </w:r>
          </w:p>
        </w:tc>
      </w:tr>
      <w:tr>
        <w:tc>
          <w:tcPr>
            <w:tcW w:w="1878" w:type="dxa"/>
          </w:tcPr>
          <w:tcPr/>
          <w:p>
            <w:pPr>
              <w:pStyle w:val="Compact"/>
              <w:jc w:val="left"/>
            </w:pPr>
            <w:r>
              <w:t xml:space="preserve">Liberia</w:t>
            </w:r>
          </w:p>
        </w:tc>
        <w:tc>
          <w:tcPr>
            <w:tcW w:w="12691" w:type="dxa"/>
          </w:tcPr>
          <w:tcPr/>
          <w:p>
            <w:pPr>
              <w:pStyle w:val="Compact"/>
              <w:jc w:val="left"/>
            </w:pPr>
            <w:r>
              <w:t xml:space="preserve">Tarif pluriannuel en juin 2025, ajustements T3 2025, LEC à l’équilibre FY2028 ; « vagues sur le niveau » (cf. LBR).</w:t>
            </w:r>
          </w:p>
        </w:tc>
      </w:tr>
      <w:tr>
        <w:tc>
          <w:tcPr>
            <w:tcW w:w="1878" w:type="dxa"/>
          </w:tcPr>
          <w:tcPr/>
          <w:p>
            <w:pPr>
              <w:pStyle w:val="Compact"/>
              <w:jc w:val="left"/>
            </w:pPr>
            <w:r>
              <w:t xml:space="preserve">Congo</w:t>
            </w:r>
          </w:p>
        </w:tc>
        <w:tc>
          <w:tcPr>
            <w:tcW w:w="12691" w:type="dxa"/>
          </w:tcPr>
          <w:tcPr/>
          <w:p>
            <w:pPr>
              <w:pStyle w:val="Compact"/>
              <w:jc w:val="left"/>
            </w:pPr>
            <w:r>
              <w:t xml:space="preserve">Tarif social déc. 2025, nouvelle grille ≥ 100 % des coûts d’exploitation efficaces en déc. 2026, après un gel depuis 1994 ; « pas de trajectoire de hausse » (cf. COG).</w:t>
            </w:r>
          </w:p>
        </w:tc>
      </w:tr>
      <w:tr>
        <w:tc>
          <w:tcPr>
            <w:tcW w:w="1878" w:type="dxa"/>
          </w:tcPr>
          <w:tcPr/>
          <w:p>
            <w:pPr>
              <w:pStyle w:val="Compact"/>
              <w:jc w:val="left"/>
            </w:pPr>
            <w:r>
              <w:t xml:space="preserve">Malawi</w:t>
            </w:r>
          </w:p>
        </w:tc>
        <w:tc>
          <w:tcPr>
            <w:tcW w:w="12691" w:type="dxa"/>
          </w:tcPr>
          <w:tcPr/>
          <w:p>
            <w:pPr>
              <w:pStyle w:val="Compact"/>
              <w:jc w:val="left"/>
            </w:pPr>
            <w:r>
              <w:t xml:space="preserve">Faire appliquer l’ATAF en 2025-2027 et obtenir un tarif reflétant les coûts « pour les quatre prochaines années » ; écart chiffré (77 %) mais aucune trajectoire (cf. MWI).</w:t>
            </w:r>
          </w:p>
        </w:tc>
      </w:tr>
    </w:tbl>
    <w:bookmarkEnd w:id="27"/>
    <w:bookmarkStart w:id="28" w:name="X0e4bbf94c7bdd93dade95152b6311ad019f0ec4"/>
    <w:p>
      <w:pPr>
        <w:pStyle w:val="Heading2"/>
      </w:pPr>
      <w:r>
        <w:t xml:space="preserve">Catégorie 2b — Processus daté, sans résultat daté (9 pays)</w:t>
      </w:r>
    </w:p>
    <w:p>
      <w:pPr>
        <w:pStyle w:val="FirstParagraph"/>
      </w:pPr>
      <w:r>
        <w:t xml:space="preserve">Seules des étapes sont datées : étude, méthodologie, ordonnance, plan.</w:t>
      </w:r>
    </w:p>
    <w:tbl>
      <w:tblPr>
        <w:tblStyle w:val="Table"/>
        <w:tblW w:type="dxa" w:w="14570"/>
        <w:tblLook w:firstRow="1" w:lastRow="0" w:firstColumn="0" w:lastColumn="0" w:noHBand="0" w:noVBand="0" w:val="0020"/>
        <w:jc w:val="start"/>
      </w:tblPr>
      <w:tblGrid>
        <w:gridCol w:w="2172"/>
        <w:gridCol w:w="12397"/>
      </w:tblGrid>
      <w:tr>
        <w:trPr>
          <w:tblHeader w:val="true"/>
        </w:trPr>
        <w:tc>
          <w:tcPr>
            <w:tcW w:w="2172" w:type="dxa"/>
          </w:tcPr>
          <w:tcPr/>
          <w:p>
            <w:pPr>
              <w:pStyle w:val="Compact"/>
              <w:jc w:val="left"/>
            </w:pPr>
            <w:r>
              <w:t xml:space="preserve">Pays</w:t>
            </w:r>
          </w:p>
        </w:tc>
        <w:tc>
          <w:tcPr>
            <w:tcW w:w="12397" w:type="dxa"/>
          </w:tcPr>
          <w:tcPr/>
          <w:p>
            <w:pPr>
              <w:pStyle w:val="Compact"/>
              <w:jc w:val="left"/>
            </w:pPr>
            <w:r>
              <w:t xml:space="preserve">Justification (fiche)</w:t>
            </w:r>
          </w:p>
        </w:tc>
      </w:tr>
      <w:tr>
        <w:tc>
          <w:tcPr>
            <w:tcW w:w="2172" w:type="dxa"/>
          </w:tcPr>
          <w:tcPr/>
          <w:p>
            <w:pPr>
              <w:pStyle w:val="Compact"/>
              <w:jc w:val="left"/>
            </w:pPr>
            <w:r>
              <w:t xml:space="preserve">Botswana</w:t>
            </w:r>
          </w:p>
        </w:tc>
        <w:tc>
          <w:tcPr>
            <w:tcW w:w="12397" w:type="dxa"/>
          </w:tcPr>
          <w:tcPr/>
          <w:p>
            <w:pPr>
              <w:pStyle w:val="Compact"/>
              <w:jc w:val="left"/>
            </w:pPr>
            <w:r>
              <w:t xml:space="preserve">CoS déc. 2025 → transition mars 2026 → régime pluriannuel déc. 2026, et couverture explicite de l’écart par l’État ; diagnostic chiffré (127 contre 159 thebe/kWh). Le verrou est politique (hausses de 2023 et 2024 rejetées) (cf. BWA).</w:t>
            </w:r>
          </w:p>
        </w:tc>
      </w:tr>
      <w:tr>
        <w:tc>
          <w:tcPr>
            <w:tcW w:w="2172" w:type="dxa"/>
          </w:tcPr>
          <w:tcPr/>
          <w:p>
            <w:pPr>
              <w:pStyle w:val="Compact"/>
              <w:jc w:val="left"/>
            </w:pPr>
            <w:r>
              <w:t xml:space="preserve">Lesotho</w:t>
            </w:r>
          </w:p>
        </w:tc>
        <w:tc>
          <w:tcPr>
            <w:tcW w:w="12397" w:type="dxa"/>
          </w:tcPr>
          <w:tcPr/>
          <w:p>
            <w:pPr>
              <w:pStyle w:val="Compact"/>
              <w:jc w:val="left"/>
            </w:pPr>
            <w:r>
              <w:t xml:space="preserve">CoS déc. 2025 → mécanisme automatique mars 2026 → ajustements semestriels mai 2026 ; « aucun chiffre » (cf. LSO).</w:t>
            </w:r>
          </w:p>
        </w:tc>
      </w:tr>
      <w:tr>
        <w:tc>
          <w:tcPr>
            <w:tcW w:w="2172" w:type="dxa"/>
          </w:tcPr>
          <w:tcPr/>
          <w:p>
            <w:pPr>
              <w:pStyle w:val="Compact"/>
              <w:jc w:val="left"/>
            </w:pPr>
            <w:r>
              <w:t xml:space="preserve">Tanzanie</w:t>
            </w:r>
          </w:p>
        </w:tc>
        <w:tc>
          <w:tcPr>
            <w:tcW w:w="12397" w:type="dxa"/>
          </w:tcPr>
          <w:tcPr/>
          <w:p>
            <w:pPr>
              <w:pStyle w:val="Compact"/>
              <w:jc w:val="left"/>
            </w:pPr>
            <w:r>
              <w:t xml:space="preserve">CoS juin 2026 (en retard), ajustements annuels dès 2027 ; trajectoire « à déterminer » (cf. TZA).</w:t>
            </w:r>
          </w:p>
        </w:tc>
      </w:tr>
      <w:tr>
        <w:tc>
          <w:tcPr>
            <w:tcW w:w="2172" w:type="dxa"/>
          </w:tcPr>
          <w:tcPr/>
          <w:p>
            <w:pPr>
              <w:pStyle w:val="Compact"/>
              <w:jc w:val="left"/>
            </w:pPr>
            <w:r>
              <w:t xml:space="preserve">Ouganda</w:t>
            </w:r>
          </w:p>
        </w:tc>
        <w:tc>
          <w:tcPr>
            <w:tcW w:w="12397" w:type="dxa"/>
          </w:tcPr>
          <w:tcPr/>
          <w:p>
            <w:pPr>
              <w:pStyle w:val="Compact"/>
              <w:jc w:val="left"/>
            </w:pPr>
            <w:r>
              <w:t xml:space="preserve">CoS juin 2026, ordonnance T4 2026 avec glide path de 5 ans ; aucune donnée de départ (cf. UGA).</w:t>
            </w:r>
          </w:p>
        </w:tc>
      </w:tr>
      <w:tr>
        <w:tc>
          <w:tcPr>
            <w:tcW w:w="2172" w:type="dxa"/>
          </w:tcPr>
          <w:tcPr/>
          <w:p>
            <w:pPr>
              <w:pStyle w:val="Compact"/>
              <w:jc w:val="left"/>
            </w:pPr>
            <w:r>
              <w:t xml:space="preserve">Kenya</w:t>
            </w:r>
          </w:p>
        </w:tc>
        <w:tc>
          <w:tcPr>
            <w:tcW w:w="12397" w:type="dxa"/>
          </w:tcPr>
          <w:tcPr/>
          <w:p>
            <w:pPr>
              <w:pStyle w:val="Compact"/>
              <w:jc w:val="left"/>
            </w:pPr>
            <w:r>
              <w:t xml:space="preserve">Ordonnance 2026-2029 d’ici avril 2026, déjà contredite par le retrait politique de la demande en juin 2026 [S] (cf. KEN).</w:t>
            </w:r>
          </w:p>
        </w:tc>
      </w:tr>
      <w:tr>
        <w:tc>
          <w:tcPr>
            <w:tcW w:w="2172" w:type="dxa"/>
          </w:tcPr>
          <w:tcPr/>
          <w:p>
            <w:pPr>
              <w:pStyle w:val="Compact"/>
              <w:jc w:val="left"/>
            </w:pPr>
            <w:r>
              <w:t xml:space="preserve">Burundi</w:t>
            </w:r>
          </w:p>
        </w:tc>
        <w:tc>
          <w:tcPr>
            <w:tcW w:w="12397" w:type="dxa"/>
          </w:tcPr>
          <w:tcPr/>
          <w:p>
            <w:pPr>
              <w:pStyle w:val="Compact"/>
              <w:jc w:val="left"/>
            </w:pPr>
            <w:r>
              <w:t xml:space="preserve">Nouvelle structure déc. 2026 (coûts d’exploitation seulement) ; tarif moyen [?] (cf. BDI).</w:t>
            </w:r>
          </w:p>
        </w:tc>
      </w:tr>
      <w:tr>
        <w:tc>
          <w:tcPr>
            <w:tcW w:w="2172" w:type="dxa"/>
          </w:tcPr>
          <w:tcPr/>
          <w:p>
            <w:pPr>
              <w:pStyle w:val="Compact"/>
              <w:jc w:val="left"/>
            </w:pPr>
            <w:r>
              <w:t xml:space="preserve">Sierra Leone</w:t>
            </w:r>
          </w:p>
        </w:tc>
        <w:tc>
          <w:tcPr>
            <w:tcW w:w="12397" w:type="dxa"/>
          </w:tcPr>
          <w:tcPr/>
          <w:p>
            <w:pPr>
              <w:pStyle w:val="Compact"/>
              <w:jc w:val="left"/>
            </w:pPr>
            <w:r>
              <w:t xml:space="preserve">MYTO avril 2026, révision du PPA EDSA-EGTC ; « aucun niveau ni trajectoire » (cf. SLE).</w:t>
            </w:r>
          </w:p>
        </w:tc>
      </w:tr>
      <w:tr>
        <w:tc>
          <w:tcPr>
            <w:tcW w:w="2172" w:type="dxa"/>
          </w:tcPr>
          <w:tcPr/>
          <w:p>
            <w:pPr>
              <w:pStyle w:val="Compact"/>
              <w:jc w:val="left"/>
            </w:pPr>
            <w:r>
              <w:t xml:space="preserve">Sénégal</w:t>
            </w:r>
          </w:p>
        </w:tc>
        <w:tc>
          <w:tcPr>
            <w:tcW w:w="12397" w:type="dxa"/>
          </w:tcPr>
          <w:tcPr/>
          <w:p>
            <w:pPr>
              <w:pStyle w:val="Compact"/>
              <w:jc w:val="left"/>
            </w:pPr>
            <w:r>
              <w:t xml:space="preserve">« Baisse de la subvention » fin 2025, sans montant ; diagnostic très précis (72 %, 34 %, 30 %). Classé ici car l’échéance porte sur une action, non sur un niveau (cf. SEN).</w:t>
            </w:r>
          </w:p>
        </w:tc>
      </w:tr>
      <w:tr>
        <w:tc>
          <w:tcPr>
            <w:tcW w:w="2172" w:type="dxa"/>
          </w:tcPr>
          <w:tcPr/>
          <w:p>
            <w:pPr>
              <w:pStyle w:val="Compact"/>
              <w:jc w:val="left"/>
            </w:pPr>
            <w:r>
              <w:t xml:space="preserve">Côte d’Ivoire</w:t>
            </w:r>
          </w:p>
        </w:tc>
        <w:tc>
          <w:tcPr>
            <w:tcW w:w="12397" w:type="dxa"/>
          </w:tcPr>
          <w:tcPr/>
          <w:p>
            <w:pPr>
              <w:pStyle w:val="Compact"/>
              <w:jc w:val="left"/>
            </w:pPr>
            <w:r>
              <w:t xml:space="preserve">Plan d’assainissement à adopter fin S1 2025 (en retard) ; « vagues » (cf. CIV).</w:t>
            </w:r>
          </w:p>
        </w:tc>
      </w:tr>
    </w:tbl>
    <w:bookmarkEnd w:id="28"/>
    <w:bookmarkStart w:id="29" w:name="catégorie-3-vague-ou-évitement-8-pays"/>
    <w:p>
      <w:pPr>
        <w:pStyle w:val="Heading2"/>
      </w:pPr>
      <w:r>
        <w:t xml:space="preserve">Catégorie 3 — Vague ou évitement (8 pays)</w:t>
      </w:r>
    </w:p>
    <w:tbl>
      <w:tblPr>
        <w:tblStyle w:val="Table"/>
        <w:tblW w:type="dxa" w:w="14570"/>
        <w:tblLook w:firstRow="1" w:lastRow="0" w:firstColumn="0" w:lastColumn="0" w:noHBand="0" w:noVBand="0" w:val="0020"/>
        <w:jc w:val="start"/>
      </w:tblPr>
      <w:tblGrid>
        <w:gridCol w:w="1859"/>
        <w:gridCol w:w="12710"/>
      </w:tblGrid>
      <w:tr>
        <w:trPr>
          <w:tblHeader w:val="true"/>
        </w:trPr>
        <w:tc>
          <w:tcPr>
            <w:tcW w:w="1859" w:type="dxa"/>
          </w:tcPr>
          <w:tcPr/>
          <w:p>
            <w:pPr>
              <w:pStyle w:val="Compact"/>
              <w:jc w:val="left"/>
            </w:pPr>
            <w:r>
              <w:t xml:space="preserve">Pays</w:t>
            </w:r>
          </w:p>
        </w:tc>
        <w:tc>
          <w:tcPr>
            <w:tcW w:w="12710" w:type="dxa"/>
          </w:tcPr>
          <w:tcPr/>
          <w:p>
            <w:pPr>
              <w:pStyle w:val="Compact"/>
              <w:jc w:val="left"/>
            </w:pPr>
            <w:r>
              <w:t xml:space="preserve">Justification (fiche)</w:t>
            </w:r>
          </w:p>
        </w:tc>
      </w:tr>
      <w:tr>
        <w:tc>
          <w:tcPr>
            <w:tcW w:w="1859" w:type="dxa"/>
          </w:tcPr>
          <w:tcPr/>
          <w:p>
            <w:pPr>
              <w:pStyle w:val="Compact"/>
              <w:jc w:val="left"/>
            </w:pPr>
            <w:r>
              <w:t xml:space="preserve">Bénin</w:t>
            </w:r>
          </w:p>
        </w:tc>
        <w:tc>
          <w:tcPr>
            <w:tcW w:w="12710" w:type="dxa"/>
          </w:tcPr>
          <w:tcPr/>
          <w:p>
            <w:pPr>
              <w:pStyle w:val="Compact"/>
              <w:jc w:val="left"/>
            </w:pPr>
            <w:r>
              <w:t xml:space="preserve">« Aucun engagement d’ajustement tarifaire » ; recouvrement déclaré « Oui » sans données ; précis seulement côté IPP (cf. BEN).</w:t>
            </w:r>
          </w:p>
        </w:tc>
      </w:tr>
      <w:tr>
        <w:tc>
          <w:tcPr>
            <w:tcW w:w="1859" w:type="dxa"/>
          </w:tcPr>
          <w:tcPr/>
          <w:p>
            <w:pPr>
              <w:pStyle w:val="Compact"/>
              <w:jc w:val="left"/>
            </w:pPr>
            <w:r>
              <w:t xml:space="preserve">Mauritanie</w:t>
            </w:r>
          </w:p>
        </w:tc>
        <w:tc>
          <w:tcPr>
            <w:tcW w:w="12710" w:type="dxa"/>
          </w:tcPr>
          <w:tcPr/>
          <w:p>
            <w:pPr>
              <w:pStyle w:val="Compact"/>
              <w:jc w:val="left"/>
            </w:pPr>
            <w:r>
              <w:t xml:space="preserve">Aucun engagement ; « alternatives pertinentes à l’augmentation de tarif » ; mise sur la baisse des coûts (cf. MRT).</w:t>
            </w:r>
          </w:p>
        </w:tc>
      </w:tr>
      <w:tr>
        <w:tc>
          <w:tcPr>
            <w:tcW w:w="1859" w:type="dxa"/>
          </w:tcPr>
          <w:tcPr/>
          <w:p>
            <w:pPr>
              <w:pStyle w:val="Compact"/>
              <w:jc w:val="left"/>
            </w:pPr>
            <w:r>
              <w:t xml:space="preserve">Niger</w:t>
            </w:r>
          </w:p>
        </w:tc>
        <w:tc>
          <w:tcPr>
            <w:tcW w:w="12710" w:type="dxa"/>
          </w:tcPr>
          <w:tcPr/>
          <w:p>
            <w:pPr>
              <w:pStyle w:val="Compact"/>
              <w:jc w:val="left"/>
            </w:pPr>
            <w:r>
              <w:t xml:space="preserve">« Tarifs</w:t>
            </w:r>
            <w:r>
              <w:t xml:space="preserve"> </w:t>
            </w:r>
            <w:r>
              <w:rPr>
                <w:bCs/>
                <w:b/>
              </w:rPr>
              <w:t xml:space="preserve">et/ou</w:t>
            </w:r>
            <w:r>
              <w:t xml:space="preserve"> </w:t>
            </w:r>
            <w:r>
              <w:t xml:space="preserve">subvention » : ne lie pas l’État ; hausse de l’ARSE non appliquée depuis 2022 (cf. NER).</w:t>
            </w:r>
          </w:p>
        </w:tc>
      </w:tr>
      <w:tr>
        <w:tc>
          <w:tcPr>
            <w:tcW w:w="1859" w:type="dxa"/>
          </w:tcPr>
          <w:tcPr/>
          <w:p>
            <w:pPr>
              <w:pStyle w:val="Compact"/>
              <w:jc w:val="left"/>
            </w:pPr>
            <w:r>
              <w:t xml:space="preserve">RCA</w:t>
            </w:r>
          </w:p>
        </w:tc>
        <w:tc>
          <w:tcPr>
            <w:tcW w:w="12710" w:type="dxa"/>
          </w:tcPr>
          <w:tcPr/>
          <w:p>
            <w:pPr>
              <w:pStyle w:val="Compact"/>
              <w:jc w:val="left"/>
            </w:pPr>
            <w:r>
              <w:t xml:space="preserve">Structure « soutenable » sans date ni cible, après environ 30 ans de gel (cf. CAF).</w:t>
            </w:r>
          </w:p>
        </w:tc>
      </w:tr>
      <w:tr>
        <w:tc>
          <w:tcPr>
            <w:tcW w:w="1859" w:type="dxa"/>
          </w:tcPr>
          <w:tcPr/>
          <w:p>
            <w:pPr>
              <w:pStyle w:val="Compact"/>
              <w:jc w:val="left"/>
            </w:pPr>
            <w:r>
              <w:t xml:space="preserve">Tchad</w:t>
            </w:r>
          </w:p>
        </w:tc>
        <w:tc>
          <w:tcPr>
            <w:tcW w:w="12710" w:type="dxa"/>
          </w:tcPr>
          <w:tcPr/>
          <w:p>
            <w:pPr>
              <w:pStyle w:val="Compact"/>
              <w:jc w:val="left"/>
            </w:pPr>
            <w:r>
              <w:t xml:space="preserve">« Étude en cours » ; aucune date ni cible ; tarif de 2012 (cf. TCD).</w:t>
            </w:r>
          </w:p>
        </w:tc>
      </w:tr>
      <w:tr>
        <w:tc>
          <w:tcPr>
            <w:tcW w:w="1859" w:type="dxa"/>
          </w:tcPr>
          <w:tcPr/>
          <w:p>
            <w:pPr>
              <w:pStyle w:val="Compact"/>
              <w:jc w:val="left"/>
            </w:pPr>
            <w:r>
              <w:t xml:space="preserve">Gabon</w:t>
            </w:r>
          </w:p>
        </w:tc>
        <w:tc>
          <w:tcPr>
            <w:tcW w:w="12710" w:type="dxa"/>
          </w:tcPr>
          <w:tcPr/>
          <w:p>
            <w:pPr>
              <w:pStyle w:val="Compact"/>
              <w:jc w:val="left"/>
            </w:pPr>
            <w:r>
              <w:t xml:space="preserve">Seulement un « diagnostic » et des « modalités de reprise » en 2026, conditionnés à l’opérateur ; « ne préjuge pas des ajustements » (cf. GAB).</w:t>
            </w:r>
          </w:p>
        </w:tc>
      </w:tr>
      <w:tr>
        <w:tc>
          <w:tcPr>
            <w:tcW w:w="1859" w:type="dxa"/>
          </w:tcPr>
          <w:tcPr/>
          <w:p>
            <w:pPr>
              <w:pStyle w:val="Compact"/>
              <w:jc w:val="left"/>
            </w:pPr>
            <w:r>
              <w:t xml:space="preserve">Burkina Faso</w:t>
            </w:r>
          </w:p>
        </w:tc>
        <w:tc>
          <w:tcPr>
            <w:tcW w:w="12710" w:type="dxa"/>
          </w:tcPr>
          <w:tcPr/>
          <w:p>
            <w:pPr>
              <w:pStyle w:val="Compact"/>
              <w:jc w:val="left"/>
            </w:pPr>
            <w:r>
              <w:t xml:space="preserve">Côté SONABEL, étude non datée ; côté rural, arrêtés précis déjà en vigueur. Classement mixte (cf. BFA).</w:t>
            </w:r>
          </w:p>
        </w:tc>
      </w:tr>
      <w:tr>
        <w:tc>
          <w:tcPr>
            <w:tcW w:w="1859" w:type="dxa"/>
          </w:tcPr>
          <w:tcPr/>
          <w:p>
            <w:pPr>
              <w:pStyle w:val="Compact"/>
              <w:jc w:val="left"/>
            </w:pPr>
            <w:r>
              <w:t xml:space="preserve">Gambie</w:t>
            </w:r>
          </w:p>
        </w:tc>
        <w:tc>
          <w:tcPr>
            <w:tcW w:w="12710" w:type="dxa"/>
          </w:tcPr>
          <w:tcPr/>
          <w:p>
            <w:pPr>
              <w:pStyle w:val="Compact"/>
              <w:jc w:val="left"/>
            </w:pPr>
            <w:r>
              <w:t xml:space="preserve">Orienté processus : CoS non datée, délai « e.g., 5 years » non arrêté ; la répercussion des coûts est reconnue « inconsistent » (cf. GMB).</w:t>
            </w:r>
          </w:p>
        </w:tc>
      </w:tr>
    </w:tbl>
    <w:bookmarkEnd w:id="29"/>
    <w:bookmarkStart w:id="30" w:name="Xeb05c4c21de519c90d52bf989d76bafad534361"/>
    <w:p>
      <w:pPr>
        <w:pStyle w:val="Heading2"/>
      </w:pPr>
      <w:r>
        <w:t xml:space="preserve">Catégorie 4 — Déjà au coût, ou objectif de baisse : l’enjeu est l’abordabilité (3 pays)</w:t>
      </w:r>
    </w:p>
    <w:tbl>
      <w:tblPr>
        <w:tblStyle w:val="Table"/>
        <w:tblW w:type="dxa" w:w="14570"/>
        <w:tblLook w:firstRow="1" w:lastRow="0" w:firstColumn="0" w:lastColumn="0" w:noHBand="0" w:noVBand="0" w:val="0020"/>
        <w:jc w:val="start"/>
      </w:tblPr>
      <w:tblGrid>
        <w:gridCol w:w="2100"/>
        <w:gridCol w:w="12469"/>
      </w:tblGrid>
      <w:tr>
        <w:trPr>
          <w:tblHeader w:val="true"/>
        </w:trPr>
        <w:tc>
          <w:tcPr>
            <w:tcW w:w="2100" w:type="dxa"/>
          </w:tcPr>
          <w:tcPr/>
          <w:p>
            <w:pPr>
              <w:pStyle w:val="Compact"/>
              <w:jc w:val="left"/>
            </w:pPr>
            <w:r>
              <w:t xml:space="preserve">Pays</w:t>
            </w:r>
          </w:p>
        </w:tc>
        <w:tc>
          <w:tcPr>
            <w:tcW w:w="12469" w:type="dxa"/>
          </w:tcPr>
          <w:tcPr/>
          <w:p>
            <w:pPr>
              <w:pStyle w:val="Compact"/>
              <w:jc w:val="left"/>
            </w:pPr>
            <w:r>
              <w:t xml:space="preserve">Justification (fiche)</w:t>
            </w:r>
          </w:p>
        </w:tc>
      </w:tr>
      <w:tr>
        <w:tc>
          <w:tcPr>
            <w:tcW w:w="2100" w:type="dxa"/>
          </w:tcPr>
          <w:tcPr/>
          <w:p>
            <w:pPr>
              <w:pStyle w:val="Compact"/>
              <w:jc w:val="left"/>
            </w:pPr>
            <w:r>
              <w:t xml:space="preserve">Namibie</w:t>
            </w:r>
          </w:p>
        </w:tc>
        <w:tc>
          <w:tcPr>
            <w:tcW w:w="12469" w:type="dxa"/>
          </w:tcPr>
          <w:tcPr/>
          <w:p>
            <w:pPr>
              <w:pStyle w:val="Compact"/>
              <w:jc w:val="left"/>
            </w:pPr>
            <w:r>
              <w:t xml:space="preserve">Méthode coût + marge ; tarif 0,117 contre coût 0,113 USD/kWh ; « l’un des tarifs les plus élevés d’Afrique » ; engagement de méthode (PBR) et de financement des réseaux hors tarif. Contradiction : indicateur de recouvrement à « No » (cf. NAM).</w:t>
            </w:r>
          </w:p>
        </w:tc>
      </w:tr>
      <w:tr>
        <w:tc>
          <w:tcPr>
            <w:tcW w:w="2100" w:type="dxa"/>
          </w:tcPr>
          <w:tcPr/>
          <w:p>
            <w:pPr>
              <w:pStyle w:val="Compact"/>
              <w:jc w:val="left"/>
            </w:pPr>
            <w:r>
              <w:t xml:space="preserve">Mozambique</w:t>
            </w:r>
          </w:p>
        </w:tc>
        <w:tc>
          <w:tcPr>
            <w:tcW w:w="12469" w:type="dxa"/>
          </w:tcPr>
          <w:tcPr/>
          <w:p>
            <w:pPr>
              <w:pStyle w:val="Compact"/>
              <w:jc w:val="left"/>
            </w:pPr>
            <w:r>
              <w:t xml:space="preserve">EDM ≥ 100 % des coûts d’exploitation (2023), grâce à des facteurs exogènes (change, énergie HCB, exports) ; la méthodologie de 2022 n’est pas appliquée (cf. MOZ).</w:t>
            </w:r>
          </w:p>
        </w:tc>
      </w:tr>
      <w:tr>
        <w:tc>
          <w:tcPr>
            <w:tcW w:w="2100" w:type="dxa"/>
          </w:tcPr>
          <w:tcPr/>
          <w:p>
            <w:pPr>
              <w:pStyle w:val="Compact"/>
              <w:jc w:val="left"/>
            </w:pPr>
            <w:r>
              <w:t xml:space="preserve">Djibouti</w:t>
            </w:r>
          </w:p>
        </w:tc>
        <w:tc>
          <w:tcPr>
            <w:tcW w:w="12469" w:type="dxa"/>
          </w:tcPr>
          <w:tcPr/>
          <w:p>
            <w:pPr>
              <w:pStyle w:val="Compact"/>
              <w:jc w:val="left"/>
            </w:pPr>
            <w:r>
              <w:t xml:space="preserve">Seul pacte visant une</w:t>
            </w:r>
            <w:r>
              <w:t xml:space="preserve"> </w:t>
            </w:r>
            <w:r>
              <w:rPr>
                <w:bCs/>
                <w:b/>
              </w:rPr>
              <w:t xml:space="preserve">baisse</w:t>
            </w:r>
            <w:r>
              <w:t xml:space="preserve"> </w:t>
            </w:r>
            <w:r>
              <w:t xml:space="preserve">du tarif (0,28 → &lt; 0,25 USD/kWh), par substitution d’ENR ; cible incohérente (0,20, 0,22 ou &lt; 0,25) (cf. DJI).</w:t>
            </w:r>
          </w:p>
        </w:tc>
      </w:tr>
    </w:tbl>
    <w:p>
      <w:pPr>
        <w:pStyle w:val="BodyText"/>
      </w:pPr>
      <w:r>
        <w:t xml:space="preserve">Remarque : le Zimbabwe affirme aussi que « la plupart des catégories » sont au coût (cf. ZWE), et le Liberia (0,23 USD/kWh) et les Comores (0,43 USD/kWh) ont déjà des tarifs élevés. Dans ces pays aussi, l’abordabilité sera un enjeu central, même s’ils sont classés en 2a.</w:t>
      </w:r>
    </w:p>
    <w:p>
      <w:pPr>
        <w:pStyle w:val="BodyText"/>
      </w:pPr>
      <w:r>
        <w:rPr>
          <w:bCs/>
          <w:b/>
        </w:rPr>
        <w:t xml:space="preserve">Bilan</w:t>
      </w:r>
      <w:r>
        <w:t xml:space="preserve"> </w:t>
      </w:r>
      <w:r>
        <w:t xml:space="preserve">: catégorie 1 = 6 ; 2a = 10 ; 2b = 9 ; 3 = 8 ; 4 = 3 ; total 36.</w:t>
      </w:r>
    </w:p>
    <w:p>
      <w:r>
        <w:pict>
          <v:rect style="width:0;height:1.5pt" o:hralign="center" o:hrstd="t" o:hr="t"/>
        </w:pict>
      </w:r>
    </w:p>
    <w:bookmarkEnd w:id="30"/>
    <w:bookmarkEnd w:id="31"/>
    <w:bookmarkStart w:id="39" w:name="thèmes-transversaux"/>
    <w:p>
      <w:pPr>
        <w:pStyle w:val="Heading1"/>
      </w:pPr>
      <w:r>
        <w:t xml:space="preserve">4. Thèmes transversaux</w:t>
      </w:r>
    </w:p>
    <w:bookmarkStart w:id="32" w:name="gels-tarifaires-et-économie-politique"/>
    <w:p>
      <w:pPr>
        <w:pStyle w:val="Heading2"/>
      </w:pPr>
      <w:r>
        <w:t xml:space="preserve">4.1 Gels tarifaires et économie politique</w:t>
      </w:r>
    </w:p>
    <w:p>
      <w:pPr>
        <w:numPr>
          <w:ilvl w:val="0"/>
          <w:numId w:val="1002"/>
        </w:numPr>
        <w:pStyle w:val="Compact"/>
      </w:pPr>
      <w:r>
        <w:rPr>
          <w:bCs/>
          <w:b/>
        </w:rPr>
        <w:t xml:space="preserve">Des gels longs, documentés par les pactes eux-mêmes</w:t>
      </w:r>
      <w:r>
        <w:t xml:space="preserve"> </w:t>
      </w:r>
      <w:r>
        <w:t xml:space="preserve">: Congo depuis 1994 (cf. COG), RCA depuis « trois décennies » (cf. CAF), Tchad depuis 2012 (cf. TCD), Cameroun BT/MT depuis 2012, avec environ 300 Md FCFA de compensation sur 2012-2023 (cf. CMR), Gabon depuis oct. 2018 (abandon d’une formule indexée) (cf. GAB), Burundi depuis 2017 (cf. BDI), Bénin depuis le décret du 24/12/2020 (cf. BEN), Niger depuis 2022 (cf. NER), São Tomé 2018-2024 (cf. STP), Togo depuis « plus de dix ans » avant la grille de 2025 (cf. TGO).</w:t>
      </w:r>
    </w:p>
    <w:p>
      <w:pPr>
        <w:numPr>
          <w:ilvl w:val="0"/>
          <w:numId w:val="1002"/>
        </w:numPr>
        <w:pStyle w:val="Compact"/>
      </w:pPr>
      <w:r>
        <w:rPr>
          <w:bCs/>
          <w:b/>
        </w:rPr>
        <w:t xml:space="preserve">Des méthodes existent mais ne sont pas appliquées</w:t>
      </w:r>
      <w:r>
        <w:t xml:space="preserve">. C’est le symptôme le plus fréquent :</w:t>
      </w:r>
    </w:p>
    <w:p>
      <w:pPr>
        <w:numPr>
          <w:ilvl w:val="1"/>
          <w:numId w:val="1003"/>
        </w:numPr>
        <w:pStyle w:val="Compact"/>
      </w:pPr>
      <w:r>
        <w:t xml:space="preserve">Mozambique : la méthodologie de 2022 n’est « pas encore appliquée » (cf. MOZ) ;</w:t>
      </w:r>
    </w:p>
    <w:p>
      <w:pPr>
        <w:numPr>
          <w:ilvl w:val="1"/>
          <w:numId w:val="1003"/>
        </w:numPr>
        <w:pStyle w:val="Compact"/>
      </w:pPr>
      <w:r>
        <w:t xml:space="preserve">Malawi : ATAF et fonds de stabilisation dont « l’application reste un défi » ; la dévaluation non répercutée fait chuter le ratio de 103 % à 87 % (cf. MWI) ;</w:t>
      </w:r>
    </w:p>
    <w:p>
      <w:pPr>
        <w:numPr>
          <w:ilvl w:val="1"/>
          <w:numId w:val="1003"/>
        </w:numPr>
        <w:pStyle w:val="Compact"/>
      </w:pPr>
      <w:r>
        <w:t xml:space="preserve">Niger : l’étude de l’ARSE n’est pas appliquée (cf. NER) ;</w:t>
      </w:r>
    </w:p>
    <w:p>
      <w:pPr>
        <w:numPr>
          <w:ilvl w:val="1"/>
          <w:numId w:val="1003"/>
        </w:numPr>
        <w:pStyle w:val="Compact"/>
      </w:pPr>
      <w:r>
        <w:t xml:space="preserve">Gambie : répercussion des coûts « inconsistent » (cf. GMB).</w:t>
      </w:r>
    </w:p>
    <w:p>
      <w:pPr>
        <w:numPr>
          <w:ilvl w:val="0"/>
          <w:numId w:val="1002"/>
        </w:numPr>
        <w:pStyle w:val="Compact"/>
      </w:pPr>
      <w:r>
        <w:rPr>
          <w:bCs/>
          <w:b/>
        </w:rPr>
        <w:t xml:space="preserve">Le verrou est politique, pas méthodologique</w:t>
      </w:r>
      <w:r>
        <w:t xml:space="preserve"> </w:t>
      </w:r>
      <w:r>
        <w:t xml:space="preserve">:</w:t>
      </w:r>
    </w:p>
    <w:p>
      <w:pPr>
        <w:numPr>
          <w:ilvl w:val="1"/>
          <w:numId w:val="1004"/>
        </w:numPr>
        <w:pStyle w:val="Compact"/>
      </w:pPr>
      <w:r>
        <w:t xml:space="preserve">Botswana : l’approbation finale revient au ministre ; les demandes de 2023 et 2024 ont été rejetées (cf. BWA) ;</w:t>
      </w:r>
    </w:p>
    <w:p>
      <w:pPr>
        <w:numPr>
          <w:ilvl w:val="1"/>
          <w:numId w:val="1004"/>
        </w:numPr>
        <w:pStyle w:val="Compact"/>
      </w:pPr>
      <w:r>
        <w:t xml:space="preserve">Kenya : le ministre a retiré la demande de KPLC le 03/06/2026, deux mois après son dépôt [S] (cf. KEN) ;</w:t>
      </w:r>
    </w:p>
    <w:p>
      <w:pPr>
        <w:numPr>
          <w:ilvl w:val="1"/>
          <w:numId w:val="1004"/>
        </w:numPr>
        <w:pStyle w:val="Compact"/>
      </w:pPr>
      <w:r>
        <w:t xml:space="preserve">Gabon : l’ARSEE « n’est pas l’organe décisionnel final » (cf. GAB) ;</w:t>
      </w:r>
    </w:p>
    <w:p>
      <w:pPr>
        <w:numPr>
          <w:ilvl w:val="1"/>
          <w:numId w:val="1004"/>
        </w:numPr>
        <w:pStyle w:val="Compact"/>
      </w:pPr>
      <w:r>
        <w:t xml:space="preserve">Nigeria : la régulation de la distribution est transférée à au moins 7 États, ce qui complique un engagement fédéral (cf. NGA).</w:t>
      </w:r>
    </w:p>
    <w:p>
      <w:pPr>
        <w:numPr>
          <w:ilvl w:val="0"/>
          <w:numId w:val="1002"/>
        </w:numPr>
        <w:pStyle w:val="Compact"/>
      </w:pPr>
      <w:r>
        <w:rPr>
          <w:bCs/>
          <w:b/>
        </w:rPr>
        <w:t xml:space="preserve">Contre-exemples récents de hausses réalisées</w:t>
      </w:r>
      <w:r>
        <w:t xml:space="preserve"> </w:t>
      </w:r>
      <w:r>
        <w:t xml:space="preserve">: Rwanda (oct. 2025, avec lifeline élargi) ; Zimbabwe (+21 %, déc. 2023) ; Gambie (+37 %, 2023) ; São Tomé (+15 %, janv. 2025) ; Burkina Faso (grille d’oct. 2023 et arrêtés ruraux de 2025) ; Côte d’Ivoire (2023) ; Cameroun (MT +10 %/an) ; Éthiopie (hausses trimestrielles depuis sept. 2024 [S]).</w:t>
      </w:r>
    </w:p>
    <w:p>
      <w:pPr>
        <w:numPr>
          <w:ilvl w:val="0"/>
          <w:numId w:val="1002"/>
        </w:numPr>
        <w:pStyle w:val="Compact"/>
      </w:pPr>
      <w:r>
        <w:rPr>
          <w:bCs/>
          <w:b/>
        </w:rPr>
        <w:t xml:space="preserve">L’évitement est assumé</w:t>
      </w:r>
      <w:r>
        <w:t xml:space="preserve"> </w:t>
      </w:r>
      <w:r>
        <w:t xml:space="preserve">: Mauritanie et Togo évoquent des « alternatives à l’augmentation des tarifs » discutées au niveau régional (cf. MRT, TGO). Plusieurs pactes misent sur la baisse du coût de production plutôt que sur le tarif : MRT, DJI, COM, LBR et RWA (refinancement d’IPP).</w:t>
      </w:r>
    </w:p>
    <w:p>
      <w:pPr>
        <w:numPr>
          <w:ilvl w:val="0"/>
          <w:numId w:val="1002"/>
        </w:numPr>
        <w:pStyle w:val="Compact"/>
      </w:pPr>
      <w:r>
        <w:rPr>
          <w:bCs/>
          <w:b/>
        </w:rPr>
        <w:t xml:space="preserve">Des subventions implicites masquent le déficit</w:t>
      </w:r>
      <w:r>
        <w:t xml:space="preserve"> </w:t>
      </w:r>
      <w:r>
        <w:t xml:space="preserve">:</w:t>
      </w:r>
    </w:p>
    <w:p>
      <w:pPr>
        <w:numPr>
          <w:ilvl w:val="1"/>
          <w:numId w:val="1005"/>
        </w:numPr>
        <w:pStyle w:val="Compact"/>
      </w:pPr>
      <w:r>
        <w:t xml:space="preserve">Burkina Faso : protocole SONABEL/SONABHY fixant le prix des combustibles pour garantir un résultat positif (cf. BFA) ;</w:t>
      </w:r>
    </w:p>
    <w:p>
      <w:pPr>
        <w:numPr>
          <w:ilvl w:val="1"/>
          <w:numId w:val="1005"/>
        </w:numPr>
        <w:pStyle w:val="Compact"/>
      </w:pPr>
      <w:r>
        <w:t xml:space="preserve">Comores : diesel cédé à 315 contre 615 KMF au public (cf. COM) ;</w:t>
      </w:r>
    </w:p>
    <w:p>
      <w:pPr>
        <w:numPr>
          <w:ilvl w:val="1"/>
          <w:numId w:val="1005"/>
        </w:numPr>
        <w:pStyle w:val="Compact"/>
      </w:pPr>
      <w:r>
        <w:t xml:space="preserve">Niger : exonérations sur les intrants ≈ 0,3 % du PIB en 2022 (cf. NER) ;</w:t>
      </w:r>
    </w:p>
    <w:p>
      <w:pPr>
        <w:numPr>
          <w:ilvl w:val="1"/>
          <w:numId w:val="1005"/>
        </w:numPr>
        <w:pStyle w:val="Compact"/>
      </w:pPr>
      <w:r>
        <w:t xml:space="preserve">Mauritanie : l’État « prend en charge l’écart » de change (cf. MRT).</w:t>
      </w:r>
    </w:p>
    <w:bookmarkEnd w:id="32"/>
    <w:bookmarkStart w:id="33" w:name="X779ba0907307f9ae44181048c78c7d590f45ec4"/>
    <w:p>
      <w:pPr>
        <w:pStyle w:val="Heading2"/>
      </w:pPr>
      <w:r>
        <w:t xml:space="preserve">4.2 Arriérés de l’État et dettes envers les IPP</w:t>
      </w:r>
    </w:p>
    <w:p>
      <w:pPr>
        <w:numPr>
          <w:ilvl w:val="0"/>
          <w:numId w:val="1006"/>
        </w:numPr>
        <w:pStyle w:val="Compact"/>
      </w:pPr>
      <w:r>
        <w:rPr>
          <w:bCs/>
          <w:b/>
        </w:rPr>
        <w:t xml:space="preserve">Une chaîne de dettes État → opérateur → IPP/fournisseurs</w:t>
      </w:r>
      <w:r>
        <w:t xml:space="preserve"> </w:t>
      </w:r>
      <w:r>
        <w:t xml:space="preserve">:</w:t>
      </w:r>
    </w:p>
    <w:p>
      <w:pPr>
        <w:numPr>
          <w:ilvl w:val="1"/>
          <w:numId w:val="1007"/>
        </w:numPr>
        <w:pStyle w:val="Compact"/>
      </w:pPr>
      <w:r>
        <w:t xml:space="preserve">Sénégal : SENELEC doit 78,9 Md FCFA aux IPP et 377,2 Md FCFA à l’État, et détient 91 Md FCFA de créances sur l’État ; les retards de compensation « menacent le secteur » (cf. SEN) ;</w:t>
      </w:r>
    </w:p>
    <w:p>
      <w:pPr>
        <w:numPr>
          <w:ilvl w:val="1"/>
          <w:numId w:val="1007"/>
        </w:numPr>
        <w:pStyle w:val="Compact"/>
      </w:pPr>
      <w:r>
        <w:t xml:space="preserve">Côte d’Ivoire : dette envers les IPP de 127 M USD (2021) à 600 M USD (2023) ; créances à l’export de 130 Md FCFA, dont 106 Md FCFA dus par EDM Mali (cf. CIV) ;</w:t>
      </w:r>
    </w:p>
    <w:p>
      <w:pPr>
        <w:numPr>
          <w:ilvl w:val="1"/>
          <w:numId w:val="1007"/>
        </w:numPr>
        <w:pStyle w:val="Compact"/>
      </w:pPr>
      <w:r>
        <w:t xml:space="preserve">Ghana : 2,1 Md USD d’arriérés envers les IPP et les fournisseurs de combustible fin 2023 (2,8 % du PIB) (cf. GHA) ;</w:t>
      </w:r>
    </w:p>
    <w:p>
      <w:pPr>
        <w:numPr>
          <w:ilvl w:val="1"/>
          <w:numId w:val="1007"/>
        </w:numPr>
        <w:pStyle w:val="Compact"/>
      </w:pPr>
      <w:r>
        <w:t xml:space="preserve">Mozambique : 137 M USD dus aux IPP et 351 M USD à HCB (cf. MOZ) ;</w:t>
      </w:r>
    </w:p>
    <w:p>
      <w:pPr>
        <w:numPr>
          <w:ilvl w:val="1"/>
          <w:numId w:val="1007"/>
        </w:numPr>
        <w:pStyle w:val="Compact"/>
      </w:pPr>
      <w:r>
        <w:t xml:space="preserve">Madagascar : arriérés de la JIRAMA ≈ 400 M USD (cf. MDG) ;</w:t>
      </w:r>
    </w:p>
    <w:p>
      <w:pPr>
        <w:numPr>
          <w:ilvl w:val="1"/>
          <w:numId w:val="1007"/>
        </w:numPr>
        <w:pStyle w:val="Compact"/>
      </w:pPr>
      <w:r>
        <w:t xml:space="preserve">Cameroun : dettes d’ENEO ≈ 800 Md FCFA (cf. CMR) ;</w:t>
      </w:r>
    </w:p>
    <w:p>
      <w:pPr>
        <w:numPr>
          <w:ilvl w:val="1"/>
          <w:numId w:val="1007"/>
        </w:numPr>
        <w:pStyle w:val="Compact"/>
      </w:pPr>
      <w:r>
        <w:t xml:space="preserve">RD Congo : dette de la SNEL ≈ 3 Md USD ; arriérés de l’État ≈ 110 M USD, avec 38 % de recouvrement auprès de l’État (cf. COD).</w:t>
      </w:r>
    </w:p>
    <w:p>
      <w:pPr>
        <w:numPr>
          <w:ilvl w:val="0"/>
          <w:numId w:val="1006"/>
        </w:numPr>
        <w:pStyle w:val="Compact"/>
      </w:pPr>
      <w:r>
        <w:rPr>
          <w:bCs/>
          <w:b/>
        </w:rPr>
        <w:t xml:space="preserve">Arriérés de l’État explicitement chiffrés</w:t>
      </w:r>
      <w:r>
        <w:t xml:space="preserve"> </w:t>
      </w:r>
      <w:r>
        <w:t xml:space="preserve">: Djibouti 330 M USD, avec un calendrier (−50 % en 2028, −90 % en 2030 ; la déclaration dit −50 % en 2030) (cf. DJI) ; Niger 37,7 M USD (cf. NER) ; Tchad 32 M USD (cf. TCD) ; Malawi 39,87 Md MK (cf. MWI) ; Zanzibar : recouvrement de 29 % auprès des administrations (cf. TZA).</w:t>
      </w:r>
    </w:p>
    <w:p>
      <w:pPr>
        <w:numPr>
          <w:ilvl w:val="0"/>
          <w:numId w:val="1006"/>
        </w:numPr>
        <w:pStyle w:val="Compact"/>
      </w:pPr>
      <w:r>
        <w:rPr>
          <w:bCs/>
          <w:b/>
        </w:rPr>
        <w:t xml:space="preserve">Conséquence physique</w:t>
      </w:r>
      <w:r>
        <w:t xml:space="preserve"> </w:t>
      </w:r>
      <w:r>
        <w:t xml:space="preserve">: au Botswana, un fournisseur externe a limité ses livraisons en mars 2025 en raison des arriérés de BPC, ce qui a causé des délestages (cf. BWA). En Zambie, l’insolvabilité de ZESCO a bloqué des PPA solaires signés (cf. ZMB).</w:t>
      </w:r>
    </w:p>
    <w:p>
      <w:pPr>
        <w:numPr>
          <w:ilvl w:val="0"/>
          <w:numId w:val="1006"/>
        </w:numPr>
        <w:pStyle w:val="Compact"/>
      </w:pPr>
      <w:r>
        <w:rPr>
          <w:bCs/>
          <w:b/>
        </w:rPr>
        <w:t xml:space="preserve">Instruments promis</w:t>
      </w:r>
      <w:r>
        <w:t xml:space="preserve"> </w:t>
      </w:r>
      <w:r>
        <w:t xml:space="preserve">:</w:t>
      </w:r>
    </w:p>
    <w:p>
      <w:pPr>
        <w:numPr>
          <w:ilvl w:val="1"/>
          <w:numId w:val="1008"/>
        </w:numPr>
        <w:pStyle w:val="Compact"/>
      </w:pPr>
      <w:r>
        <w:t xml:space="preserve">cascades de trésorerie ou de paiements (SEN, CMR, GHA, GMB, STP) ;</w:t>
      </w:r>
    </w:p>
    <w:p>
      <w:pPr>
        <w:numPr>
          <w:ilvl w:val="1"/>
          <w:numId w:val="1008"/>
        </w:numPr>
        <w:pStyle w:val="Compact"/>
      </w:pPr>
      <w:r>
        <w:t xml:space="preserve">comptes de recettes indépendants (SLE, avec publication mensuelle ; GAB, avec compensation légale automatisée) ;</w:t>
      </w:r>
    </w:p>
    <w:p>
      <w:pPr>
        <w:numPr>
          <w:ilvl w:val="1"/>
          <w:numId w:val="1008"/>
        </w:numPr>
        <w:pStyle w:val="Compact"/>
      </w:pPr>
      <w:r>
        <w:t xml:space="preserve">prépaiement des administrations (LBR, MDG, CMR, COG) ;</w:t>
      </w:r>
    </w:p>
    <w:p>
      <w:pPr>
        <w:numPr>
          <w:ilvl w:val="1"/>
          <w:numId w:val="1008"/>
        </w:numPr>
        <w:pStyle w:val="Compact"/>
      </w:pPr>
      <w:r>
        <w:t xml:space="preserve">budgétisation des factures publiques (SEN, CMR, LBR) ;</w:t>
      </w:r>
    </w:p>
    <w:p>
      <w:pPr>
        <w:numPr>
          <w:ilvl w:val="1"/>
          <w:numId w:val="1008"/>
        </w:numPr>
        <w:pStyle w:val="Compact"/>
      </w:pPr>
      <w:r>
        <w:t xml:space="preserve">reprise des dettes par l’État (GMB : 75 % en 2019 ; TZA : conversion de 2 800 Md TZS en fonds propres ; NGA : schéma inscrit au budget 2025, « Completed »).</w:t>
      </w:r>
    </w:p>
    <w:p>
      <w:pPr>
        <w:numPr>
          <w:ilvl w:val="0"/>
          <w:numId w:val="1006"/>
        </w:numPr>
        <w:pStyle w:val="Compact"/>
      </w:pPr>
      <w:r>
        <w:rPr>
          <w:bCs/>
          <w:b/>
        </w:rPr>
        <w:t xml:space="preserve">Passifs contingents nouveaux</w:t>
      </w:r>
      <w:r>
        <w:t xml:space="preserve"> </w:t>
      </w:r>
      <w:r>
        <w:t xml:space="preserve">: le Bénin généralise le take-or-pay dans tous les nouveaux PPA (cf. BEN). Cameroun, Ghana, Togo et Guinée reconnaissent que le take-or-pay pèse sur l’État. Au Botswana, une centrale à charbon IPP de 600 MW crée un risque d’excédent reconnu (cf. BWA).</w:t>
      </w:r>
    </w:p>
    <w:bookmarkEnd w:id="33"/>
    <w:bookmarkStart w:id="34" w:name="pertes-et-recouvrement"/>
    <w:p>
      <w:pPr>
        <w:pStyle w:val="Heading2"/>
      </w:pPr>
      <w:r>
        <w:t xml:space="preserve">4.3 Pertes et recouvrement</w:t>
      </w:r>
    </w:p>
    <w:p>
      <w:pPr>
        <w:numPr>
          <w:ilvl w:val="0"/>
          <w:numId w:val="1009"/>
        </w:numPr>
        <w:pStyle w:val="Compact"/>
      </w:pPr>
      <w:r>
        <w:rPr>
          <w:bCs/>
          <w:b/>
        </w:rPr>
        <w:t xml:space="preserve">Niveaux très dispersés, définitions hétérogènes</w:t>
      </w:r>
      <w:r>
        <w:t xml:space="preserve"> </w:t>
      </w:r>
      <w:r>
        <w:t xml:space="preserve">:</w:t>
      </w:r>
    </w:p>
    <w:p>
      <w:pPr>
        <w:numPr>
          <w:ilvl w:val="1"/>
          <w:numId w:val="1010"/>
        </w:numPr>
        <w:pStyle w:val="Compact"/>
      </w:pPr>
      <w:r>
        <w:t xml:space="preserve">indicateurs différents : rendement global (SEN, CIV, MRT), ATC&amp;C (NGA, LBR, TCD, STP), pertes de distribution (TGO, GHA, UGA), T&amp;D (BWA, TZA, ETH) ;</w:t>
      </w:r>
    </w:p>
    <w:p>
      <w:pPr>
        <w:numPr>
          <w:ilvl w:val="1"/>
          <w:numId w:val="1010"/>
        </w:numPr>
        <w:pStyle w:val="Compact"/>
      </w:pPr>
      <w:r>
        <w:t xml:space="preserve">pertes les plus élevées : SLE &gt; 50 %, COD 46 %, COG 45 %, LBR 45,4 % (ATC&amp;C), NGA 42 % ou 47 % ;</w:t>
      </w:r>
    </w:p>
    <w:p>
      <w:pPr>
        <w:numPr>
          <w:ilvl w:val="1"/>
          <w:numId w:val="1010"/>
        </w:numPr>
        <w:pStyle w:val="Compact"/>
      </w:pPr>
      <w:r>
        <w:t xml:space="preserve">pertes les plus faibles : LSO 10 % (AT&amp;C, ambigu), NAM 11,1 %, TZA 14,2 %.</w:t>
      </w:r>
    </w:p>
    <w:p>
      <w:pPr>
        <w:numPr>
          <w:ilvl w:val="0"/>
          <w:numId w:val="1009"/>
        </w:numPr>
        <w:pStyle w:val="Compact"/>
      </w:pPr>
      <w:r>
        <w:rPr>
          <w:bCs/>
          <w:b/>
        </w:rPr>
        <w:t xml:space="preserve">Cibles parfois très agressives</w:t>
      </w:r>
      <w:r>
        <w:t xml:space="preserve"> </w:t>
      </w:r>
      <w:r>
        <w:t xml:space="preserve">: Guinée de 30 % à 8 % (cf. GIN) ; RCA de 20 % à 8 % (cf. CAF) ; Tchad de 39 % à &lt; 15 % dès 2027 (cf. TCD) ; RD Congo de 46 % à 15 % (cf. COD).</w:t>
      </w:r>
    </w:p>
    <w:p>
      <w:pPr>
        <w:numPr>
          <w:ilvl w:val="0"/>
          <w:numId w:val="1009"/>
        </w:numPr>
        <w:pStyle w:val="Compact"/>
      </w:pPr>
      <w:r>
        <w:rPr>
          <w:bCs/>
          <w:b/>
        </w:rPr>
        <w:t xml:space="preserve">Cibles parfois absentes</w:t>
      </w:r>
      <w:r>
        <w:t xml:space="preserve"> </w:t>
      </w:r>
      <w:r>
        <w:t xml:space="preserve">: SEN, CIV, BWA, LBR, NAM, NER, NGA, SLE, ZMB. Cela concerne aussi les deux pays aux pertes les plus élevées (SLE, NGA).</w:t>
      </w:r>
    </w:p>
    <w:p>
      <w:pPr>
        <w:numPr>
          <w:ilvl w:val="0"/>
          <w:numId w:val="1009"/>
        </w:numPr>
        <w:pStyle w:val="Compact"/>
      </w:pPr>
      <w:r>
        <w:rPr>
          <w:bCs/>
          <w:b/>
        </w:rPr>
        <w:t xml:space="preserve">Recouvrement</w:t>
      </w:r>
      <w:r>
        <w:t xml:space="preserve"> </w:t>
      </w:r>
      <w:r>
        <w:t xml:space="preserve">: 45-51 % au Tchad, 57 % en Sierra Leone (post-payé), 60,5 % au Gabon, 61 % en RD Congo (2022), 72 % au Cameroun, contre 96 % en Tanzanie et ≈ 99 % en Ouganda à la fin de la concession UMEME. À São Tomé, seuls 30 % des clients paient régulièrement (cf. STP). Au Congo, plus de 40 % des clients sont facturés au forfait ou gratuitement (cf. COG).</w:t>
      </w:r>
    </w:p>
    <w:p>
      <w:pPr>
        <w:numPr>
          <w:ilvl w:val="0"/>
          <w:numId w:val="1009"/>
        </w:numPr>
        <w:pStyle w:val="Compact"/>
      </w:pPr>
      <w:r>
        <w:rPr>
          <w:bCs/>
          <w:b/>
        </w:rPr>
        <w:t xml:space="preserve">Le comptage à prépaiement est quasi universel dans les engagements</w:t>
      </w:r>
      <w:r>
        <w:t xml:space="preserve">, mais les bases sont parfois douteuses : Mauritanie, 12 000 compteurs posés sur 350 000 commandés (cf. MRT) ; chiffres d’annexe aberrants à São Tomé et en Zambie (§4.6).</w:t>
      </w:r>
    </w:p>
    <w:p>
      <w:pPr>
        <w:numPr>
          <w:ilvl w:val="0"/>
          <w:numId w:val="1009"/>
        </w:numPr>
        <w:pStyle w:val="Compact"/>
      </w:pPr>
      <w:r>
        <w:rPr>
          <w:bCs/>
          <w:b/>
        </w:rPr>
        <w:t xml:space="preserve">Des régularisations gonflent les cibles d’accès</w:t>
      </w:r>
      <w:r>
        <w:t xml:space="preserve"> </w:t>
      </w:r>
      <w:r>
        <w:t xml:space="preserve">: Gabon, environ 500 000 usagers non comptabilisés (cf. GAB) ; Éthiopie et Congo, régularisation de branchements informels (cf. ETH, COG) ; Nigeria, raccordements « légaux » qui relèvent surtout du comptage (cf. NGA).</w:t>
      </w:r>
    </w:p>
    <w:bookmarkEnd w:id="34"/>
    <w:bookmarkStart w:id="35" w:name="X2344afbe9c7170c5023c5277e81d8a4895e06f3"/>
    <w:p>
      <w:pPr>
        <w:pStyle w:val="Heading2"/>
      </w:pPr>
      <w:r>
        <w:t xml:space="preserve">4.4 Modèles de participation privée dans la distribution</w:t>
      </w:r>
    </w:p>
    <w:tbl>
      <w:tblPr>
        <w:tblStyle w:val="Table"/>
        <w:tblW w:type="dxa" w:w="14570"/>
        <w:tblLook w:firstRow="1" w:lastRow="0" w:firstColumn="0" w:lastColumn="0" w:noHBand="0" w:noVBand="0" w:val="0020"/>
        <w:jc w:val="start"/>
      </w:tblPr>
      <w:tblGrid>
        <w:gridCol w:w="4075"/>
        <w:gridCol w:w="10494"/>
      </w:tblGrid>
      <w:tr>
        <w:trPr>
          <w:tblHeader w:val="true"/>
        </w:trPr>
        <w:tc>
          <w:tcPr>
            <w:tcW w:w="4075" w:type="dxa"/>
          </w:tcPr>
          <w:tcPr/>
          <w:p>
            <w:pPr>
              <w:pStyle w:val="Compact"/>
              <w:jc w:val="left"/>
            </w:pPr>
            <w:r>
              <w:t xml:space="preserve">Situation</w:t>
            </w:r>
          </w:p>
        </w:tc>
        <w:tc>
          <w:tcPr>
            <w:tcW w:w="10494" w:type="dxa"/>
          </w:tcPr>
          <w:tcPr/>
          <w:p>
            <w:pPr>
              <w:pStyle w:val="Compact"/>
              <w:jc w:val="left"/>
            </w:pPr>
            <w:r>
              <w:t xml:space="preserve">Pays (fiche)</w:t>
            </w:r>
          </w:p>
        </w:tc>
      </w:tr>
      <w:tr>
        <w:tc>
          <w:tcPr>
            <w:tcW w:w="4075" w:type="dxa"/>
          </w:tcPr>
          <w:tcPr/>
          <w:p>
            <w:pPr>
              <w:pStyle w:val="Compact"/>
              <w:jc w:val="left"/>
            </w:pPr>
            <w:r>
              <w:t xml:space="preserve">Concession privée existante</w:t>
            </w:r>
          </w:p>
        </w:tc>
        <w:tc>
          <w:tcPr>
            <w:tcW w:w="10494" w:type="dxa"/>
          </w:tcPr>
          <w:tcPr/>
          <w:p>
            <w:pPr>
              <w:pStyle w:val="Compact"/>
              <w:jc w:val="left"/>
            </w:pPr>
            <w:r>
              <w:t xml:space="preserve">CIV (CIE) ; CMR (ENEO, avec rachat des parts d’Actis par l’État : « risque de renationalisation de fait ») ; GAB (SEEG, concession de 2022, sous administration provisoire après une fraude en 2024) ; NGA (11 DISCOs privatisées, affermage envisagé pour les DISCOs défaillantes)</w:t>
            </w:r>
          </w:p>
        </w:tc>
      </w:tr>
      <w:tr>
        <w:tc>
          <w:tcPr>
            <w:tcW w:w="4075" w:type="dxa"/>
          </w:tcPr>
          <w:tcPr/>
          <w:p>
            <w:pPr>
              <w:pStyle w:val="Compact"/>
              <w:jc w:val="left"/>
            </w:pPr>
            <w:r>
              <w:t xml:space="preserve">Contrat de gestion ou délégation</w:t>
            </w:r>
          </w:p>
        </w:tc>
        <w:tc>
          <w:tcPr>
            <w:tcW w:w="10494" w:type="dxa"/>
          </w:tcPr>
          <w:tcPr/>
          <w:p>
            <w:pPr>
              <w:pStyle w:val="Compact"/>
              <w:jc w:val="left"/>
            </w:pPr>
            <w:r>
              <w:t xml:space="preserve">BEN (Eranove depuis janv. 2024, après Manitoba Hydro en 2016) ; SLE (contrat de gestion basé sur la performance financé par ESURP, avant la concession)</w:t>
            </w:r>
          </w:p>
        </w:tc>
      </w:tr>
      <w:tr>
        <w:tc>
          <w:tcPr>
            <w:tcW w:w="4075" w:type="dxa"/>
          </w:tcPr>
          <w:tcPr/>
          <w:p>
            <w:pPr>
              <w:pStyle w:val="Compact"/>
              <w:jc w:val="left"/>
            </w:pPr>
            <w:r>
              <w:t xml:space="preserve">Nouvelle délégation promise</w:t>
            </w:r>
          </w:p>
        </w:tc>
        <w:tc>
          <w:tcPr>
            <w:tcW w:w="10494" w:type="dxa"/>
          </w:tcPr>
          <w:tcPr/>
          <w:p>
            <w:pPr>
              <w:pStyle w:val="Compact"/>
              <w:jc w:val="left"/>
            </w:pPr>
            <w:r>
              <w:t xml:space="preserve">GHA (concession ECG, contrat T4 2026) ; SLE (concession OM&amp;M d’EDSA, mars 2026) ; STP (activités commerciales d’EMAE, 2026) ; BDI (PPP Weza Power, en retard) ; ZMB (pilote de concessions de distribution de taille moyenne) ; MWI (ouverture T&amp;D, en retard) ; MDG (réseaux isolés concessibles) ; TGO (« ouverture du capital » de la CEET)</w:t>
            </w:r>
          </w:p>
        </w:tc>
      </w:tr>
      <w:tr>
        <w:tc>
          <w:tcPr>
            <w:tcW w:w="4075" w:type="dxa"/>
          </w:tcPr>
          <w:tcPr/>
          <w:p>
            <w:pPr>
              <w:pStyle w:val="Compact"/>
              <w:jc w:val="left"/>
            </w:pPr>
            <w:r>
              <w:t xml:space="preserve">Concessions rurales ou de centres isolés</w:t>
            </w:r>
          </w:p>
        </w:tc>
        <w:tc>
          <w:tcPr>
            <w:tcW w:w="10494" w:type="dxa"/>
          </w:tcPr>
          <w:tcPr/>
          <w:p>
            <w:pPr>
              <w:pStyle w:val="Compact"/>
              <w:jc w:val="left"/>
            </w:pPr>
            <w:r>
              <w:t xml:space="preserve">MRT (affermage de 21 centres isolés) ; SEN (concessions CER) ; BFA (concessions rurales concurrentielles) ; LBR (4 distributeurs privés licenciés)</w:t>
            </w:r>
          </w:p>
        </w:tc>
      </w:tr>
      <w:tr>
        <w:tc>
          <w:tcPr>
            <w:tcW w:w="4075" w:type="dxa"/>
          </w:tcPr>
          <w:tcPr/>
          <w:p>
            <w:pPr>
              <w:pStyle w:val="Compact"/>
              <w:jc w:val="left"/>
            </w:pPr>
            <w:r>
              <w:rPr>
                <w:bCs/>
                <w:b/>
              </w:rPr>
              <w:t xml:space="preserve">Retour au public</w:t>
            </w:r>
          </w:p>
        </w:tc>
        <w:tc>
          <w:tcPr>
            <w:tcW w:w="10494" w:type="dxa"/>
          </w:tcPr>
          <w:tcPr/>
          <w:p>
            <w:pPr>
              <w:pStyle w:val="Compact"/>
              <w:jc w:val="left"/>
            </w:pPr>
            <w:r>
              <w:t xml:space="preserve">UGA (fin de la concession UMEME, reprise par UEDCL le 01/04/2025) ; CMR (rachat d’Actis)</w:t>
            </w:r>
          </w:p>
        </w:tc>
      </w:tr>
      <w:tr>
        <w:tc>
          <w:tcPr>
            <w:tcW w:w="4075" w:type="dxa"/>
          </w:tcPr>
          <w:tcPr/>
          <w:p>
            <w:pPr>
              <w:pStyle w:val="Compact"/>
              <w:jc w:val="left"/>
            </w:pPr>
            <w:r>
              <w:t xml:space="preserve">Exclusion explicite du privé</w:t>
            </w:r>
          </w:p>
        </w:tc>
        <w:tc>
          <w:tcPr>
            <w:tcW w:w="10494" w:type="dxa"/>
          </w:tcPr>
          <w:tcPr/>
          <w:p>
            <w:pPr>
              <w:pStyle w:val="Compact"/>
              <w:jc w:val="left"/>
            </w:pPr>
            <w:r>
              <w:t xml:space="preserve">GMB (T&amp;D « solely under the remit of NAWEC ») ; COM (« option de l’opérateur unique ») ; LBR (pas de concession ou de contrat de gestion pour LEC)</w:t>
            </w:r>
          </w:p>
        </w:tc>
      </w:tr>
    </w:tbl>
    <w:p>
      <w:pPr>
        <w:pStyle w:val="BodyText"/>
      </w:pPr>
      <w:r>
        <w:t xml:space="preserve">Constat [E] : le modèle de concession est à la fois</w:t>
      </w:r>
      <w:r>
        <w:t xml:space="preserve"> </w:t>
      </w:r>
      <w:r>
        <w:rPr>
          <w:bCs/>
          <w:b/>
        </w:rPr>
        <w:t xml:space="preserve">relancé</w:t>
      </w:r>
      <w:r>
        <w:t xml:space="preserve"> </w:t>
      </w:r>
      <w:r>
        <w:t xml:space="preserve">(GHA, SLE, STP) et</w:t>
      </w:r>
      <w:r>
        <w:t xml:space="preserve"> </w:t>
      </w:r>
      <w:r>
        <w:rPr>
          <w:bCs/>
          <w:b/>
        </w:rPr>
        <w:t xml:space="preserve">abandonné</w:t>
      </w:r>
      <w:r>
        <w:t xml:space="preserve"> </w:t>
      </w:r>
      <w:r>
        <w:t xml:space="preserve">(UGA, CMR), sans que les pactes tirent le bilan des expériences antérieures (cf. GHA : la participation privée dans ECG/NEDCo « has attracted limited investment » ; cf. SLE : pas de bilan du contrat de gestion). Ce sera une question centrale pour la phase 2.</w:t>
      </w:r>
    </w:p>
    <w:bookmarkEnd w:id="35"/>
    <w:bookmarkStart w:id="36" w:name="X97d6bc4e34bf2f575f324ccc45a86a0c937188b"/>
    <w:p>
      <w:pPr>
        <w:pStyle w:val="Heading2"/>
      </w:pPr>
      <w:r>
        <w:t xml:space="preserve">4.5 Tarifs sociaux et équité (thème prioritaire pour la suite)</w:t>
      </w:r>
    </w:p>
    <w:p>
      <w:pPr>
        <w:pStyle w:val="FirstParagraph"/>
      </w:pPr>
      <w:r>
        <w:rPr>
          <w:bCs/>
          <w:b/>
        </w:rPr>
        <w:t xml:space="preserve">a) Les rares données d’incidence montrent des subventions régressives.</w:t>
      </w:r>
      <w:r>
        <w:t xml:space="preserve"> </w:t>
      </w:r>
      <w:r>
        <w:t xml:space="preserve">- Nigeria : « 80 % des subventions bénéficient au quintile le plus riche » (cf. NGA).</w:t>
      </w:r>
      <w:r>
        <w:t xml:space="preserve"> </w:t>
      </w:r>
      <w:r>
        <w:t xml:space="preserve">- Congo : structure tarifaire « régressive, sans tarif social » (cf. COG).</w:t>
      </w:r>
      <w:r>
        <w:t xml:space="preserve"> </w:t>
      </w:r>
      <w:r>
        <w:t xml:space="preserve">- Sénégal : 94,5 % d’accès dans le décile le plus riche contre 17,4 % dans le plus pauvre ; la subvention représente 30 % du tarif (cf. SEN).</w:t>
      </w:r>
      <w:r>
        <w:t xml:space="preserve"> </w:t>
      </w:r>
      <w:r>
        <w:t xml:space="preserve">- Dans ces trois pays, la subvention générale profite d’abord aux ménages raccordés, donc aux plus aisés.</w:t>
      </w:r>
    </w:p>
    <w:p>
      <w:pPr>
        <w:pStyle w:val="BodyText"/>
      </w:pPr>
      <w:r>
        <w:rPr>
          <w:bCs/>
          <w:b/>
        </w:rPr>
        <w:t xml:space="preserve">b) Indicateurs d’abordabilité disponibles.</w:t>
      </w:r>
      <w:r>
        <w:t xml:space="preserve"> </w:t>
      </w:r>
      <w:r>
        <w:t xml:space="preserve">- Malawi : 45,3 % des ménages raccordés ne peuvent payer 365 kWh/an ; 48,3 % des ménages non raccordés le sont à cause du coût du raccordement (cf. MWI).</w:t>
      </w:r>
      <w:r>
        <w:t xml:space="preserve"> </w:t>
      </w:r>
      <w:r>
        <w:t xml:space="preserve">- Zambie : 16,3 % des ménages ne peuvent payer 365 kWh/an (cf. ZMB).</w:t>
      </w:r>
      <w:r>
        <w:t xml:space="preserve"> </w:t>
      </w:r>
      <w:r>
        <w:t xml:space="preserve">- Tchad : 70 % des ruraux et 27 % des urbains ne peuvent dépenser plus de 10 USD/mois (cf. TCD).</w:t>
      </w:r>
      <w:r>
        <w:t xml:space="preserve"> </w:t>
      </w:r>
      <w:r>
        <w:t xml:space="preserve">- Burundi : 30 % des non-raccordés invoquent des frais de raccordement trop élevés (cf. BDI).</w:t>
      </w:r>
      <w:r>
        <w:t xml:space="preserve"> </w:t>
      </w:r>
      <w:r>
        <w:t xml:space="preserve">- Rwanda : consommation moyenne d’environ 16,6 kWh/mois, « freinée par des tarifs élevés » (cf. RWA).</w:t>
      </w:r>
    </w:p>
    <w:p>
      <w:pPr>
        <w:pStyle w:val="BodyText"/>
      </w:pPr>
      <w:r>
        <w:rPr>
          <w:bCs/>
          <w:b/>
        </w:rPr>
        <w:t xml:space="preserve">c) Instruments prévus.</w:t>
      </w:r>
    </w:p>
    <w:tbl>
      <w:tblPr>
        <w:tblStyle w:val="Table"/>
        <w:tblW w:type="dxa" w:w="14570"/>
        <w:tblLook w:firstRow="1" w:lastRow="0" w:firstColumn="0" w:lastColumn="0" w:noHBand="0" w:noVBand="0" w:val="0020"/>
        <w:jc w:val="start"/>
      </w:tblPr>
      <w:tblGrid>
        <w:gridCol w:w="4507"/>
        <w:gridCol w:w="10062"/>
      </w:tblGrid>
      <w:tr>
        <w:trPr>
          <w:tblHeader w:val="true"/>
        </w:trPr>
        <w:tc>
          <w:tcPr>
            <w:tcW w:w="4507" w:type="dxa"/>
          </w:tcPr>
          <w:tcPr/>
          <w:p>
            <w:pPr>
              <w:pStyle w:val="Compact"/>
              <w:jc w:val="left"/>
            </w:pPr>
            <w:r>
              <w:t xml:space="preserve">Type</w:t>
            </w:r>
          </w:p>
        </w:tc>
        <w:tc>
          <w:tcPr>
            <w:tcW w:w="10062" w:type="dxa"/>
          </w:tcPr>
          <w:tcPr/>
          <w:p>
            <w:pPr>
              <w:pStyle w:val="Compact"/>
              <w:jc w:val="left"/>
            </w:pPr>
            <w:r>
              <w:t xml:space="preserve">Pays (fiche)</w:t>
            </w:r>
          </w:p>
        </w:tc>
      </w:tr>
      <w:tr>
        <w:tc>
          <w:tcPr>
            <w:tcW w:w="4507" w:type="dxa"/>
          </w:tcPr>
          <w:tcPr/>
          <w:p>
            <w:pPr>
              <w:pStyle w:val="Compact"/>
              <w:jc w:val="left"/>
            </w:pPr>
            <w:r>
              <w:t xml:space="preserve">Tarif social existant</w:t>
            </w:r>
          </w:p>
        </w:tc>
        <w:tc>
          <w:tcPr>
            <w:tcW w:w="10062" w:type="dxa"/>
          </w:tcPr>
          <w:tcPr/>
          <w:p>
            <w:pPr>
              <w:pStyle w:val="Compact"/>
              <w:jc w:val="left"/>
            </w:pPr>
            <w:r>
              <w:t xml:space="preserve">CIV (décret 2016-786) ; MRT (6,47 c$/kWh contre 15,53 c$) ; NER (tranche sociale depuis 2018) ; GAB (1 kW ≈ 45 % sous le tarif standard, plus les « abonnés économiquement faibles ») ; BFA rural (75 FCFA contre 160 FCFA/kWh) ; RWA (lifeline porté de 15 à 20 kWh/mois)</w:t>
            </w:r>
          </w:p>
        </w:tc>
      </w:tr>
      <w:tr>
        <w:tc>
          <w:tcPr>
            <w:tcW w:w="4507" w:type="dxa"/>
          </w:tcPr>
          <w:tcPr/>
          <w:p>
            <w:pPr>
              <w:pStyle w:val="Compact"/>
              <w:jc w:val="left"/>
            </w:pPr>
            <w:r>
              <w:t xml:space="preserve">Tarif social ou lifeline nouveau et daté</w:t>
            </w:r>
          </w:p>
        </w:tc>
        <w:tc>
          <w:tcPr>
            <w:tcW w:w="10062" w:type="dxa"/>
          </w:tcPr>
          <w:tcPr/>
          <w:p>
            <w:pPr>
              <w:pStyle w:val="Compact"/>
              <w:jc w:val="left"/>
            </w:pPr>
            <w:r>
              <w:t xml:space="preserve">COG (déc. 2025) ; MDG (déc. 2025, en retard) ; LSO (mai 2026) ; COM (juin 2026) ; BDI (déc. 2026) ; UGA (cycle 2027, déciles les plus bas) ; NGA (≤ 2027) ; DJI (T1 2028) ; BWA (ciblé, révision du seuil lifeline)</w:t>
            </w:r>
          </w:p>
        </w:tc>
      </w:tr>
      <w:tr>
        <w:tc>
          <w:tcPr>
            <w:tcW w:w="4507" w:type="dxa"/>
          </w:tcPr>
          <w:tcPr/>
          <w:p>
            <w:pPr>
              <w:pStyle w:val="Compact"/>
              <w:jc w:val="left"/>
            </w:pPr>
            <w:r>
              <w:t xml:space="preserve">Réforme du lifeline vers le ciblage</w:t>
            </w:r>
          </w:p>
        </w:tc>
        <w:tc>
          <w:tcPr>
            <w:tcW w:w="10062" w:type="dxa"/>
          </w:tcPr>
          <w:tcPr/>
          <w:p>
            <w:pPr>
              <w:pStyle w:val="Compact"/>
              <w:jc w:val="left"/>
            </w:pPr>
            <w:r>
              <w:t xml:space="preserve">GHA (0-30 kWh/mois, sous condition de ressources, financé par la réaffectation des subventions croisées, « explore ») ; NGA (subvention plate ou 50 premiers kWh tant que le comptage est incomplet) ; GMB (registre social) ; ETH (PSO ciblée)</w:t>
            </w:r>
          </w:p>
        </w:tc>
      </w:tr>
      <w:tr>
        <w:tc>
          <w:tcPr>
            <w:tcW w:w="4507" w:type="dxa"/>
          </w:tcPr>
          <w:tcPr/>
          <w:p>
            <w:pPr>
              <w:pStyle w:val="Compact"/>
              <w:jc w:val="left"/>
            </w:pPr>
            <w:r>
              <w:t xml:space="preserve">Protection vague ou non spécifiée</w:t>
            </w:r>
          </w:p>
        </w:tc>
        <w:tc>
          <w:tcPr>
            <w:tcW w:w="10062" w:type="dxa"/>
          </w:tcPr>
          <w:tcPr/>
          <w:p>
            <w:pPr>
              <w:pStyle w:val="Compact"/>
              <w:jc w:val="left"/>
            </w:pPr>
            <w:r>
              <w:t xml:space="preserve">SEN ; GIN ; TGO ; CAF ; MOZ ; TZA ; STP</w:t>
            </w:r>
          </w:p>
        </w:tc>
      </w:tr>
      <w:tr>
        <w:tc>
          <w:tcPr>
            <w:tcW w:w="4507" w:type="dxa"/>
          </w:tcPr>
          <w:tcPr/>
          <w:p>
            <w:pPr>
              <w:pStyle w:val="Compact"/>
              <w:jc w:val="left"/>
            </w:pPr>
            <w:r>
              <w:t xml:space="preserve">Rien côté réseau</w:t>
            </w:r>
          </w:p>
        </w:tc>
        <w:tc>
          <w:tcPr>
            <w:tcW w:w="10062" w:type="dxa"/>
          </w:tcPr>
          <w:tcPr/>
          <w:p>
            <w:pPr>
              <w:pStyle w:val="Compact"/>
              <w:jc w:val="left"/>
            </w:pPr>
            <w:r>
              <w:t xml:space="preserve">LBR ; KEN ; MWI ; ZMB ; TCD ; COD ; CMR ; ZWE ; BEN ; NAM ([?])</w:t>
            </w:r>
          </w:p>
        </w:tc>
      </w:tr>
    </w:tbl>
    <w:p>
      <w:pPr>
        <w:pStyle w:val="BodyText"/>
      </w:pPr>
      <w:r>
        <w:rPr>
          <w:bCs/>
          <w:b/>
        </w:rPr>
        <w:t xml:space="preserve">d) Le financement de la protection est rarement assuré.</w:t>
      </w:r>
      <w:r>
        <w:t xml:space="preserve"> </w:t>
      </w:r>
      <w:r>
        <w:t xml:space="preserve">- Éthiopie : 163 300 USD de l’État pour la PSO, face à des hausses de ×4 à ×6 [S], ce qui laisse une protection « quasi non financée » (cf. ETH).</w:t>
      </w:r>
      <w:r>
        <w:t xml:space="preserve"> </w:t>
      </w:r>
      <w:r>
        <w:t xml:space="preserve">- Botswana : l’État couvre l’écart jusqu’à l’atteinte des tarifs reflet des coûts (cf. BWA).</w:t>
      </w:r>
      <w:r>
        <w:t xml:space="preserve"> </w:t>
      </w:r>
      <w:r>
        <w:t xml:space="preserve">- Ouganda : cartographie et cantonnement des subventions par le ministère des Finances (cf. UGA).</w:t>
      </w:r>
      <w:r>
        <w:t xml:space="preserve"> </w:t>
      </w:r>
      <w:r>
        <w:t xml:space="preserve">- Namibie : fonds national d’électrification « pour garantir l’abordabilité » (cf. NAM).</w:t>
      </w:r>
    </w:p>
    <w:p>
      <w:pPr>
        <w:pStyle w:val="BodyText"/>
      </w:pPr>
      <w:r>
        <w:rPr>
          <w:bCs/>
          <w:b/>
        </w:rPr>
        <w:t xml:space="preserve">e) Dimensions territoriales et structurelles de l’équité.</w:t>
      </w:r>
      <w:r>
        <w:t xml:space="preserve"> </w:t>
      </w:r>
      <w:r>
        <w:t xml:space="preserve">- Péréquation : Sénégal (CER depuis 2018), Gambie (tarifs des mini-réseaux plafonnés à celui de NAWEC), Kenya (tarif national uniforme incluant les mini-réseaux). À l’inverse, en RD Congo, les tarifs des mini-réseaux validés vont de 25 à 70 c USD/kWh contre environ 9 c sur le réseau (cf. COD). Au Burkina Faso, « l’uniformisation nationale » est présentée comme un obstacle au recouvrement (cf. BFA).</w:t>
      </w:r>
      <w:r>
        <w:t xml:space="preserve"> </w:t>
      </w:r>
      <w:r>
        <w:t xml:space="preserve">- Tarifs préférentiels pour gros clients : miniers au Burkina Faso (cf. BFA) ; moratoire sur les tarifs préférentiels en RD Congo (cf. COD).</w:t>
      </w:r>
      <w:r>
        <w:t xml:space="preserve"> </w:t>
      </w:r>
      <w:r>
        <w:t xml:space="preserve">- Frais de raccordement : 110 000 XAF au Congo ; 70 000 à 120 000 FCFA au Gabon ; 500 GMD en rural contre 7 500 GMD en urbain en Gambie. Ils sont gratuits au Botswana et au Mozambique. Préfinancement au Sénégal et en Guinée ; Fonds Tinga de 100 M USD au Togo.</w:t>
      </w:r>
      <w:r>
        <w:t xml:space="preserve"> </w:t>
      </w:r>
      <w:r>
        <w:t xml:space="preserve">- Charges ajoutées à la facture : contribution de 9 % au Gabon (cf. GAB) ; « multiples prélèvements » au Kenya (cf. KEN).</w:t>
      </w:r>
      <w:r>
        <w:t xml:space="preserve"> </w:t>
      </w:r>
      <w:r>
        <w:t xml:space="preserve">- Risques reportés sur le consommateur : l’indexation automatique au change transfère le risque des PPA en USD (cf. UGA) ; obligation de recouvrement « en devises » (cf. ZWE).</w:t>
      </w:r>
      <w:r>
        <w:t xml:space="preserve"> </w:t>
      </w:r>
      <w:r>
        <w:t xml:space="preserve">- Genre : accès de 18 % pour les ménages dirigés par une femme contre 29,4 % pour les hommes au Malawi (cf. MWI) ; 42,4 % contre 48,7 % en Sierra Leone (cf. SLE).</w:t>
      </w:r>
      <w:r>
        <w:t xml:space="preserve"> </w:t>
      </w:r>
      <w:r>
        <w:t xml:space="preserve">- Subventions au butane ou au GPL, souvent généralisées : SEN 55 %, CIV ≈ 50 %, GAB ≈ 30 Md FCFA/an, BEN « prix social ». Le ciblage est seulement « étudié » (TGO, GAB).</w:t>
      </w:r>
    </w:p>
    <w:bookmarkEnd w:id="36"/>
    <w:bookmarkStart w:id="37" w:name="qualité-et-fiabilité-des-pactes"/>
    <w:p>
      <w:pPr>
        <w:pStyle w:val="Heading2"/>
      </w:pPr>
      <w:r>
        <w:t xml:space="preserve">4.6 Qualité et fiabilité des pactes</w:t>
      </w:r>
    </w:p>
    <w:p>
      <w:pPr>
        <w:pStyle w:val="FirstParagraph"/>
      </w:pPr>
      <w:r>
        <w:rPr>
          <w:bCs/>
          <w:b/>
        </w:rPr>
        <w:t xml:space="preserve">a) Copier-coller entre pactes, avéré ou probable.</w:t>
      </w:r>
    </w:p>
    <w:tbl>
      <w:tblPr>
        <w:tblStyle w:val="Table"/>
        <w:tblW w:type="dxa" w:w="14570"/>
        <w:tblLook w:firstRow="1" w:lastRow="0" w:firstColumn="0" w:lastColumn="0" w:noHBand="0" w:noVBand="0" w:val="0020"/>
        <w:jc w:val="start"/>
      </w:tblPr>
      <w:tblGrid>
        <w:gridCol w:w="8349"/>
        <w:gridCol w:w="4593"/>
        <w:gridCol w:w="1627"/>
      </w:tblGrid>
      <w:tr>
        <w:trPr>
          <w:tblHeader w:val="true"/>
        </w:trPr>
        <w:tc>
          <w:tcPr>
            <w:tcW w:w="8349" w:type="dxa"/>
          </w:tcPr>
          <w:tcPr/>
          <w:p>
            <w:pPr>
              <w:pStyle w:val="Compact"/>
              <w:jc w:val="left"/>
            </w:pPr>
            <w:r>
              <w:t xml:space="preserve">Cas</w:t>
            </w:r>
          </w:p>
        </w:tc>
        <w:tc>
          <w:tcPr>
            <w:tcW w:w="4593" w:type="dxa"/>
          </w:tcPr>
          <w:tcPr/>
          <w:p>
            <w:pPr>
              <w:pStyle w:val="Compact"/>
              <w:jc w:val="left"/>
            </w:pPr>
            <w:r>
              <w:t xml:space="preserve">Statut</w:t>
            </w:r>
          </w:p>
        </w:tc>
        <w:tc>
          <w:tcPr>
            <w:tcW w:w="1627" w:type="dxa"/>
          </w:tcPr>
          <w:tcPr/>
          <w:p>
            <w:pPr>
              <w:pStyle w:val="Compact"/>
              <w:jc w:val="left"/>
            </w:pPr>
            <w:r>
              <w:t xml:space="preserve">Fiches</w:t>
            </w:r>
          </w:p>
        </w:tc>
      </w:tr>
      <w:tr>
        <w:tc>
          <w:tcPr>
            <w:tcW w:w="8349" w:type="dxa"/>
          </w:tcPr>
          <w:tcPr/>
          <w:p>
            <w:pPr>
              <w:pStyle w:val="Compact"/>
              <w:jc w:val="left"/>
            </w:pPr>
            <w:r>
              <w:t xml:space="preserve">Rendement global de</w:t>
            </w:r>
            <w:r>
              <w:t xml:space="preserve"> </w:t>
            </w:r>
            <w:r>
              <w:rPr>
                <w:bCs/>
                <w:b/>
              </w:rPr>
              <w:t xml:space="preserve">84,99 %</w:t>
            </w:r>
            <w:r>
              <w:t xml:space="preserve"> </w:t>
            </w:r>
            <w:r>
              <w:t xml:space="preserve">et END de</w:t>
            </w:r>
            <w:r>
              <w:t xml:space="preserve"> </w:t>
            </w:r>
            <w:r>
              <w:rPr>
                <w:bCs/>
                <w:b/>
              </w:rPr>
              <w:t xml:space="preserve">38,8 GWh</w:t>
            </w:r>
            <w:r>
              <w:t xml:space="preserve"> </w:t>
            </w:r>
            <w:r>
              <w:t xml:space="preserve">(38,83 en CIV) attribués à la CEET au Togo, identiques aux valeurs de la CIE en Côte d’Ivoire ; la CEET est aussi décrite comme « opérateur exploitant les ouvrages concédés de l’État », comme la CIE</w:t>
            </w:r>
          </w:p>
        </w:tc>
        <w:tc>
          <w:tcPr>
            <w:tcW w:w="4593" w:type="dxa"/>
          </w:tcPr>
          <w:tcPr/>
          <w:p>
            <w:pPr>
              <w:pStyle w:val="Compact"/>
              <w:jc w:val="left"/>
            </w:pPr>
            <w:r>
              <w:t xml:space="preserve">Valeurs [V] dans les deux pactes ; selon le commanditaire, l’identité est vérifiée dans les deux PDF. La valeur togolaise reste</w:t>
            </w:r>
            <w:r>
              <w:t xml:space="preserve"> </w:t>
            </w:r>
            <w:r>
              <w:rPr>
                <w:bCs/>
                <w:b/>
              </w:rPr>
              <w:t xml:space="preserve">non fiable</w:t>
            </w:r>
            <w:r>
              <w:t xml:space="preserve"> </w:t>
            </w:r>
            <w:r>
              <w:t xml:space="preserve">[?]</w:t>
            </w:r>
          </w:p>
        </w:tc>
        <w:tc>
          <w:tcPr>
            <w:tcW w:w="1627" w:type="dxa"/>
          </w:tcPr>
          <w:tcPr/>
          <w:p>
            <w:pPr>
              <w:pStyle w:val="Compact"/>
              <w:jc w:val="left"/>
            </w:pPr>
            <w:r>
              <w:t xml:space="preserve">CIV, TGO</w:t>
            </w:r>
          </w:p>
        </w:tc>
      </w:tr>
      <w:tr>
        <w:tc>
          <w:tcPr>
            <w:tcW w:w="8349" w:type="dxa"/>
          </w:tcPr>
          <w:tcPr/>
          <w:p>
            <w:pPr>
              <w:pStyle w:val="Compact"/>
              <w:jc w:val="left"/>
            </w:pPr>
            <w:r>
              <w:t xml:space="preserve">L’encadré de cibles du rapport d’avancement de Madagascar affiche 95 % d’ENR et 20 Md USD de capitaux privés ; ce sont exactement les cibles du pacte de RD Congo (maintenir 95 % ; 20 Md USD)</w:t>
            </w:r>
          </w:p>
        </w:tc>
        <w:tc>
          <w:tcPr>
            <w:tcW w:w="4593" w:type="dxa"/>
          </w:tcPr>
          <w:tcPr/>
          <w:p>
            <w:pPr>
              <w:pStyle w:val="Compact"/>
              <w:jc w:val="left"/>
            </w:pPr>
            <w:r>
              <w:t xml:space="preserve">Hypothèse [E] (l’inventaire D7 parle d’un « copier-coller d’un autre pays » sans l’identifier)</w:t>
            </w:r>
          </w:p>
        </w:tc>
        <w:tc>
          <w:tcPr>
            <w:tcW w:w="1627" w:type="dxa"/>
          </w:tcPr>
          <w:tcPr/>
          <w:p>
            <w:pPr>
              <w:pStyle w:val="Compact"/>
              <w:jc w:val="left"/>
            </w:pPr>
            <w:r>
              <w:t xml:space="preserve">MDG, COD</w:t>
            </w:r>
          </w:p>
        </w:tc>
      </w:tr>
      <w:tr>
        <w:tc>
          <w:tcPr>
            <w:tcW w:w="8349" w:type="dxa"/>
          </w:tcPr>
          <w:tcPr/>
          <w:p>
            <w:pPr>
              <w:pStyle w:val="Compact"/>
              <w:jc w:val="left"/>
            </w:pPr>
            <w:r>
              <w:t xml:space="preserve">Compteurs de l’annexe de São Tomé (« 3,861,5575 / 3,861,5576 ») ≈ compteurs prépayés de l’annexe zambienne (3 861 557)</w:t>
            </w:r>
          </w:p>
        </w:tc>
        <w:tc>
          <w:tcPr>
            <w:tcW w:w="4593" w:type="dxa"/>
          </w:tcPr>
          <w:tcPr/>
          <w:p>
            <w:pPr>
              <w:pStyle w:val="Compact"/>
              <w:jc w:val="left"/>
            </w:pPr>
            <w:r>
              <w:t xml:space="preserve">Hypothèse [E]</w:t>
            </w:r>
          </w:p>
        </w:tc>
        <w:tc>
          <w:tcPr>
            <w:tcW w:w="1627" w:type="dxa"/>
          </w:tcPr>
          <w:tcPr/>
          <w:p>
            <w:pPr>
              <w:pStyle w:val="Compact"/>
              <w:jc w:val="left"/>
            </w:pPr>
            <w:r>
              <w:t xml:space="preserve">STP, ZMB</w:t>
            </w:r>
          </w:p>
        </w:tc>
      </w:tr>
      <w:tr>
        <w:tc>
          <w:tcPr>
            <w:tcW w:w="8349" w:type="dxa"/>
          </w:tcPr>
          <w:tcPr/>
          <w:p>
            <w:pPr>
              <w:pStyle w:val="Compact"/>
              <w:jc w:val="left"/>
            </w:pPr>
            <w:r>
              <w:t xml:space="preserve">Résultat net de LEC au Lesotho (+20,3 M USD) = résultat net de TANESCO (20,3 M USD)</w:t>
            </w:r>
          </w:p>
        </w:tc>
        <w:tc>
          <w:tcPr>
            <w:tcW w:w="4593" w:type="dxa"/>
          </w:tcPr>
          <w:tcPr/>
          <w:p>
            <w:pPr>
              <w:pStyle w:val="Compact"/>
              <w:jc w:val="left"/>
            </w:pPr>
            <w:r>
              <w:t xml:space="preserve">Hypothèse [E], à vérifier</w:t>
            </w:r>
          </w:p>
        </w:tc>
        <w:tc>
          <w:tcPr>
            <w:tcW w:w="1627" w:type="dxa"/>
          </w:tcPr>
          <w:tcPr/>
          <w:p>
            <w:pPr>
              <w:pStyle w:val="Compact"/>
              <w:jc w:val="left"/>
            </w:pPr>
            <w:r>
              <w:t xml:space="preserve">LSO, TZA</w:t>
            </w:r>
          </w:p>
        </w:tc>
      </w:tr>
      <w:tr>
        <w:tc>
          <w:tcPr>
            <w:tcW w:w="8349" w:type="dxa"/>
          </w:tcPr>
          <w:tcPr/>
          <w:p>
            <w:pPr>
              <w:pStyle w:val="Compact"/>
              <w:jc w:val="left"/>
            </w:pPr>
            <w:r>
              <w:t xml:space="preserve">Passifs éventuels de 100-200 M USD aux Comores, identiques à ceux de Madagascar</w:t>
            </w:r>
          </w:p>
        </w:tc>
        <w:tc>
          <w:tcPr>
            <w:tcW w:w="4593" w:type="dxa"/>
          </w:tcPr>
          <w:tcPr/>
          <w:p>
            <w:pPr>
              <w:pStyle w:val="Compact"/>
              <w:jc w:val="left"/>
            </w:pPr>
            <w:r>
              <w:t xml:space="preserve">[E] selon la fiche COM</w:t>
            </w:r>
          </w:p>
        </w:tc>
        <w:tc>
          <w:tcPr>
            <w:tcW w:w="1627" w:type="dxa"/>
          </w:tcPr>
          <w:tcPr/>
          <w:p>
            <w:pPr>
              <w:pStyle w:val="Compact"/>
              <w:jc w:val="left"/>
            </w:pPr>
            <w:r>
              <w:t xml:space="preserve">COM, MDG</w:t>
            </w:r>
          </w:p>
        </w:tc>
      </w:tr>
      <w:tr>
        <w:tc>
          <w:tcPr>
            <w:tcW w:w="8349" w:type="dxa"/>
          </w:tcPr>
          <w:tcPr/>
          <w:p>
            <w:pPr>
              <w:pStyle w:val="Compact"/>
              <w:jc w:val="left"/>
            </w:pPr>
            <w:r>
              <w:t xml:space="preserve">Cibles de pertes identiques (non techniques 5-7 %, techniques ≈ 5 %)</w:t>
            </w:r>
          </w:p>
        </w:tc>
        <w:tc>
          <w:tcPr>
            <w:tcW w:w="4593" w:type="dxa"/>
          </w:tcPr>
          <w:tcPr/>
          <w:p>
            <w:pPr>
              <w:pStyle w:val="Compact"/>
              <w:jc w:val="left"/>
            </w:pPr>
            <w:r>
              <w:t xml:space="preserve">[E]</w:t>
            </w:r>
          </w:p>
        </w:tc>
        <w:tc>
          <w:tcPr>
            <w:tcW w:w="1627" w:type="dxa"/>
          </w:tcPr>
          <w:tcPr/>
          <w:p>
            <w:pPr>
              <w:pStyle w:val="Compact"/>
              <w:jc w:val="left"/>
            </w:pPr>
            <w:r>
              <w:t xml:space="preserve">BEN, DJI</w:t>
            </w:r>
          </w:p>
        </w:tc>
      </w:tr>
    </w:tbl>
    <w:p>
      <w:pPr>
        <w:pStyle w:val="BodyText"/>
      </w:pPr>
      <w:r>
        <w:t xml:space="preserve">Il faut distinguer ces copies de</w:t>
      </w:r>
      <w:r>
        <w:t xml:space="preserve"> </w:t>
      </w:r>
      <w:r>
        <w:rPr>
          <w:bCs/>
          <w:b/>
        </w:rPr>
        <w:t xml:space="preserve">données</w:t>
      </w:r>
      <w:r>
        <w:t xml:space="preserve">, qui sont des erreurs, des reprises de</w:t>
      </w:r>
      <w:r>
        <w:t xml:space="preserve"> </w:t>
      </w:r>
      <w:r>
        <w:rPr>
          <w:bCs/>
          <w:b/>
        </w:rPr>
        <w:t xml:space="preserve">formulations du gabarit M300</w:t>
      </w:r>
      <w:r>
        <w:t xml:space="preserve">, qui sont normales mais révèlent un faible ancrage national :</w:t>
      </w:r>
      <w:r>
        <w:t xml:space="preserve"> </w:t>
      </w:r>
      <w:r>
        <w:t xml:space="preserve">- « Tout ajustement tarifaire sera accompagné de mesures compensatoires » (SEN, GMB) ;</w:t>
      </w:r>
      <w:r>
        <w:t xml:space="preserve"> </w:t>
      </w:r>
      <w:r>
        <w:t xml:space="preserve">- CoS + méthodologie « tout en protégeant les pauvres » (BWA, LSO, TZA) ;</w:t>
      </w:r>
      <w:r>
        <w:t xml:space="preserve"> </w:t>
      </w:r>
      <w:r>
        <w:t xml:space="preserve">- feuille de route de sortie des subventions, principe « acheteur consentant / vendeur consentant », publication sous 30 jours (MDG, COM) ;</w:t>
      </w:r>
      <w:r>
        <w:t xml:space="preserve"> </w:t>
      </w:r>
      <w:r>
        <w:t xml:space="preserve">- « ajustements tarifaires, restructuration de la dette et réformes opérationnelles » (ZMB, STP) ;</w:t>
      </w:r>
      <w:r>
        <w:t xml:space="preserve"> </w:t>
      </w:r>
      <w:r>
        <w:t xml:space="preserve">- baisse de la subvention et préfinancement des raccordements (SEN, GIN) ;</w:t>
      </w:r>
      <w:r>
        <w:t xml:space="preserve"> </w:t>
      </w:r>
      <w:r>
        <w:t xml:space="preserve">- « alternatives à l’augmentation des tarifs » (MRT, TGO).</w:t>
      </w:r>
    </w:p>
    <w:p>
      <w:pPr>
        <w:pStyle w:val="BodyText"/>
      </w:pPr>
      <w:r>
        <w:rPr>
          <w:bCs/>
          <w:b/>
        </w:rPr>
        <w:t xml:space="preserve">b) Incohérences internes majeures, par fiche.</w:t>
      </w:r>
      <w:r>
        <w:t xml:space="preserve"> </w:t>
      </w:r>
      <w:r>
        <w:t xml:space="preserve">- Cibles d’accès : BEN (100 % contre 70 %) ; TCD (15 % contre 90 %) ; ZWE (base de 62 % contre 41 %) ; ZMB (53,6 % contre 47,8 %) ; CMR (8 M contre 33 M de personnes) ; GAB (61 % contre 99 % en rural).</w:t>
      </w:r>
      <w:r>
        <w:t xml:space="preserve"> </w:t>
      </w:r>
      <w:r>
        <w:t xml:space="preserve">- Renouvelables : TGO (50, 60 ou 63 % en capacité ; 41 % en énergie) ; COG (33 % contre 72,8 %) ; MOZ (gaz classé « renouvelable ») ; NGA (50 % dans le pacte contre 75 % dans le rapport).</w:t>
      </w:r>
      <w:r>
        <w:t xml:space="preserve"> </w:t>
      </w:r>
      <w:r>
        <w:t xml:space="preserve">- Base tarifaire : GIN (8 c / 36 % contre 10 c / 45 %) ; DJI (cible de 0,20, 0,22 ou &lt; 0,25 USD) ; CMR (tarif moyen ≈ coût moyen dans l’annexe malgré une compensation de 67 Md FCFA [E]) ; GAB et NAM (tarif supérieur au coût, mais couverture jugée insuffisante).</w:t>
      </w:r>
      <w:r>
        <w:t xml:space="preserve"> </w:t>
      </w:r>
      <w:r>
        <w:t xml:space="preserve">- Financement : BFA (trois totaux) ; COG (2,31 contre 11,5 Md USD) ; GHA (capitaux privés 1,5, 2,0 ou 2,6 Md USD) ; TCD (privé 650 contre 1 324 M USD) ; écarts entre pacte et rapport en LSO (privé 1,47 contre 6,7 Md USD) et MWI (1,62 contre 2,47 Md USD).</w:t>
      </w:r>
      <w:r>
        <w:t xml:space="preserve"> </w:t>
      </w:r>
      <w:r>
        <w:t xml:space="preserve">- Opérateur : NGA (ATC&amp;C 42 % contre 47 %) ; GMB (marge −28 % contre −37 % ; arriérés 40 contre 18 M USD) ; COM (pertes &lt; 14 % contre 20 %) ; UGA (pertes 18,2 % contre 16 %).</w:t>
      </w:r>
    </w:p>
    <w:p>
      <w:pPr>
        <w:pStyle w:val="BodyText"/>
      </w:pPr>
      <w:r>
        <w:rPr>
          <w:bCs/>
          <w:b/>
        </w:rPr>
        <w:t xml:space="preserve">c) Superlatifs « du lot » non valables à l’échelle des 36.</w:t>
      </w:r>
      <w:r>
        <w:t xml:space="preserve"> </w:t>
      </w:r>
      <w:r>
        <w:t xml:space="preserve">Les fiches ont été rédigées par lots. Leurs comparaisons (« le plus précis des six », « seul pacte du lot ») ne s’appliquent qu’au lot. Contradiction repérée : la fiche MRT qualifie la Mauritanie de « seul pacte » évoquant des alternatives à la hausse, alors que la fiche TGO relève la même formule. La fiche NAM présente la Namibie comme le « seul pays » déjà au coût, alors que MOZ et ZWE revendiquent aussi une couverture des coûts.</w:t>
      </w:r>
    </w:p>
    <w:p>
      <w:pPr>
        <w:pStyle w:val="BodyText"/>
      </w:pPr>
      <w:r>
        <w:rPr>
          <w:bCs/>
          <w:b/>
        </w:rPr>
        <w:t xml:space="preserve">d) Problèmes d’extraction et de forme</w:t>
      </w:r>
      <w:r>
        <w:t xml:space="preserve"> </w:t>
      </w:r>
      <w:r>
        <w:t xml:space="preserve">: tableaux éclatés (SEN, CIV, BEN, ZWE, LSO, MRT) ; unités erronées (SEN « MWh », TCD « 1 646 », BFA milliers de FCFA) ; coquilles (« 364 % » MDG, « &lt; 156 % » GAB) ; document djiboutien en anglais traduit avec erreurs ; mention « Official Use Only » sur plusieurs pactes publiés (BEN, TGO, COG, GIN, KEN, ETH, LSO, BWA).</w:t>
      </w:r>
    </w:p>
    <w:bookmarkEnd w:id="37"/>
    <w:bookmarkStart w:id="38" w:name="Xf865c99507dcc901c9bc51b4420a6d60530b81c"/>
    <w:p>
      <w:pPr>
        <w:pStyle w:val="Heading2"/>
      </w:pPr>
      <w:r>
        <w:t xml:space="preserve">4.7 État d’exécution d’après les rapports d’avancement</w:t>
      </w:r>
    </w:p>
    <w:p>
      <w:pPr>
        <w:pStyle w:val="FirstParagraph"/>
      </w:pPr>
      <w:r>
        <w:t xml:space="preserve">Douze rapports T1 2026 ont été publiés (BDI, TCD, CIV, COD, LSO, MDG, MWI, NER, NGA, SEN, TZA, ZWE), conformément à l’inventaire. Les 24 autres pays n’en ont aucun, dont</w:t>
      </w:r>
      <w:r>
        <w:t xml:space="preserve"> </w:t>
      </w:r>
      <w:r>
        <w:rPr>
          <w:bCs/>
          <w:b/>
        </w:rPr>
        <w:t xml:space="preserve">toute la cohorte 3</w:t>
      </w:r>
      <w:r>
        <w:t xml:space="preserve">, qui est trop récente.</w:t>
      </w:r>
    </w:p>
    <w:tbl>
      <w:tblPr>
        <w:tblStyle w:val="Table"/>
        <w:tblW w:type="dxa" w:w="14570"/>
        <w:tblLook w:firstRow="1" w:lastRow="0" w:firstColumn="0" w:lastColumn="0" w:noHBand="0" w:noVBand="0" w:val="0020"/>
        <w:jc w:val="start"/>
      </w:tblPr>
      <w:tblGrid>
        <w:gridCol w:w="3904"/>
        <w:gridCol w:w="1990"/>
        <w:gridCol w:w="1990"/>
        <w:gridCol w:w="3956"/>
        <w:gridCol w:w="2727"/>
      </w:tblGrid>
      <w:tr>
        <w:trPr>
          <w:tblHeader w:val="true"/>
        </w:trPr>
        <w:tc>
          <w:tcPr>
            <w:tcW w:w="3904" w:type="dxa"/>
          </w:tcPr>
          <w:tcPr/>
          <w:p>
            <w:pPr>
              <w:pStyle w:val="Compact"/>
              <w:jc w:val="left"/>
            </w:pPr>
            <w:r>
              <w:t xml:space="preserve">Pays</w:t>
            </w:r>
          </w:p>
        </w:tc>
        <w:tc>
          <w:tcPr>
            <w:tcW w:w="1990" w:type="dxa"/>
          </w:tcPr>
          <w:tcPr/>
          <w:p>
            <w:pPr>
              <w:pStyle w:val="Compact"/>
              <w:jc w:val="left"/>
            </w:pPr>
            <w:r>
              <w:t xml:space="preserve">Actions</w:t>
            </w:r>
          </w:p>
        </w:tc>
        <w:tc>
          <w:tcPr>
            <w:tcW w:w="1990" w:type="dxa"/>
          </w:tcPr>
          <w:tcPr/>
          <w:p>
            <w:pPr>
              <w:pStyle w:val="Compact"/>
              <w:jc w:val="left"/>
            </w:pPr>
            <w:r>
              <w:t xml:space="preserve">Achevées</w:t>
            </w:r>
          </w:p>
        </w:tc>
        <w:tc>
          <w:tcPr>
            <w:tcW w:w="3956" w:type="dxa"/>
          </w:tcPr>
          <w:tcPr/>
          <w:p>
            <w:pPr>
              <w:pStyle w:val="Compact"/>
              <w:jc w:val="left"/>
            </w:pPr>
            <w:r>
              <w:t xml:space="preserve">En retard (dont prioritaires)</w:t>
            </w:r>
          </w:p>
        </w:tc>
        <w:tc>
          <w:tcPr>
            <w:tcW w:w="2727" w:type="dxa"/>
          </w:tcPr>
          <w:tcPr/>
          <w:p>
            <w:pPr>
              <w:pStyle w:val="Compact"/>
              <w:jc w:val="left"/>
            </w:pPr>
            <w:r>
              <w:t xml:space="preserve">% en retard [E]</w:t>
            </w:r>
          </w:p>
        </w:tc>
      </w:tr>
      <w:tr>
        <w:tc>
          <w:tcPr>
            <w:tcW w:w="3904" w:type="dxa"/>
          </w:tcPr>
          <w:tcPr/>
          <w:p>
            <w:pPr>
              <w:pStyle w:val="Compact"/>
              <w:jc w:val="left"/>
            </w:pPr>
            <w:r>
              <w:t xml:space="preserve">Lesotho</w:t>
            </w:r>
          </w:p>
        </w:tc>
        <w:tc>
          <w:tcPr>
            <w:tcW w:w="1990" w:type="dxa"/>
          </w:tcPr>
          <w:tcPr/>
          <w:p>
            <w:pPr>
              <w:pStyle w:val="Compact"/>
              <w:jc w:val="left"/>
            </w:pPr>
            <w:r>
              <w:t xml:space="preserve">61</w:t>
            </w:r>
          </w:p>
        </w:tc>
        <w:tc>
          <w:tcPr>
            <w:tcW w:w="1990" w:type="dxa"/>
          </w:tcPr>
          <w:tcPr/>
          <w:p>
            <w:pPr>
              <w:pStyle w:val="Compact"/>
              <w:jc w:val="left"/>
            </w:pPr>
            <w:r>
              <w:t xml:space="preserve">6</w:t>
            </w:r>
          </w:p>
        </w:tc>
        <w:tc>
          <w:tcPr>
            <w:tcW w:w="3956" w:type="dxa"/>
          </w:tcPr>
          <w:tcPr/>
          <w:p>
            <w:pPr>
              <w:pStyle w:val="Compact"/>
              <w:jc w:val="left"/>
            </w:pPr>
            <w:r>
              <w:t xml:space="preserve">38 (2)</w:t>
            </w:r>
          </w:p>
        </w:tc>
        <w:tc>
          <w:tcPr>
            <w:tcW w:w="2727" w:type="dxa"/>
          </w:tcPr>
          <w:tcPr/>
          <w:p>
            <w:pPr>
              <w:pStyle w:val="Compact"/>
              <w:jc w:val="left"/>
            </w:pPr>
            <w:r>
              <w:t xml:space="preserve">62 %</w:t>
            </w:r>
          </w:p>
        </w:tc>
      </w:tr>
      <w:tr>
        <w:tc>
          <w:tcPr>
            <w:tcW w:w="3904" w:type="dxa"/>
          </w:tcPr>
          <w:tcPr/>
          <w:p>
            <w:pPr>
              <w:pStyle w:val="Compact"/>
              <w:jc w:val="left"/>
            </w:pPr>
            <w:r>
              <w:t xml:space="preserve">Niger</w:t>
            </w:r>
          </w:p>
        </w:tc>
        <w:tc>
          <w:tcPr>
            <w:tcW w:w="1990" w:type="dxa"/>
          </w:tcPr>
          <w:tcPr/>
          <w:p>
            <w:pPr>
              <w:pStyle w:val="Compact"/>
              <w:jc w:val="left"/>
            </w:pPr>
            <w:r>
              <w:t xml:space="preserve">21</w:t>
            </w:r>
          </w:p>
        </w:tc>
        <w:tc>
          <w:tcPr>
            <w:tcW w:w="1990" w:type="dxa"/>
          </w:tcPr>
          <w:tcPr/>
          <w:p>
            <w:pPr>
              <w:pStyle w:val="Compact"/>
              <w:jc w:val="left"/>
            </w:pPr>
            <w:r>
              <w:t xml:space="preserve">5</w:t>
            </w:r>
          </w:p>
        </w:tc>
        <w:tc>
          <w:tcPr>
            <w:tcW w:w="3956" w:type="dxa"/>
          </w:tcPr>
          <w:tcPr/>
          <w:p>
            <w:pPr>
              <w:pStyle w:val="Compact"/>
              <w:jc w:val="left"/>
            </w:pPr>
            <w:r>
              <w:t xml:space="preserve">9 (4)</w:t>
            </w:r>
          </w:p>
        </w:tc>
        <w:tc>
          <w:tcPr>
            <w:tcW w:w="2727" w:type="dxa"/>
          </w:tcPr>
          <w:tcPr/>
          <w:p>
            <w:pPr>
              <w:pStyle w:val="Compact"/>
              <w:jc w:val="left"/>
            </w:pPr>
            <w:r>
              <w:t xml:space="preserve">43 %</w:t>
            </w:r>
          </w:p>
        </w:tc>
      </w:tr>
      <w:tr>
        <w:tc>
          <w:tcPr>
            <w:tcW w:w="3904" w:type="dxa"/>
          </w:tcPr>
          <w:tcPr/>
          <w:p>
            <w:pPr>
              <w:pStyle w:val="Compact"/>
              <w:jc w:val="left"/>
            </w:pPr>
            <w:r>
              <w:t xml:space="preserve">Malawi</w:t>
            </w:r>
          </w:p>
        </w:tc>
        <w:tc>
          <w:tcPr>
            <w:tcW w:w="1990" w:type="dxa"/>
          </w:tcPr>
          <w:tcPr/>
          <w:p>
            <w:pPr>
              <w:pStyle w:val="Compact"/>
              <w:jc w:val="left"/>
            </w:pPr>
            <w:r>
              <w:t xml:space="preserve">68</w:t>
            </w:r>
          </w:p>
        </w:tc>
        <w:tc>
          <w:tcPr>
            <w:tcW w:w="1990" w:type="dxa"/>
          </w:tcPr>
          <w:tcPr/>
          <w:p>
            <w:pPr>
              <w:pStyle w:val="Compact"/>
              <w:jc w:val="left"/>
            </w:pPr>
            <w:r>
              <w:t xml:space="preserve">12</w:t>
            </w:r>
          </w:p>
        </w:tc>
        <w:tc>
          <w:tcPr>
            <w:tcW w:w="3956" w:type="dxa"/>
          </w:tcPr>
          <w:tcPr/>
          <w:p>
            <w:pPr>
              <w:pStyle w:val="Compact"/>
              <w:jc w:val="left"/>
            </w:pPr>
            <w:r>
              <w:t xml:space="preserve">28 (3)</w:t>
            </w:r>
          </w:p>
        </w:tc>
        <w:tc>
          <w:tcPr>
            <w:tcW w:w="2727" w:type="dxa"/>
          </w:tcPr>
          <w:tcPr/>
          <w:p>
            <w:pPr>
              <w:pStyle w:val="Compact"/>
              <w:jc w:val="left"/>
            </w:pPr>
            <w:r>
              <w:t xml:space="preserve">41 %</w:t>
            </w:r>
          </w:p>
        </w:tc>
      </w:tr>
      <w:tr>
        <w:tc>
          <w:tcPr>
            <w:tcW w:w="3904" w:type="dxa"/>
          </w:tcPr>
          <w:tcPr/>
          <w:p>
            <w:pPr>
              <w:pStyle w:val="Compact"/>
              <w:jc w:val="left"/>
            </w:pPr>
            <w:r>
              <w:t xml:space="preserve">Nigeria</w:t>
            </w:r>
          </w:p>
        </w:tc>
        <w:tc>
          <w:tcPr>
            <w:tcW w:w="1990" w:type="dxa"/>
          </w:tcPr>
          <w:tcPr/>
          <w:p>
            <w:pPr>
              <w:pStyle w:val="Compact"/>
              <w:jc w:val="left"/>
            </w:pPr>
            <w:r>
              <w:t xml:space="preserve">49</w:t>
            </w:r>
          </w:p>
        </w:tc>
        <w:tc>
          <w:tcPr>
            <w:tcW w:w="1990" w:type="dxa"/>
          </w:tcPr>
          <w:tcPr/>
          <w:p>
            <w:pPr>
              <w:pStyle w:val="Compact"/>
              <w:jc w:val="left"/>
            </w:pPr>
            <w:r>
              <w:t xml:space="preserve">11</w:t>
            </w:r>
          </w:p>
        </w:tc>
        <w:tc>
          <w:tcPr>
            <w:tcW w:w="3956" w:type="dxa"/>
          </w:tcPr>
          <w:tcPr/>
          <w:p>
            <w:pPr>
              <w:pStyle w:val="Compact"/>
              <w:jc w:val="left"/>
            </w:pPr>
            <w:r>
              <w:t xml:space="preserve">18 (4)</w:t>
            </w:r>
          </w:p>
        </w:tc>
        <w:tc>
          <w:tcPr>
            <w:tcW w:w="2727" w:type="dxa"/>
          </w:tcPr>
          <w:tcPr/>
          <w:p>
            <w:pPr>
              <w:pStyle w:val="Compact"/>
              <w:jc w:val="left"/>
            </w:pPr>
            <w:r>
              <w:t xml:space="preserve">37 %</w:t>
            </w:r>
          </w:p>
        </w:tc>
      </w:tr>
      <w:tr>
        <w:tc>
          <w:tcPr>
            <w:tcW w:w="3904" w:type="dxa"/>
          </w:tcPr>
          <w:tcPr/>
          <w:p>
            <w:pPr>
              <w:pStyle w:val="Compact"/>
              <w:jc w:val="left"/>
            </w:pPr>
            <w:r>
              <w:t xml:space="preserve">RD Congo</w:t>
            </w:r>
          </w:p>
        </w:tc>
        <w:tc>
          <w:tcPr>
            <w:tcW w:w="1990" w:type="dxa"/>
          </w:tcPr>
          <w:tcPr/>
          <w:p>
            <w:pPr>
              <w:pStyle w:val="Compact"/>
              <w:jc w:val="left"/>
            </w:pPr>
            <w:r>
              <w:t xml:space="preserve">44</w:t>
            </w:r>
          </w:p>
        </w:tc>
        <w:tc>
          <w:tcPr>
            <w:tcW w:w="1990" w:type="dxa"/>
          </w:tcPr>
          <w:tcPr/>
          <w:p>
            <w:pPr>
              <w:pStyle w:val="Compact"/>
              <w:jc w:val="left"/>
            </w:pPr>
            <w:r>
              <w:t xml:space="preserve">0</w:t>
            </w:r>
          </w:p>
        </w:tc>
        <w:tc>
          <w:tcPr>
            <w:tcW w:w="3956" w:type="dxa"/>
          </w:tcPr>
          <w:tcPr/>
          <w:p>
            <w:pPr>
              <w:pStyle w:val="Compact"/>
              <w:jc w:val="left"/>
            </w:pPr>
            <w:r>
              <w:t xml:space="preserve">14 (5)</w:t>
            </w:r>
          </w:p>
        </w:tc>
        <w:tc>
          <w:tcPr>
            <w:tcW w:w="2727" w:type="dxa"/>
          </w:tcPr>
          <w:tcPr/>
          <w:p>
            <w:pPr>
              <w:pStyle w:val="Compact"/>
              <w:jc w:val="left"/>
            </w:pPr>
            <w:r>
              <w:t xml:space="preserve">32 %</w:t>
            </w:r>
          </w:p>
        </w:tc>
      </w:tr>
      <w:tr>
        <w:tc>
          <w:tcPr>
            <w:tcW w:w="3904" w:type="dxa"/>
          </w:tcPr>
          <w:tcPr/>
          <w:p>
            <w:pPr>
              <w:pStyle w:val="Compact"/>
              <w:jc w:val="left"/>
            </w:pPr>
            <w:r>
              <w:t xml:space="preserve">Sénégal</w:t>
            </w:r>
          </w:p>
        </w:tc>
        <w:tc>
          <w:tcPr>
            <w:tcW w:w="1990" w:type="dxa"/>
          </w:tcPr>
          <w:tcPr/>
          <w:p>
            <w:pPr>
              <w:pStyle w:val="Compact"/>
              <w:jc w:val="left"/>
            </w:pPr>
            <w:r>
              <w:t xml:space="preserve">26</w:t>
            </w:r>
          </w:p>
        </w:tc>
        <w:tc>
          <w:tcPr>
            <w:tcW w:w="1990" w:type="dxa"/>
          </w:tcPr>
          <w:tcPr/>
          <w:p>
            <w:pPr>
              <w:pStyle w:val="Compact"/>
              <w:jc w:val="left"/>
            </w:pPr>
            <w:r>
              <w:t xml:space="preserve">4</w:t>
            </w:r>
          </w:p>
        </w:tc>
        <w:tc>
          <w:tcPr>
            <w:tcW w:w="3956" w:type="dxa"/>
          </w:tcPr>
          <w:tcPr/>
          <w:p>
            <w:pPr>
              <w:pStyle w:val="Compact"/>
              <w:jc w:val="left"/>
            </w:pPr>
            <w:r>
              <w:t xml:space="preserve">7 (2)</w:t>
            </w:r>
          </w:p>
        </w:tc>
        <w:tc>
          <w:tcPr>
            <w:tcW w:w="2727" w:type="dxa"/>
          </w:tcPr>
          <w:tcPr/>
          <w:p>
            <w:pPr>
              <w:pStyle w:val="Compact"/>
              <w:jc w:val="left"/>
            </w:pPr>
            <w:r>
              <w:t xml:space="preserve">27 %</w:t>
            </w:r>
          </w:p>
        </w:tc>
      </w:tr>
      <w:tr>
        <w:tc>
          <w:tcPr>
            <w:tcW w:w="3904" w:type="dxa"/>
          </w:tcPr>
          <w:tcPr/>
          <w:p>
            <w:pPr>
              <w:pStyle w:val="Compact"/>
              <w:jc w:val="left"/>
            </w:pPr>
            <w:r>
              <w:t xml:space="preserve">Côte d’Ivoire</w:t>
            </w:r>
          </w:p>
        </w:tc>
        <w:tc>
          <w:tcPr>
            <w:tcW w:w="1990" w:type="dxa"/>
          </w:tcPr>
          <w:tcPr/>
          <w:p>
            <w:pPr>
              <w:pStyle w:val="Compact"/>
              <w:jc w:val="left"/>
            </w:pPr>
            <w:r>
              <w:t xml:space="preserve">23</w:t>
            </w:r>
          </w:p>
        </w:tc>
        <w:tc>
          <w:tcPr>
            <w:tcW w:w="1990" w:type="dxa"/>
          </w:tcPr>
          <w:tcPr/>
          <w:p>
            <w:pPr>
              <w:pStyle w:val="Compact"/>
              <w:jc w:val="left"/>
            </w:pPr>
            <w:r>
              <w:t xml:space="preserve">4</w:t>
            </w:r>
          </w:p>
        </w:tc>
        <w:tc>
          <w:tcPr>
            <w:tcW w:w="3956" w:type="dxa"/>
          </w:tcPr>
          <w:tcPr/>
          <w:p>
            <w:pPr>
              <w:pStyle w:val="Compact"/>
              <w:jc w:val="left"/>
            </w:pPr>
            <w:r>
              <w:t xml:space="preserve">6 (4)</w:t>
            </w:r>
          </w:p>
        </w:tc>
        <w:tc>
          <w:tcPr>
            <w:tcW w:w="2727" w:type="dxa"/>
          </w:tcPr>
          <w:tcPr/>
          <w:p>
            <w:pPr>
              <w:pStyle w:val="Compact"/>
              <w:jc w:val="left"/>
            </w:pPr>
            <w:r>
              <w:t xml:space="preserve">26 %</w:t>
            </w:r>
          </w:p>
        </w:tc>
      </w:tr>
      <w:tr>
        <w:tc>
          <w:tcPr>
            <w:tcW w:w="3904" w:type="dxa"/>
          </w:tcPr>
          <w:tcPr/>
          <w:p>
            <w:pPr>
              <w:pStyle w:val="Compact"/>
              <w:jc w:val="left"/>
            </w:pPr>
            <w:r>
              <w:t xml:space="preserve">Madagascar</w:t>
            </w:r>
          </w:p>
        </w:tc>
        <w:tc>
          <w:tcPr>
            <w:tcW w:w="1990" w:type="dxa"/>
          </w:tcPr>
          <w:tcPr/>
          <w:p>
            <w:pPr>
              <w:pStyle w:val="Compact"/>
              <w:jc w:val="left"/>
            </w:pPr>
            <w:r>
              <w:t xml:space="preserve">43</w:t>
            </w:r>
          </w:p>
        </w:tc>
        <w:tc>
          <w:tcPr>
            <w:tcW w:w="1990" w:type="dxa"/>
          </w:tcPr>
          <w:tcPr/>
          <w:p>
            <w:pPr>
              <w:pStyle w:val="Compact"/>
              <w:jc w:val="left"/>
            </w:pPr>
            <w:r>
              <w:t xml:space="preserve">5</w:t>
            </w:r>
          </w:p>
        </w:tc>
        <w:tc>
          <w:tcPr>
            <w:tcW w:w="3956" w:type="dxa"/>
          </w:tcPr>
          <w:tcPr/>
          <w:p>
            <w:pPr>
              <w:pStyle w:val="Compact"/>
              <w:jc w:val="left"/>
            </w:pPr>
            <w:r>
              <w:t xml:space="preserve">10 (4)</w:t>
            </w:r>
          </w:p>
        </w:tc>
        <w:tc>
          <w:tcPr>
            <w:tcW w:w="2727" w:type="dxa"/>
          </w:tcPr>
          <w:tcPr/>
          <w:p>
            <w:pPr>
              <w:pStyle w:val="Compact"/>
              <w:jc w:val="left"/>
            </w:pPr>
            <w:r>
              <w:t xml:space="preserve">23 %</w:t>
            </w:r>
          </w:p>
        </w:tc>
      </w:tr>
      <w:tr>
        <w:tc>
          <w:tcPr>
            <w:tcW w:w="3904" w:type="dxa"/>
          </w:tcPr>
          <w:tcPr/>
          <w:p>
            <w:pPr>
              <w:pStyle w:val="Compact"/>
              <w:jc w:val="left"/>
            </w:pPr>
            <w:r>
              <w:t xml:space="preserve">Zimbabwe</w:t>
            </w:r>
          </w:p>
        </w:tc>
        <w:tc>
          <w:tcPr>
            <w:tcW w:w="1990" w:type="dxa"/>
          </w:tcPr>
          <w:tcPr/>
          <w:p>
            <w:pPr>
              <w:pStyle w:val="Compact"/>
              <w:jc w:val="left"/>
            </w:pPr>
            <w:r>
              <w:t xml:space="preserve">71</w:t>
            </w:r>
          </w:p>
        </w:tc>
        <w:tc>
          <w:tcPr>
            <w:tcW w:w="1990" w:type="dxa"/>
          </w:tcPr>
          <w:tcPr/>
          <w:p>
            <w:pPr>
              <w:pStyle w:val="Compact"/>
              <w:jc w:val="left"/>
            </w:pPr>
            <w:r>
              <w:t xml:space="preserve">5</w:t>
            </w:r>
          </w:p>
        </w:tc>
        <w:tc>
          <w:tcPr>
            <w:tcW w:w="3956" w:type="dxa"/>
          </w:tcPr>
          <w:tcPr/>
          <w:p>
            <w:pPr>
              <w:pStyle w:val="Compact"/>
              <w:jc w:val="left"/>
            </w:pPr>
            <w:r>
              <w:t xml:space="preserve">16 (4)</w:t>
            </w:r>
          </w:p>
        </w:tc>
        <w:tc>
          <w:tcPr>
            <w:tcW w:w="2727" w:type="dxa"/>
          </w:tcPr>
          <w:tcPr/>
          <w:p>
            <w:pPr>
              <w:pStyle w:val="Compact"/>
              <w:jc w:val="left"/>
            </w:pPr>
            <w:r>
              <w:t xml:space="preserve">23 %</w:t>
            </w:r>
          </w:p>
        </w:tc>
      </w:tr>
      <w:tr>
        <w:tc>
          <w:tcPr>
            <w:tcW w:w="3904" w:type="dxa"/>
          </w:tcPr>
          <w:tcPr/>
          <w:p>
            <w:pPr>
              <w:pStyle w:val="Compact"/>
              <w:jc w:val="left"/>
            </w:pPr>
            <w:r>
              <w:t xml:space="preserve">Burundi</w:t>
            </w:r>
          </w:p>
        </w:tc>
        <w:tc>
          <w:tcPr>
            <w:tcW w:w="1990" w:type="dxa"/>
          </w:tcPr>
          <w:tcPr/>
          <w:p>
            <w:pPr>
              <w:pStyle w:val="Compact"/>
              <w:jc w:val="left"/>
            </w:pPr>
            <w:r>
              <w:t xml:space="preserve">123</w:t>
            </w:r>
          </w:p>
        </w:tc>
        <w:tc>
          <w:tcPr>
            <w:tcW w:w="1990" w:type="dxa"/>
          </w:tcPr>
          <w:tcPr/>
          <w:p>
            <w:pPr>
              <w:pStyle w:val="Compact"/>
              <w:jc w:val="left"/>
            </w:pPr>
            <w:r>
              <w:t xml:space="preserve">5</w:t>
            </w:r>
          </w:p>
        </w:tc>
        <w:tc>
          <w:tcPr>
            <w:tcW w:w="3956" w:type="dxa"/>
          </w:tcPr>
          <w:tcPr/>
          <w:p>
            <w:pPr>
              <w:pStyle w:val="Compact"/>
              <w:jc w:val="left"/>
            </w:pPr>
            <w:r>
              <w:t xml:space="preserve">27 (</w:t>
            </w:r>
            <w:r>
              <w:rPr>
                <w:bCs/>
                <w:b/>
              </w:rPr>
              <w:t xml:space="preserve">10/10</w:t>
            </w:r>
            <w:r>
              <w:t xml:space="preserve">)</w:t>
            </w:r>
          </w:p>
        </w:tc>
        <w:tc>
          <w:tcPr>
            <w:tcW w:w="2727" w:type="dxa"/>
          </w:tcPr>
          <w:tcPr/>
          <w:p>
            <w:pPr>
              <w:pStyle w:val="Compact"/>
              <w:jc w:val="left"/>
            </w:pPr>
            <w:r>
              <w:t xml:space="preserve">22 %</w:t>
            </w:r>
          </w:p>
        </w:tc>
      </w:tr>
      <w:tr>
        <w:tc>
          <w:tcPr>
            <w:tcW w:w="3904" w:type="dxa"/>
          </w:tcPr>
          <w:tcPr/>
          <w:p>
            <w:pPr>
              <w:pStyle w:val="Compact"/>
              <w:jc w:val="left"/>
            </w:pPr>
            <w:r>
              <w:t xml:space="preserve">Tanzanie</w:t>
            </w:r>
          </w:p>
        </w:tc>
        <w:tc>
          <w:tcPr>
            <w:tcW w:w="1990" w:type="dxa"/>
          </w:tcPr>
          <w:tcPr/>
          <w:p>
            <w:pPr>
              <w:pStyle w:val="Compact"/>
              <w:jc w:val="left"/>
            </w:pPr>
            <w:r>
              <w:t xml:space="preserve">53</w:t>
            </w:r>
          </w:p>
        </w:tc>
        <w:tc>
          <w:tcPr>
            <w:tcW w:w="1990" w:type="dxa"/>
          </w:tcPr>
          <w:tcPr/>
          <w:p>
            <w:pPr>
              <w:pStyle w:val="Compact"/>
              <w:jc w:val="left"/>
            </w:pPr>
            <w:r>
              <w:t xml:space="preserve">8</w:t>
            </w:r>
          </w:p>
        </w:tc>
        <w:tc>
          <w:tcPr>
            <w:tcW w:w="3956" w:type="dxa"/>
          </w:tcPr>
          <w:tcPr/>
          <w:p>
            <w:pPr>
              <w:pStyle w:val="Compact"/>
              <w:jc w:val="left"/>
            </w:pPr>
            <w:r>
              <w:t xml:space="preserve">4</w:t>
            </w:r>
          </w:p>
        </w:tc>
        <w:tc>
          <w:tcPr>
            <w:tcW w:w="2727" w:type="dxa"/>
          </w:tcPr>
          <w:tcPr/>
          <w:p>
            <w:pPr>
              <w:pStyle w:val="Compact"/>
              <w:jc w:val="left"/>
            </w:pPr>
            <w:r>
              <w:t xml:space="preserve">8 %</w:t>
            </w:r>
          </w:p>
        </w:tc>
      </w:tr>
      <w:tr>
        <w:tc>
          <w:tcPr>
            <w:tcW w:w="3904" w:type="dxa"/>
          </w:tcPr>
          <w:tcPr/>
          <w:p>
            <w:pPr>
              <w:pStyle w:val="Compact"/>
              <w:jc w:val="left"/>
            </w:pPr>
            <w:r>
              <w:t xml:space="preserve">Tchad</w:t>
            </w:r>
          </w:p>
        </w:tc>
        <w:tc>
          <w:tcPr>
            <w:tcW w:w="1990" w:type="dxa"/>
          </w:tcPr>
          <w:tcPr/>
          <w:p>
            <w:pPr>
              <w:pStyle w:val="Compact"/>
              <w:jc w:val="left"/>
            </w:pPr>
            <w:r>
              <w:t xml:space="preserve">14</w:t>
            </w:r>
          </w:p>
        </w:tc>
        <w:tc>
          <w:tcPr>
            <w:tcW w:w="1990" w:type="dxa"/>
          </w:tcPr>
          <w:tcPr/>
          <w:p>
            <w:pPr>
              <w:pStyle w:val="Compact"/>
              <w:jc w:val="left"/>
            </w:pPr>
            <w:r>
              <w:t xml:space="preserve">2</w:t>
            </w:r>
          </w:p>
        </w:tc>
        <w:tc>
          <w:tcPr>
            <w:tcW w:w="3956" w:type="dxa"/>
          </w:tcPr>
          <w:tcPr/>
          <w:p>
            <w:pPr>
              <w:pStyle w:val="Compact"/>
              <w:jc w:val="left"/>
            </w:pPr>
            <w:r>
              <w:t xml:space="preserve">1 (1)</w:t>
            </w:r>
          </w:p>
        </w:tc>
        <w:tc>
          <w:tcPr>
            <w:tcW w:w="2727" w:type="dxa"/>
          </w:tcPr>
          <w:tcPr/>
          <w:p>
            <w:pPr>
              <w:pStyle w:val="Compact"/>
              <w:jc w:val="left"/>
            </w:pPr>
            <w:r>
              <w:t xml:space="preserve">7 %</w:t>
            </w:r>
          </w:p>
        </w:tc>
      </w:tr>
      <w:tr>
        <w:tc>
          <w:tcPr>
            <w:tcW w:w="3904" w:type="dxa"/>
          </w:tcPr>
          <w:tcPr/>
          <w:p>
            <w:pPr>
              <w:pStyle w:val="Compact"/>
              <w:jc w:val="left"/>
            </w:pPr>
            <w:r>
              <w:rPr>
                <w:bCs/>
                <w:b/>
              </w:rPr>
              <w:t xml:space="preserve">Total</w:t>
            </w:r>
          </w:p>
        </w:tc>
        <w:tc>
          <w:tcPr>
            <w:tcW w:w="1990" w:type="dxa"/>
          </w:tcPr>
          <w:tcPr/>
          <w:p>
            <w:pPr>
              <w:pStyle w:val="Compact"/>
              <w:jc w:val="left"/>
            </w:pPr>
            <w:r>
              <w:rPr>
                <w:bCs/>
                <w:b/>
              </w:rPr>
              <w:t xml:space="preserve">596</w:t>
            </w:r>
          </w:p>
        </w:tc>
        <w:tc>
          <w:tcPr>
            <w:tcW w:w="1990" w:type="dxa"/>
          </w:tcPr>
          <w:tcPr/>
          <w:p>
            <w:pPr>
              <w:pStyle w:val="Compact"/>
              <w:jc w:val="left"/>
            </w:pPr>
            <w:r>
              <w:rPr>
                <w:bCs/>
                <w:b/>
              </w:rPr>
              <w:t xml:space="preserve">67 (≈ 11 %)</w:t>
            </w:r>
          </w:p>
        </w:tc>
        <w:tc>
          <w:tcPr>
            <w:tcW w:w="3956" w:type="dxa"/>
          </w:tcPr>
          <w:tcPr/>
          <w:p>
            <w:pPr>
              <w:pStyle w:val="Compact"/>
              <w:jc w:val="left"/>
            </w:pPr>
            <w:r>
              <w:rPr>
                <w:bCs/>
                <w:b/>
              </w:rPr>
              <w:t xml:space="preserve">178 (≈ 30 %)</w:t>
            </w:r>
          </w:p>
        </w:tc>
        <w:tc>
          <w:tcPr>
            <w:tcW w:w="2727" w:type="dxa"/>
          </w:tcPr>
          <w:tcPr/>
          <w:p>
            <w:pPr>
              <w:pStyle w:val="Compact"/>
              <w:jc w:val="left"/>
            </w:pPr>
            <w:r>
              <w:t xml:space="preserve">—</w:t>
            </w:r>
          </w:p>
        </w:tc>
      </w:tr>
    </w:tbl>
    <w:p>
      <w:pPr>
        <w:numPr>
          <w:ilvl w:val="0"/>
          <w:numId w:val="1011"/>
        </w:numPr>
        <w:pStyle w:val="Compact"/>
      </w:pPr>
      <w:r>
        <w:rPr>
          <w:bCs/>
          <w:b/>
        </w:rPr>
        <w:t xml:space="preserve">Les actions tarifaires et financières prioritaires sont souvent en retard</w:t>
      </w:r>
      <w:r>
        <w:t xml:space="preserve"> </w:t>
      </w:r>
      <w:r>
        <w:t xml:space="preserve">: CIV (structure tarifaire et stratégie financière, toutes deux « Delayed ») ; MDG (méthodologie tarifaire) ; BDI (toutes les priorités, dont l’audit externe de la REGIDESO). Au Sénégal, l’action « baisse de la subvention » ne figure même pas parmi les priorités suivies. En RD Congo, le rapport ne mentionne pas le régime tarifaire de janv. 2026. Exceptions : MWI (ATAF « dans les temps »), NER (plan de viabilité « On Track »), NGA (dette du secteur « Completed »).</w:t>
      </w:r>
    </w:p>
    <w:p>
      <w:pPr>
        <w:numPr>
          <w:ilvl w:val="0"/>
          <w:numId w:val="1011"/>
        </w:numPr>
        <w:pStyle w:val="Compact"/>
      </w:pPr>
      <w:r>
        <w:rPr>
          <w:bCs/>
          <w:b/>
        </w:rPr>
        <w:t xml:space="preserve">Les raccordements 2025 sont très en dessous des rythmes requis</w:t>
      </w:r>
      <w:r>
        <w:t xml:space="preserve"> </w:t>
      </w:r>
      <w:r>
        <w:t xml:space="preserve">:</w:t>
      </w:r>
    </w:p>
    <w:p>
      <w:pPr>
        <w:numPr>
          <w:ilvl w:val="1"/>
          <w:numId w:val="1012"/>
        </w:numPr>
        <w:pStyle w:val="Compact"/>
      </w:pPr>
      <w:r>
        <w:t xml:space="preserve">RD Congo : 0,65 M de personnes, contre environ 9,6 M/an nécessaires ;</w:t>
      </w:r>
    </w:p>
    <w:p>
      <w:pPr>
        <w:numPr>
          <w:ilvl w:val="1"/>
          <w:numId w:val="1012"/>
        </w:numPr>
        <w:pStyle w:val="Compact"/>
      </w:pPr>
      <w:r>
        <w:t xml:space="preserve">Lesotho : 17 856 personnes ;</w:t>
      </w:r>
    </w:p>
    <w:p>
      <w:pPr>
        <w:numPr>
          <w:ilvl w:val="1"/>
          <w:numId w:val="1012"/>
        </w:numPr>
        <w:pStyle w:val="Compact"/>
      </w:pPr>
      <w:r>
        <w:t xml:space="preserve">Zimbabwe : 50 000 raccordements, contre 520 000/an visés ;</w:t>
      </w:r>
    </w:p>
    <w:p>
      <w:pPr>
        <w:numPr>
          <w:ilvl w:val="1"/>
          <w:numId w:val="1012"/>
        </w:numPr>
        <w:pStyle w:val="Compact"/>
      </w:pPr>
      <w:r>
        <w:t xml:space="preserve">Niger : 49 194, contre plus de 280 000/an ;</w:t>
      </w:r>
    </w:p>
    <w:p>
      <w:pPr>
        <w:numPr>
          <w:ilvl w:val="1"/>
          <w:numId w:val="1012"/>
        </w:numPr>
        <w:pStyle w:val="Compact"/>
      </w:pPr>
      <w:r>
        <w:t xml:space="preserve">Tchad : 0,8 M de personnes, contre environ 2,3 M/an ;</w:t>
      </w:r>
    </w:p>
    <w:p>
      <w:pPr>
        <w:numPr>
          <w:ilvl w:val="1"/>
          <w:numId w:val="1012"/>
        </w:numPr>
        <w:pStyle w:val="Compact"/>
      </w:pPr>
      <w:r>
        <w:t xml:space="preserve">Tanzanie : 711 320 raccordements, contre 1,6 M/an.</w:t>
      </w:r>
    </w:p>
    <w:p>
      <w:pPr>
        <w:numPr>
          <w:ilvl w:val="0"/>
          <w:numId w:val="1011"/>
        </w:numPr>
        <w:pStyle w:val="Compact"/>
      </w:pPr>
      <w:r>
        <w:rPr>
          <w:bCs/>
          <w:b/>
        </w:rPr>
        <w:t xml:space="preserve">Les données sont lacunaires</w:t>
      </w:r>
      <w:r>
        <w:t xml:space="preserve"> </w:t>
      </w:r>
      <w:r>
        <w:t xml:space="preserve">: SEN et MWI n’ont transmis aucune donnée 2025 ; MDG uniquement la part des ENR ; les capitaux privés sont nuls ou non fournis pour NER, TCD et NGA. Certains sauts déclarés sont suspects : ENR passant de 9 % à 31 % au Tchad, de 22 % à 38,8 % au Nigeria ; cuisson propre de 6,9 % à 23 % en Tanzanie.</w:t>
      </w:r>
    </w:p>
    <w:p>
      <w:pPr>
        <w:numPr>
          <w:ilvl w:val="0"/>
          <w:numId w:val="1011"/>
        </w:numPr>
        <w:pStyle w:val="Compact"/>
      </w:pPr>
      <w:r>
        <w:rPr>
          <w:bCs/>
          <w:b/>
        </w:rPr>
        <w:t xml:space="preserve">Des cibles sont modifiées après coup</w:t>
      </w:r>
      <w:r>
        <w:t xml:space="preserve"> </w:t>
      </w:r>
      <w:r>
        <w:t xml:space="preserve">: les rapports diffèrent des pactes pour les cibles de capitaux privés (LSO, MWI), d’ENR (NGA) et de population (SEN). Des actions sont ajoutées par la CDMU (SEN, MDG, COD). Le suivi n’est donc pas stable [E].</w:t>
      </w:r>
    </w:p>
    <w:p>
      <w:r>
        <w:pict>
          <v:rect style="width:0;height:1.5pt" o:hralign="center" o:hrstd="t" o:hr="t"/>
        </w:pict>
      </w:r>
    </w:p>
    <w:bookmarkEnd w:id="38"/>
    <w:bookmarkEnd w:id="39"/>
    <w:bookmarkStart w:id="44" w:name="implications-et-questions-prioritaires"/>
    <w:p>
      <w:pPr>
        <w:pStyle w:val="Heading1"/>
      </w:pPr>
      <w:r>
        <w:t xml:space="preserve">5. Implications et questions prioritaires</w:t>
      </w:r>
    </w:p>
    <w:bookmarkStart w:id="40" w:name="phase-2-diagnostic-des-opérateurs"/>
    <w:p>
      <w:pPr>
        <w:pStyle w:val="Heading2"/>
      </w:pPr>
      <w:r>
        <w:t xml:space="preserve">5.1 Phase 2 — diagnostic des opérateurs</w:t>
      </w:r>
    </w:p>
    <w:p>
      <w:pPr>
        <w:numPr>
          <w:ilvl w:val="0"/>
          <w:numId w:val="1013"/>
        </w:numPr>
        <w:pStyle w:val="Compact"/>
      </w:pPr>
      <w:r>
        <w:rPr>
          <w:bCs/>
          <w:b/>
        </w:rPr>
        <w:t xml:space="preserve">Harmoniser la mesure des pertes</w:t>
      </w:r>
      <w:r>
        <w:t xml:space="preserve"> </w:t>
      </w:r>
      <w:r>
        <w:t xml:space="preserve">(rendement, ATC&amp;C, T&amp;D, distribution) et reconstituer des ATC&amp;C comparables. C’est prioritaire là où elles manquent ou sont contradictoires : SEN, CIV, NGA, MRT, NER, ZMB, ZWE, LSO, MWI.</w:t>
      </w:r>
    </w:p>
    <w:p>
      <w:pPr>
        <w:numPr>
          <w:ilvl w:val="0"/>
          <w:numId w:val="1013"/>
        </w:numPr>
        <w:pStyle w:val="Compact"/>
      </w:pPr>
      <w:r>
        <w:rPr>
          <w:bCs/>
          <w:b/>
        </w:rPr>
        <w:t xml:space="preserve">Comptes audités</w:t>
      </w:r>
      <w:r>
        <w:t xml:space="preserve"> </w:t>
      </w:r>
      <w:r>
        <w:t xml:space="preserve">: obtenir les derniers états financiers (SNEL 2020 ; EGENCO 2020 ; ZECO non publiés ; SEEG non certifiés ; E2C non certifiés ; NIGELEC non publiés ; LEC Liberia non audités). Vérifier les chiffres suspects : rendement de 84,99 % de la CEET ; résultat de 20,3 M USD de LEC Lesotho.</w:t>
      </w:r>
    </w:p>
    <w:p>
      <w:pPr>
        <w:numPr>
          <w:ilvl w:val="0"/>
          <w:numId w:val="1013"/>
        </w:numPr>
        <w:pStyle w:val="Compact"/>
      </w:pPr>
      <w:r>
        <w:rPr>
          <w:bCs/>
          <w:b/>
        </w:rPr>
        <w:t xml:space="preserve">Cartographie des dettes croisées</w:t>
      </w:r>
      <w:r>
        <w:t xml:space="preserve"> </w:t>
      </w:r>
      <w:r>
        <w:t xml:space="preserve">État / opérateur / IPP / fournisseurs régionaux, pays par pays : SEN, CIV, GHA, MOZ, MDG, CMR, COD, DJI. Mesurer le poids du take-or-pay.</w:t>
      </w:r>
    </w:p>
    <w:p>
      <w:pPr>
        <w:numPr>
          <w:ilvl w:val="0"/>
          <w:numId w:val="1013"/>
        </w:numPr>
        <w:pStyle w:val="Compact"/>
      </w:pPr>
      <w:r>
        <w:rPr>
          <w:bCs/>
          <w:b/>
        </w:rPr>
        <w:t xml:space="preserve">Bilan des délégations au privé</w:t>
      </w:r>
      <w:r>
        <w:t xml:space="preserve"> </w:t>
      </w:r>
      <w:r>
        <w:t xml:space="preserve">: CIE (convention et échéance) ; Eranove/SBEE (indicateurs, rémunération) ; ENEO (prix du rachat d’Actis) ; SEEG (fraude 2024, contrat-plan) ; UMEME → UEDCL (pertes passées à 18,2 %) ; contrat de gestion d’EDSA puis concession OM&amp;M ; concession ECG ; Weza Power ; EMAE.</w:t>
      </w:r>
    </w:p>
    <w:p>
      <w:pPr>
        <w:numPr>
          <w:ilvl w:val="0"/>
          <w:numId w:val="1013"/>
        </w:numPr>
        <w:pStyle w:val="Compact"/>
      </w:pPr>
      <w:r>
        <w:rPr>
          <w:bCs/>
          <w:b/>
        </w:rPr>
        <w:t xml:space="preserve">Contrats de performance</w:t>
      </w:r>
      <w:r>
        <w:t xml:space="preserve"> </w:t>
      </w:r>
      <w:r>
        <w:t xml:space="preserve">: existence réelle, indicateurs, sanctions (SENELEC audité ; EDG fin 2025 ; SNE « en cours » ; REGIDESO juin 2026 ; ENERCA sans date ; EEP/EEU signés ; SONELEC signés).</w:t>
      </w:r>
    </w:p>
    <w:p>
      <w:pPr>
        <w:numPr>
          <w:ilvl w:val="0"/>
          <w:numId w:val="1013"/>
        </w:numPr>
        <w:pStyle w:val="Compact"/>
      </w:pPr>
      <w:r>
        <w:rPr>
          <w:bCs/>
          <w:b/>
        </w:rPr>
        <w:t xml:space="preserve">Effet de la dévaluation et des devises</w:t>
      </w:r>
      <w:r>
        <w:t xml:space="preserve"> </w:t>
      </w:r>
      <w:r>
        <w:t xml:space="preserve">sur la solvabilité : MWI, ZWE, BDI, BWA (prêt ICBC), UGA, ETH.</w:t>
      </w:r>
    </w:p>
    <w:bookmarkEnd w:id="40"/>
    <w:bookmarkStart w:id="41" w:name="Xe8ff0c50b7a364ae295a644b07ab0b07b13a6d6"/>
    <w:p>
      <w:pPr>
        <w:pStyle w:val="Heading2"/>
      </w:pPr>
      <w:r>
        <w:t xml:space="preserve">5.2 Phase 3 — structure tarifaire et coûts par segment</w:t>
      </w:r>
    </w:p>
    <w:p>
      <w:pPr>
        <w:numPr>
          <w:ilvl w:val="0"/>
          <w:numId w:val="1014"/>
        </w:numPr>
        <w:pStyle w:val="Compact"/>
      </w:pPr>
      <w:r>
        <w:rPr>
          <w:bCs/>
          <w:b/>
        </w:rPr>
        <w:t xml:space="preserve">Reconstituer l’écart tarif / coût de service</w:t>
      </w:r>
      <w:r>
        <w:t xml:space="preserve"> </w:t>
      </w:r>
      <w:r>
        <w:t xml:space="preserve">avec des définitions homogènes (OPEX seul, OPEX + dette, coût complet). Les pactes mélangent ces notions : BDI et COG (coûts d’exploitation), ETH (OPEX + dette), COD (« opérationnels »). Il faut aussi éclaircir les cas contradictoires (CMR, GAB, NAM, COD avec 0,4 USD/kWh).</w:t>
      </w:r>
    </w:p>
    <w:p>
      <w:pPr>
        <w:numPr>
          <w:ilvl w:val="0"/>
          <w:numId w:val="1014"/>
        </w:numPr>
        <w:pStyle w:val="Compact"/>
      </w:pPr>
      <w:r>
        <w:rPr>
          <w:bCs/>
          <w:b/>
        </w:rPr>
        <w:t xml:space="preserve">Décomposer le coût par segment</w:t>
      </w:r>
      <w:r>
        <w:t xml:space="preserve"> </w:t>
      </w:r>
      <w:r>
        <w:t xml:space="preserve">(production / achat aux IPP, transport, distribution, commercialisation). Au Ghana, l’achat d’énergie pèse près de 80 % du tarif (cf. GHA). Au Liberia, le thermique coûte 0,25 USD/kWh contre 0,06 pour l’hydro (cf. LBR). Aux Comores, la production coûte 0,76 USD/kWh (cf. COM).</w:t>
      </w:r>
    </w:p>
    <w:p>
      <w:pPr>
        <w:numPr>
          <w:ilvl w:val="0"/>
          <w:numId w:val="1014"/>
        </w:numPr>
        <w:pStyle w:val="Compact"/>
      </w:pPr>
      <w:r>
        <w:rPr>
          <w:bCs/>
          <w:b/>
        </w:rPr>
        <w:t xml:space="preserve">Obtenir les grilles en vigueur par catégorie</w:t>
      </w:r>
      <w:r>
        <w:t xml:space="preserve"> </w:t>
      </w:r>
      <w:r>
        <w:t xml:space="preserve">: grille de mai 2025 au Togo ; grille d’oct. 2023 et arrêtés de 2025 au Burkina Faso ; grille 2018 au Gabon ; grille d’oct. 2025 au Rwanda ; décret 2020-328 au Bénin ; décisions MYTO au Ghana et en Sierra Leone ; grilles de l’ERB en Zambie.</w:t>
      </w:r>
    </w:p>
    <w:p>
      <w:pPr>
        <w:numPr>
          <w:ilvl w:val="0"/>
          <w:numId w:val="1014"/>
        </w:numPr>
        <w:pStyle w:val="Compact"/>
      </w:pPr>
      <w:r>
        <w:rPr>
          <w:bCs/>
          <w:b/>
        </w:rPr>
        <w:t xml:space="preserve">Quantifier les subventions explicites et implicites</w:t>
      </w:r>
      <w:r>
        <w:t xml:space="preserve"> </w:t>
      </w:r>
      <w:r>
        <w:t xml:space="preserve">: CIV 234 M USD ; CMR 67 Md FCFA ; BFA 133,66 M USD plus le protocole avec la SONABHY ; TZA 56,8 M USD/an ; SLE &gt; 40 M USD ; COM ≈ 22 M USD ; MRT ≈ 2 % du PIB ; NER 20,63 M USD plus les exonérations ; GMB 20 M USD.</w:t>
      </w:r>
    </w:p>
    <w:p>
      <w:pPr>
        <w:numPr>
          <w:ilvl w:val="0"/>
          <w:numId w:val="1014"/>
        </w:numPr>
        <w:pStyle w:val="Compact"/>
      </w:pPr>
      <w:r>
        <w:rPr>
          <w:bCs/>
          <w:b/>
        </w:rPr>
        <w:t xml:space="preserve">Comparer les tarifs des mini-réseaux, du réseau et des tarifs préférentiels</w:t>
      </w:r>
      <w:r>
        <w:t xml:space="preserve"> </w:t>
      </w:r>
      <w:r>
        <w:t xml:space="preserve">(miniers, ZES, e-mobilité) : COD, BFA, KEN, GMB.</w:t>
      </w:r>
    </w:p>
    <w:p>
      <w:pPr>
        <w:numPr>
          <w:ilvl w:val="0"/>
          <w:numId w:val="1014"/>
        </w:numPr>
        <w:pStyle w:val="Compact"/>
      </w:pPr>
      <w:r>
        <w:rPr>
          <w:bCs/>
          <w:b/>
        </w:rPr>
        <w:t xml:space="preserve">Suivre les décisions annoncées pour 2025-2026</w:t>
      </w:r>
      <w:r>
        <w:t xml:space="preserve"> </w:t>
      </w:r>
      <w:r>
        <w:t xml:space="preserve">: régime tarifaire de la RDC (janv. 2026) ; grille du Congo (déc. 2026) ; MYTO de la Sierra Leone (avril 2026) ; ordonnance du Kenya (retirée) ; CoS de BWA, LSO, TZA, UGA et DJI.</w:t>
      </w:r>
    </w:p>
    <w:bookmarkEnd w:id="41"/>
    <w:bookmarkStart w:id="42" w:name="phase-4-équité-tarifaire"/>
    <w:p>
      <w:pPr>
        <w:pStyle w:val="Heading2"/>
      </w:pPr>
      <w:r>
        <w:t xml:space="preserve">5.3 Phase 4 — équité tarifaire</w:t>
      </w:r>
    </w:p>
    <w:p>
      <w:pPr>
        <w:numPr>
          <w:ilvl w:val="0"/>
          <w:numId w:val="1015"/>
        </w:numPr>
        <w:pStyle w:val="Compact"/>
      </w:pPr>
      <w:r>
        <w:rPr>
          <w:bCs/>
          <w:b/>
        </w:rPr>
        <w:t xml:space="preserve">Incidence distributive des subventions</w:t>
      </w:r>
      <w:r>
        <w:t xml:space="preserve"> </w:t>
      </w:r>
      <w:r>
        <w:t xml:space="preserve">par décile ou quintile. Il n’existe que deux points de départ (NGA, SEN) et un qualitatif (COG). Il faudra mobiliser les enquêtes MTF et ménages citées dans les pactes.</w:t>
      </w:r>
    </w:p>
    <w:p>
      <w:pPr>
        <w:numPr>
          <w:ilvl w:val="0"/>
          <w:numId w:val="1015"/>
        </w:numPr>
        <w:pStyle w:val="Compact"/>
      </w:pPr>
      <w:r>
        <w:rPr>
          <w:bCs/>
          <w:b/>
        </w:rPr>
        <w:t xml:space="preserve">Conception du lifeline</w:t>
      </w:r>
      <w:r>
        <w:t xml:space="preserve"> </w:t>
      </w:r>
      <w:r>
        <w:t xml:space="preserve">: seuil (15 → 20 kWh au RWA ; 0-30 kWh au GHA ; 50 kWh au NGA), prix (BFA 75 FCFA ; MRT 6,47 c$), ciblage (registre social en GMB ; « déciles les plus bas » en UGA), et compatibilité avec le prépaiement et l’absence de comptage (NGA).</w:t>
      </w:r>
    </w:p>
    <w:p>
      <w:pPr>
        <w:numPr>
          <w:ilvl w:val="0"/>
          <w:numId w:val="1015"/>
        </w:numPr>
        <w:pStyle w:val="Compact"/>
      </w:pPr>
      <w:r>
        <w:rPr>
          <w:bCs/>
          <w:b/>
        </w:rPr>
        <w:t xml:space="preserve">Financement de la protection</w:t>
      </w:r>
      <w:r>
        <w:t xml:space="preserve"> </w:t>
      </w:r>
      <w:r>
        <w:t xml:space="preserve">: qui paie ? Budget (BWA, ETH), subventions croisées (GHA), fonds dédiés (NAM, MOZ), ou rien (LBR, ZMB, KEN).</w:t>
      </w:r>
    </w:p>
    <w:p>
      <w:pPr>
        <w:numPr>
          <w:ilvl w:val="0"/>
          <w:numId w:val="1015"/>
        </w:numPr>
        <w:pStyle w:val="Compact"/>
      </w:pPr>
      <w:r>
        <w:rPr>
          <w:bCs/>
          <w:b/>
        </w:rPr>
        <w:t xml:space="preserve">Abordabilité au regard des seuils MTF</w:t>
      </w:r>
      <w:r>
        <w:t xml:space="preserve"> </w:t>
      </w:r>
      <w:r>
        <w:t xml:space="preserve">(365 kWh/an ; 10 USD/mois) : MWI, ZMB, TCD. Il faut aussi simuler l’effet des hausses annoncées (GIN +97 % ; ETH ×4 à ×6 [S] ; RWA +45 % résidentiel).</w:t>
      </w:r>
    </w:p>
    <w:p>
      <w:pPr>
        <w:numPr>
          <w:ilvl w:val="0"/>
          <w:numId w:val="1015"/>
        </w:numPr>
        <w:pStyle w:val="Compact"/>
      </w:pPr>
      <w:r>
        <w:rPr>
          <w:bCs/>
          <w:b/>
        </w:rPr>
        <w:t xml:space="preserve">Équité territoriale</w:t>
      </w:r>
      <w:r>
        <w:t xml:space="preserve"> </w:t>
      </w:r>
      <w:r>
        <w:t xml:space="preserve">: péréquation contre tarifs des mini-réseaux (COD, SEN, GMB, KEN, BFA) ; frais de raccordement (COG, GAB, GMB, BDI) ; écarts urbain/rural ; dimension de genre (MWI, SLE).</w:t>
      </w:r>
    </w:p>
    <w:p>
      <w:pPr>
        <w:numPr>
          <w:ilvl w:val="0"/>
          <w:numId w:val="1015"/>
        </w:numPr>
        <w:pStyle w:val="Compact"/>
      </w:pPr>
      <w:r>
        <w:rPr>
          <w:bCs/>
          <w:b/>
        </w:rPr>
        <w:t xml:space="preserve">Charges parafiscales et transferts de risque</w:t>
      </w:r>
      <w:r>
        <w:t xml:space="preserve"> </w:t>
      </w:r>
      <w:r>
        <w:t xml:space="preserve">sur la facture : 9 % au Gabon, prélèvements au Kenya, indexation au change en UGA et ZWE.</w:t>
      </w:r>
    </w:p>
    <w:bookmarkEnd w:id="42"/>
    <w:bookmarkStart w:id="43" w:name="pays-cas-détude-recommandés-e"/>
    <w:p>
      <w:pPr>
        <w:pStyle w:val="Heading2"/>
      </w:pPr>
      <w:r>
        <w:t xml:space="preserve">5.4 Pays « cas d’étude » recommandés [E]</w:t>
      </w:r>
    </w:p>
    <w:p>
      <w:pPr>
        <w:pStyle w:val="FirstParagraph"/>
      </w:pPr>
      <w:r>
        <w:rPr>
          <w:bCs/>
          <w:b/>
        </w:rPr>
        <w:t xml:space="preserve">Noyau (8 pays)</w:t>
      </w:r>
    </w:p>
    <w:tbl>
      <w:tblPr>
        <w:tblStyle w:val="Table"/>
        <w:tblW w:type="dxa" w:w="14570"/>
        <w:tblLook w:firstRow="1" w:lastRow="0" w:firstColumn="0" w:lastColumn="0" w:noHBand="0" w:noVBand="0" w:val="0020"/>
        <w:jc w:val="start"/>
      </w:tblPr>
      <w:tblGrid>
        <w:gridCol w:w="2177"/>
        <w:gridCol w:w="12392"/>
      </w:tblGrid>
      <w:tr>
        <w:trPr>
          <w:tblHeader w:val="true"/>
        </w:trPr>
        <w:tc>
          <w:tcPr>
            <w:tcW w:w="2177" w:type="dxa"/>
          </w:tcPr>
          <w:tcPr/>
          <w:p>
            <w:pPr>
              <w:pStyle w:val="Compact"/>
              <w:jc w:val="left"/>
            </w:pPr>
            <w:r>
              <w:t xml:space="preserve">Pays</w:t>
            </w:r>
          </w:p>
        </w:tc>
        <w:tc>
          <w:tcPr>
            <w:tcW w:w="12392" w:type="dxa"/>
          </w:tcPr>
          <w:tcPr/>
          <w:p>
            <w:pPr>
              <w:pStyle w:val="Compact"/>
              <w:jc w:val="left"/>
            </w:pPr>
            <w:r>
              <w:t xml:space="preserve">Pourquoi</w:t>
            </w:r>
          </w:p>
        </w:tc>
      </w:tr>
      <w:tr>
        <w:tc>
          <w:tcPr>
            <w:tcW w:w="2177" w:type="dxa"/>
          </w:tcPr>
          <w:tcPr/>
          <w:p>
            <w:pPr>
              <w:pStyle w:val="Compact"/>
              <w:jc w:val="left"/>
            </w:pPr>
            <w:r>
              <w:t xml:space="preserve">Sénégal</w:t>
            </w:r>
          </w:p>
        </w:tc>
        <w:tc>
          <w:tcPr>
            <w:tcW w:w="12392" w:type="dxa"/>
          </w:tcPr>
          <w:tcPr/>
          <w:p>
            <w:pPr>
              <w:pStyle w:val="Compact"/>
              <w:jc w:val="left"/>
            </w:pPr>
            <w:r>
              <w:t xml:space="preserve">Diagnostic tarifaire le plus explicite (72 %, 34 %, 30 %), compensation budgétaire et retards, inégalité d’accès par décile, filialisation, rapport d’avancement disponible (cf. SEN).</w:t>
            </w:r>
          </w:p>
        </w:tc>
      </w:tr>
      <w:tr>
        <w:tc>
          <w:tcPr>
            <w:tcW w:w="2177" w:type="dxa"/>
          </w:tcPr>
          <w:tcPr/>
          <w:p>
            <w:pPr>
              <w:pStyle w:val="Compact"/>
              <w:jc w:val="left"/>
            </w:pPr>
            <w:r>
              <w:t xml:space="preserve">Côte d’Ivoire (+ Togo en binôme)</w:t>
            </w:r>
          </w:p>
        </w:tc>
        <w:tc>
          <w:tcPr>
            <w:tcW w:w="12392" w:type="dxa"/>
          </w:tcPr>
          <w:tcPr/>
          <w:p>
            <w:pPr>
              <w:pStyle w:val="Compact"/>
              <w:jc w:val="left"/>
            </w:pPr>
            <w:r>
              <w:t xml:space="preserve">Concession privée historique (CIE), forte hausse de la dette envers les IPP, tarif social existant ; le Togo apporte un coût et un tarif chiffrés et permet de tester la fiabilité des données copiées (cf. CIV, TGO).</w:t>
            </w:r>
          </w:p>
        </w:tc>
      </w:tr>
      <w:tr>
        <w:tc>
          <w:tcPr>
            <w:tcW w:w="2177" w:type="dxa"/>
          </w:tcPr>
          <w:tcPr/>
          <w:p>
            <w:pPr>
              <w:pStyle w:val="Compact"/>
              <w:jc w:val="left"/>
            </w:pPr>
            <w:r>
              <w:t xml:space="preserve">Ghana</w:t>
            </w:r>
          </w:p>
        </w:tc>
        <w:tc>
          <w:tcPr>
            <w:tcW w:w="12392" w:type="dxa"/>
          </w:tcPr>
          <w:tcPr/>
          <w:p>
            <w:pPr>
              <w:pStyle w:val="Compact"/>
              <w:jc w:val="left"/>
            </w:pPr>
            <w:r>
              <w:t xml:space="preserve">Concession de la distribution ECG en 2026, arriérés de 2,1 Md USD, réforme lifeline → LEAP : couvre les trois phases (cf. GHA).</w:t>
            </w:r>
          </w:p>
        </w:tc>
      </w:tr>
      <w:tr>
        <w:tc>
          <w:tcPr>
            <w:tcW w:w="2177" w:type="dxa"/>
          </w:tcPr>
          <w:tcPr/>
          <w:p>
            <w:pPr>
              <w:pStyle w:val="Compact"/>
              <w:jc w:val="left"/>
            </w:pPr>
            <w:r>
              <w:t xml:space="preserve">Nigeria</w:t>
            </w:r>
          </w:p>
        </w:tc>
        <w:tc>
          <w:tcPr>
            <w:tcW w:w="12392" w:type="dxa"/>
          </w:tcPr>
          <w:tcPr/>
          <w:p>
            <w:pPr>
              <w:pStyle w:val="Compact"/>
              <w:jc w:val="left"/>
            </w:pPr>
            <w:r>
              <w:t xml:space="preserve">Seul secteur privatisé, subventions régressives chiffrées, subvention plate transitoire, décentralisation tarifaire vers les États (cf. NGA).</w:t>
            </w:r>
          </w:p>
        </w:tc>
      </w:tr>
      <w:tr>
        <w:tc>
          <w:tcPr>
            <w:tcW w:w="2177" w:type="dxa"/>
          </w:tcPr>
          <w:tcPr/>
          <w:p>
            <w:pPr>
              <w:pStyle w:val="Compact"/>
              <w:jc w:val="left"/>
            </w:pPr>
            <w:r>
              <w:t xml:space="preserve">Éthiopie</w:t>
            </w:r>
          </w:p>
        </w:tc>
        <w:tc>
          <w:tcPr>
            <w:tcW w:w="12392" w:type="dxa"/>
          </w:tcPr>
          <w:tcPr/>
          <w:p>
            <w:pPr>
              <w:pStyle w:val="Compact"/>
              <w:jc w:val="left"/>
            </w:pPr>
            <w:r>
              <w:t xml:space="preserve">Choc tarifaire le plus fort (×4 à ×6 [S]) et protection quasi non financée : cas limite pour la phase 4 (cf. ETH).</w:t>
            </w:r>
          </w:p>
        </w:tc>
      </w:tr>
      <w:tr>
        <w:tc>
          <w:tcPr>
            <w:tcW w:w="2177" w:type="dxa"/>
          </w:tcPr>
          <w:tcPr/>
          <w:p>
            <w:pPr>
              <w:pStyle w:val="Compact"/>
              <w:jc w:val="left"/>
            </w:pPr>
            <w:r>
              <w:t xml:space="preserve">Rwanda</w:t>
            </w:r>
          </w:p>
        </w:tc>
        <w:tc>
          <w:tcPr>
            <w:tcW w:w="12392" w:type="dxa"/>
          </w:tcPr>
          <w:tcPr/>
          <w:p>
            <w:pPr>
              <w:pStyle w:val="Compact"/>
              <w:jc w:val="left"/>
            </w:pPr>
            <w:r>
              <w:t xml:space="preserve">Hausse réalisée en oct. 2025 avec lifeline élargi : quasi-expérience pour mesurer l’effet d’une hausse accompagnée (cf. RWA).</w:t>
            </w:r>
          </w:p>
        </w:tc>
      </w:tr>
      <w:tr>
        <w:tc>
          <w:tcPr>
            <w:tcW w:w="2177" w:type="dxa"/>
          </w:tcPr>
          <w:tcPr/>
          <w:p>
            <w:pPr>
              <w:pStyle w:val="Compact"/>
              <w:jc w:val="left"/>
            </w:pPr>
            <w:r>
              <w:t xml:space="preserve">Cameroun</w:t>
            </w:r>
          </w:p>
        </w:tc>
        <w:tc>
          <w:tcPr>
            <w:tcW w:w="12392" w:type="dxa"/>
          </w:tcPr>
          <w:tcPr/>
          <w:p>
            <w:pPr>
              <w:pStyle w:val="Compact"/>
              <w:jc w:val="left"/>
            </w:pPr>
            <w:r>
              <w:t xml:space="preserve">Gel BT depuis 2012, compensation chiffrée, sortie d’Actis : économie politique d’un retour au public (cf. CMR).</w:t>
            </w:r>
          </w:p>
        </w:tc>
      </w:tr>
      <w:tr>
        <w:tc>
          <w:tcPr>
            <w:tcW w:w="2177" w:type="dxa"/>
          </w:tcPr>
          <w:tcPr/>
          <w:p>
            <w:pPr>
              <w:pStyle w:val="Compact"/>
              <w:jc w:val="left"/>
            </w:pPr>
            <w:r>
              <w:t xml:space="preserve">Malawi</w:t>
            </w:r>
          </w:p>
        </w:tc>
        <w:tc>
          <w:tcPr>
            <w:tcW w:w="12392" w:type="dxa"/>
          </w:tcPr>
          <w:tcPr/>
          <w:p>
            <w:pPr>
              <w:pStyle w:val="Compact"/>
              <w:jc w:val="left"/>
            </w:pPr>
            <w:r>
              <w:t xml:space="preserve">Écart tarif / coût chiffré, mécanisme automatique non appliqué, choc de dévaluation, données d’abordabilité, rapport d’avancement (cf. MWI).</w:t>
            </w:r>
          </w:p>
        </w:tc>
      </w:tr>
    </w:tbl>
    <w:p>
      <w:pPr>
        <w:pStyle w:val="BodyText"/>
      </w:pPr>
      <w:r>
        <w:rPr>
          <w:bCs/>
          <w:b/>
        </w:rPr>
        <w:t xml:space="preserve">Compléments (5 pays)</w:t>
      </w:r>
      <w:r>
        <w:t xml:space="preserve"> </w:t>
      </w:r>
      <w:r>
        <w:t xml:space="preserve">-</w:t>
      </w:r>
      <w:r>
        <w:t xml:space="preserve"> </w:t>
      </w:r>
      <w:r>
        <w:rPr>
          <w:bCs/>
          <w:b/>
        </w:rPr>
        <w:t xml:space="preserve">Guinée</w:t>
      </w:r>
      <w:r>
        <w:t xml:space="preserve"> </w:t>
      </w:r>
      <w:r>
        <w:t xml:space="preserve">: seule trajectoire annuelle chiffrée (+12 %/an) ; vérifier son application (cf. GIN).</w:t>
      </w:r>
      <w:r>
        <w:t xml:space="preserve"> </w:t>
      </w:r>
      <w:r>
        <w:t xml:space="preserve">-</w:t>
      </w:r>
      <w:r>
        <w:t xml:space="preserve"> </w:t>
      </w:r>
      <w:r>
        <w:rPr>
          <w:bCs/>
          <w:b/>
        </w:rPr>
        <w:t xml:space="preserve">Congo</w:t>
      </w:r>
      <w:r>
        <w:t xml:space="preserve"> </w:t>
      </w:r>
      <w:r>
        <w:t xml:space="preserve">: tarif gelé depuis 1994, structure régressive, tarif social promis pour déc. 2025 : test de crédibilité (cf. COG).</w:t>
      </w:r>
      <w:r>
        <w:t xml:space="preserve"> </w:t>
      </w:r>
      <w:r>
        <w:t xml:space="preserve">-</w:t>
      </w:r>
      <w:r>
        <w:t xml:space="preserve"> </w:t>
      </w:r>
      <w:r>
        <w:rPr>
          <w:bCs/>
          <w:b/>
        </w:rPr>
        <w:t xml:space="preserve">Sierra Leone</w:t>
      </w:r>
      <w:r>
        <w:t xml:space="preserve"> </w:t>
      </w:r>
      <w:r>
        <w:t xml:space="preserve">: pertes &gt; 50 %, concession OM&amp;M en 2026, subventions supérieures aux recettes (cf. SLE).</w:t>
      </w:r>
      <w:r>
        <w:t xml:space="preserve"> </w:t>
      </w:r>
      <w:r>
        <w:t xml:space="preserve">-</w:t>
      </w:r>
      <w:r>
        <w:t xml:space="preserve"> </w:t>
      </w:r>
      <w:r>
        <w:rPr>
          <w:bCs/>
          <w:b/>
        </w:rPr>
        <w:t xml:space="preserve">Ouganda</w:t>
      </w:r>
      <w:r>
        <w:t xml:space="preserve"> </w:t>
      </w:r>
      <w:r>
        <w:t xml:space="preserve">: retour au public de la distribution, lifeline 2027, indexation au change (cf. UGA).</w:t>
      </w:r>
      <w:r>
        <w:t xml:space="preserve"> </w:t>
      </w:r>
      <w:r>
        <w:t xml:space="preserve">-</w:t>
      </w:r>
      <w:r>
        <w:t xml:space="preserve"> </w:t>
      </w:r>
      <w:r>
        <w:rPr>
          <w:bCs/>
          <w:b/>
        </w:rPr>
        <w:t xml:space="preserve">Namibie</w:t>
      </w:r>
      <w:r>
        <w:t xml:space="preserve"> </w:t>
      </w:r>
      <w:r>
        <w:t xml:space="preserve">: contrepoint d’un pays « déjà au coût » où l’enjeu est l’abordabilité (cf. NAM).</w:t>
      </w:r>
    </w:p>
    <w:p>
      <w:pPr>
        <w:pStyle w:val="BodyText"/>
      </w:pPr>
      <w:r>
        <w:t xml:space="preserve">Alternatives possibles : Botswana (blocage politique documenté), Kenya (retrait d’une révision tarifaire [S]), Zimbabwe (couverture des coûts en devises).</w:t>
      </w:r>
    </w:p>
    <w:p>
      <w:r>
        <w:pict>
          <v:rect style="width:0;height:1.5pt" o:hralign="center" o:hrstd="t" o:hr="t"/>
        </w:pict>
      </w:r>
    </w:p>
    <w:bookmarkEnd w:id="43"/>
    <w:bookmarkEnd w:id="44"/>
    <w:bookmarkStart w:id="45" w:name="limites-de-la-phase-1"/>
    <w:p>
      <w:pPr>
        <w:pStyle w:val="Heading1"/>
      </w:pPr>
      <w:r>
        <w:t xml:space="preserve">6. Limites de la phase 1</w:t>
      </w:r>
    </w:p>
    <w:p>
      <w:pPr>
        <w:numPr>
          <w:ilvl w:val="0"/>
          <w:numId w:val="1016"/>
        </w:numPr>
        <w:pStyle w:val="Compact"/>
      </w:pPr>
      <w:r>
        <w:rPr>
          <w:bCs/>
          <w:b/>
        </w:rPr>
        <w:t xml:space="preserve">Sources déclaratives.</w:t>
      </w:r>
      <w:r>
        <w:t xml:space="preserve"> </w:t>
      </w:r>
      <w:r>
        <w:t xml:space="preserve">Les fiches reposent presque entièrement sur les pactes, qui sont des documents d’intention, et sur des rapports d’avancement auto-déclarés par les CDMU. Rien n’a été vérifié sur le terrain ni dans les décisions des régulateurs. L’application effective des engagements datés de 2025-2026 est [?] pour la plupart des pays (COG, GHA, SLE, STP, COD…).</w:t>
      </w:r>
    </w:p>
    <w:p>
      <w:pPr>
        <w:numPr>
          <w:ilvl w:val="0"/>
          <w:numId w:val="1016"/>
        </w:numPr>
        <w:pStyle w:val="Compact"/>
      </w:pPr>
      <w:r>
        <w:rPr>
          <w:bCs/>
          <w:b/>
        </w:rPr>
        <w:t xml:space="preserve">Couverture inégale du suivi.</w:t>
      </w:r>
      <w:r>
        <w:t xml:space="preserve"> </w:t>
      </w:r>
      <w:r>
        <w:t xml:space="preserve">24 pays sur 36 n’ont pas de rapport d’avancement. Le taux de retard de 30 % [E] ne vaut que pour 12 pays de C1 et C2 et ne peut être extrapolé.</w:t>
      </w:r>
    </w:p>
    <w:p>
      <w:pPr>
        <w:numPr>
          <w:ilvl w:val="0"/>
          <w:numId w:val="1016"/>
        </w:numPr>
        <w:pStyle w:val="Compact"/>
      </w:pPr>
      <w:r>
        <w:rPr>
          <w:bCs/>
          <w:b/>
        </w:rPr>
        <w:t xml:space="preserve">Définitions non harmonisées</w:t>
      </w:r>
      <w:r>
        <w:t xml:space="preserve"> </w:t>
      </w:r>
      <w:r>
        <w:t xml:space="preserve">: accès, desserte ou connectivité ; pertes (rendement, ATC&amp;C, T&amp;D) ; couverture des coûts (OPEX, OPEX + dette, coût complet) ; devises et années différentes. Les comparaisons du tableau sont donc indicatives.</w:t>
      </w:r>
    </w:p>
    <w:p>
      <w:pPr>
        <w:numPr>
          <w:ilvl w:val="0"/>
          <w:numId w:val="1016"/>
        </w:numPr>
        <w:pStyle w:val="Compact"/>
      </w:pPr>
      <w:r>
        <w:rPr>
          <w:bCs/>
          <w:b/>
        </w:rPr>
        <w:t xml:space="preserve">Extraction PDF imparfaite.</w:t>
      </w:r>
      <w:r>
        <w:t xml:space="preserve"> </w:t>
      </w:r>
      <w:r>
        <w:t xml:space="preserve">Tableaux en colonnes mal extraits (SEN, CIV, BEN, ZWE, LSO, MRT, NER) : certaines attributions sont [E] ou [?] dans les fiches.</w:t>
      </w:r>
    </w:p>
    <w:p>
      <w:pPr>
        <w:numPr>
          <w:ilvl w:val="0"/>
          <w:numId w:val="1016"/>
        </w:numPr>
        <w:pStyle w:val="Compact"/>
      </w:pPr>
      <w:r>
        <w:rPr>
          <w:bCs/>
          <w:b/>
        </w:rPr>
        <w:t xml:space="preserve">Données tarifaires absentes</w:t>
      </w:r>
      <w:r>
        <w:t xml:space="preserve"> </w:t>
      </w:r>
      <w:r>
        <w:t xml:space="preserve">pour une large partie des pays : tarif moyen [?] dans environ la moitié des fiches ; aucune grille par tranche n’est reproduite ; montant des subventions souvent « N/A », « No data » ou « not available ».</w:t>
      </w:r>
    </w:p>
    <w:p>
      <w:pPr>
        <w:numPr>
          <w:ilvl w:val="0"/>
          <w:numId w:val="1016"/>
        </w:numPr>
        <w:pStyle w:val="Compact"/>
      </w:pPr>
      <w:r>
        <w:rPr>
          <w:bCs/>
          <w:b/>
        </w:rPr>
        <w:t xml:space="preserve">Fiches rédigées par lots.</w:t>
      </w:r>
      <w:r>
        <w:t xml:space="preserve"> </w:t>
      </w:r>
      <w:r>
        <w:t xml:space="preserve">Leurs comparaisons internes (« du lot ») ne valent pas pour l’ensemble. Le niveau de détail varie d’une fiche à l’autre.</w:t>
      </w:r>
    </w:p>
    <w:p>
      <w:pPr>
        <w:numPr>
          <w:ilvl w:val="0"/>
          <w:numId w:val="1016"/>
        </w:numPr>
        <w:pStyle w:val="Compact"/>
      </w:pPr>
      <w:r>
        <w:rPr>
          <w:bCs/>
          <w:b/>
        </w:rPr>
        <w:t xml:space="preserve">Sources secondaires</w:t>
      </w:r>
      <w:r>
        <w:t xml:space="preserve"> </w:t>
      </w:r>
      <w:r>
        <w:t xml:space="preserve">pour des faits clés : trajectoire tarifaire éthiopienne, retrait de la révision kényane, signature des pactes de C3 à l’AEF, présentation du Zimbabwe ; tous [S].</w:t>
      </w:r>
    </w:p>
    <w:p>
      <w:pPr>
        <w:numPr>
          <w:ilvl w:val="0"/>
          <w:numId w:val="1016"/>
        </w:numPr>
        <w:pStyle w:val="Compact"/>
      </w:pPr>
      <w:r>
        <w:rPr>
          <w:bCs/>
          <w:b/>
        </w:rPr>
        <w:t xml:space="preserve">Typologie et sélection des cas</w:t>
      </w:r>
      <w:r>
        <w:t xml:space="preserve"> </w:t>
      </w:r>
      <w:r>
        <w:t xml:space="preserve">: ce sont des jugements de l’auteur [E]. Les frontières 2a / 2b / 3 sont discutables pour SEN, CIV, BFA, GMB et MWI.</w:t>
      </w:r>
    </w:p>
    <w:p>
      <w:pPr>
        <w:numPr>
          <w:ilvl w:val="0"/>
          <w:numId w:val="1016"/>
        </w:numPr>
        <w:pStyle w:val="Compact"/>
      </w:pPr>
      <w:r>
        <w:rPr>
          <w:bCs/>
          <w:b/>
        </w:rPr>
        <w:t xml:space="preserve">Contradictions entre fiches et inventaire</w:t>
      </w:r>
      <w:r>
        <w:t xml:space="preserve">, non résolues en phase 1 :</w:t>
      </w:r>
    </w:p>
    <w:p>
      <w:pPr>
        <w:numPr>
          <w:ilvl w:val="1"/>
          <w:numId w:val="1017"/>
        </w:numPr>
        <w:pStyle w:val="Compact"/>
      </w:pPr>
      <w:r>
        <w:rPr>
          <w:bCs/>
          <w:b/>
        </w:rPr>
        <w:t xml:space="preserve">Mauritanie</w:t>
      </w:r>
      <w:r>
        <w:t xml:space="preserve"> </w:t>
      </w:r>
      <w:r>
        <w:t xml:space="preserve">: l’inventaire la classe en C1 (Dar es Salaam) [V] ; la fiche juge l’appartenance à la cohorte [?] (document daté déc. 2024).</w:t>
      </w:r>
    </w:p>
    <w:p>
      <w:pPr>
        <w:numPr>
          <w:ilvl w:val="1"/>
          <w:numId w:val="1017"/>
        </w:numPr>
        <w:pStyle w:val="Compact"/>
      </w:pPr>
      <w:r>
        <w:rPr>
          <w:bCs/>
          <w:b/>
        </w:rPr>
        <w:t xml:space="preserve">Lieu de présentation</w:t>
      </w:r>
      <w:r>
        <w:t xml:space="preserve"> </w:t>
      </w:r>
      <w:r>
        <w:t xml:space="preserve">: pour LBR, TZA et ZMB, Dar es Salaam est [E] dans les fiches mais [V] dans l’inventaire. Pour 12 pays de C2 (BEN, CMR, COG, GHA, GMB, SLE, STP, TGO [?] ; BWA, ETH, KEN, MOZ [E]), l’événement de New York est non identifié ou inféré dans les fiches, alors que l’inventaire le confirme [V] par le communiqué BM du 24/09/2025. BFA, CAF et GAB : AEF [?] ou [S] dans les fiches contre [V] dans l’inventaire.</w:t>
      </w:r>
    </w:p>
    <w:p>
      <w:pPr>
        <w:numPr>
          <w:ilvl w:val="1"/>
          <w:numId w:val="1017"/>
        </w:numPr>
        <w:pStyle w:val="Compact"/>
      </w:pPr>
      <w:r>
        <w:rPr>
          <w:bCs/>
          <w:b/>
        </w:rPr>
        <w:t xml:space="preserve">Namibie</w:t>
      </w:r>
      <w:r>
        <w:t xml:space="preserve"> </w:t>
      </w:r>
      <w:r>
        <w:t xml:space="preserve">: la fiche ne retient que « déc. 2025 » ; l’inventaire (D2) signale aussi l’endossement à New York en sept. 2025.</w:t>
      </w:r>
    </w:p>
    <w:p>
      <w:pPr>
        <w:numPr>
          <w:ilvl w:val="1"/>
          <w:numId w:val="1017"/>
        </w:numPr>
        <w:pStyle w:val="Compact"/>
      </w:pPr>
      <w:r>
        <w:rPr>
          <w:bCs/>
          <w:b/>
        </w:rPr>
        <w:t xml:space="preserve">Kenya et Ghana</w:t>
      </w:r>
      <w:r>
        <w:t xml:space="preserve"> </w:t>
      </w:r>
      <w:r>
        <w:t xml:space="preserve">: la presse citée par la fiche ZWE [S] les dit présentés au même forum de Johannesburg (oct. 2025) que le Zimbabwe, ce qui contredit l’inventaire et les fiches KEN et GHA (sept. 2025). Il s’agit peut-être d’une re-présentation, comme pour l’Éthiopie [E].</w:t>
      </w:r>
    </w:p>
    <w:p>
      <w:pPr>
        <w:numPr>
          <w:ilvl w:val="1"/>
          <w:numId w:val="1017"/>
        </w:numPr>
        <w:pStyle w:val="Compact"/>
      </w:pPr>
      <w:r>
        <w:rPr>
          <w:bCs/>
          <w:b/>
        </w:rPr>
        <w:t xml:space="preserve">Éthiopie</w:t>
      </w:r>
      <w:r>
        <w:t xml:space="preserve"> </w:t>
      </w:r>
      <w:r>
        <w:t xml:space="preserve">: l’inventaire (D6) signale une re-présentation en mars 2026 au Cap ; la fiche ETH n’en parle pas.</w:t>
      </w:r>
    </w:p>
    <w:p>
      <w:pPr>
        <w:numPr>
          <w:ilvl w:val="1"/>
          <w:numId w:val="1017"/>
        </w:numPr>
        <w:pStyle w:val="Compact"/>
      </w:pPr>
      <w:r>
        <w:rPr>
          <w:bCs/>
          <w:b/>
        </w:rPr>
        <w:t xml:space="preserve">Togo, 84,99 %</w:t>
      </w:r>
      <w:r>
        <w:t xml:space="preserve"> </w:t>
      </w:r>
      <w:r>
        <w:t xml:space="preserve">: la fiche laisse la copie « à vérifier » [?] ; selon le commanditaire, l’identité est vérifiée dans les deux PDF. La synthèse retient l’identité comme établie et la valeur togolaise comme non fiable.</w:t>
      </w:r>
    </w:p>
    <w:p>
      <w:pPr>
        <w:numPr>
          <w:ilvl w:val="1"/>
          <w:numId w:val="1017"/>
        </w:numPr>
        <w:pStyle w:val="Compact"/>
      </w:pPr>
      <w:r>
        <w:rPr>
          <w:bCs/>
          <w:b/>
        </w:rPr>
        <w:t xml:space="preserve">Taille de la cohorte 2</w:t>
      </w:r>
      <w:r>
        <w:t xml:space="preserve"> </w:t>
      </w:r>
      <w:r>
        <w:t xml:space="preserve">: 17 ou 18 pays (D5, repris par ZWE).</w:t>
      </w:r>
    </w:p>
    <w:p>
      <w:pPr>
        <w:numPr>
          <w:ilvl w:val="0"/>
          <w:numId w:val="1016"/>
        </w:numPr>
        <w:pStyle w:val="Compact"/>
      </w:pPr>
      <w:r>
        <w:rPr>
          <w:bCs/>
          <w:b/>
        </w:rPr>
        <w:t xml:space="preserve">Contradictions entre fiches</w:t>
      </w:r>
      <w:r>
        <w:t xml:space="preserve"> </w:t>
      </w:r>
      <w:r>
        <w:t xml:space="preserve">:</w:t>
      </w:r>
    </w:p>
    <w:p>
      <w:pPr>
        <w:numPr>
          <w:ilvl w:val="1"/>
          <w:numId w:val="1018"/>
        </w:numPr>
        <w:pStyle w:val="Compact"/>
      </w:pPr>
      <w:r>
        <w:t xml:space="preserve">Interconnexion Cameroun-Tchad : fin 2028 selon CMR, 2027 selon TCD (cf. CMR, TCD).</w:t>
      </w:r>
    </w:p>
    <w:p>
      <w:pPr>
        <w:numPr>
          <w:ilvl w:val="1"/>
          <w:numId w:val="1018"/>
        </w:numPr>
        <w:pStyle w:val="Compact"/>
      </w:pPr>
      <w:r>
        <w:t xml:space="preserve">Mozambique-Malawi (MOMA) : +70 MW d’exportations selon MOZ, contre un contrat d’import ferme de 50 MW selon MWI (à rapprocher).</w:t>
      </w:r>
    </w:p>
    <w:p>
      <w:pPr>
        <w:numPr>
          <w:ilvl w:val="1"/>
          <w:numId w:val="1018"/>
        </w:numPr>
        <w:pStyle w:val="Compact"/>
      </w:pPr>
      <w:r>
        <w:t xml:space="preserve">Nigeria-Niger : exportations de 180 MW vers le Niger selon NGA, alors que NER signale la suspension de l’approvisionnement nigérian en 2023 (décalage temporel probable [E]).</w:t>
      </w:r>
    </w:p>
    <w:bookmarkEnd w:id="45"/>
    <w:bookmarkStart w:id="52" w:name="annexe-a-inventaire-des-pactes"/>
    <w:p>
      <w:pPr>
        <w:pStyle w:val="Heading1"/>
      </w:pPr>
      <w:r>
        <w:t xml:space="preserve">Annexe A — Inventaire des pactes</w:t>
      </w:r>
    </w:p>
    <w:bookmarkStart w:id="51" w:name="Xac2dc94b50bb9efaedecab6caeba6984be6f2b3"/>
    <w:p>
      <w:pPr>
        <w:pStyle w:val="Heading2"/>
      </w:pPr>
      <w:r>
        <w:t xml:space="preserve">Inventaire des Pactes nationaux de l’énergie — Mission 300</w:t>
      </w:r>
    </w:p>
    <w:p>
      <w:pPr>
        <w:pStyle w:val="BlockText"/>
      </w:pPr>
      <w:r>
        <w:t xml:space="preserve">Phase 1 — état au 18 octobre 2026. Rédigé à partir des pages officielles Banque mondiale (BM), des communiqués BM, des rapports d’avancement des pactes et de la presse.</w:t>
      </w:r>
      <w:r>
        <w:t xml:space="preserve"> </w:t>
      </w:r>
      <w:r>
        <w:t xml:space="preserve">Statuts :</w:t>
      </w:r>
      <w:r>
        <w:t xml:space="preserve"> </w:t>
      </w:r>
      <w:r>
        <w:rPr>
          <w:bCs/>
          <w:b/>
        </w:rPr>
        <w:t xml:space="preserve">[V]</w:t>
      </w:r>
      <w:r>
        <w:t xml:space="preserve"> </w:t>
      </w:r>
      <w:r>
        <w:t xml:space="preserve">vérifié sur source officielle (page BM, communiqué BM ou document du pacte, PDF testé en HTTP 200) ·</w:t>
      </w:r>
      <w:r>
        <w:t xml:space="preserve"> </w:t>
      </w:r>
      <w:r>
        <w:rPr>
          <w:bCs/>
          <w:b/>
        </w:rPr>
        <w:t xml:space="preserve">[S]</w:t>
      </w:r>
      <w:r>
        <w:t xml:space="preserve"> </w:t>
      </w:r>
      <w:r>
        <w:t xml:space="preserve">source secondaire uniquement (presse, blog) ·</w:t>
      </w:r>
      <w:r>
        <w:t xml:space="preserve"> </w:t>
      </w:r>
      <w:r>
        <w:rPr>
          <w:bCs/>
          <w:b/>
        </w:rPr>
        <w:t xml:space="preserve">[?]</w:t>
      </w:r>
      <w:r>
        <w:t xml:space="preserve"> </w:t>
      </w:r>
      <w:r>
        <w:t xml:space="preserve">non confirmé.</w:t>
      </w:r>
      <w:r>
        <w:t xml:space="preserve"> </w:t>
      </w:r>
      <w:r>
        <w:t xml:space="preserve">Méthode de vérification des URL : chaque URL de PDF ci-dessous a été testée par requête HTTP le 18/10/2026 (code 200,</w:t>
      </w:r>
      <w:r>
        <w:t xml:space="preserve"> </w:t>
      </w:r>
      <w:r>
        <w:rPr>
          <w:rStyle w:val="VerbatimChar"/>
        </w:rPr>
        <w:t xml:space="preserve">application/pdf</w:t>
      </w:r>
      <w:r>
        <w:t xml:space="preserve">). Préfixe commun abrégé</w:t>
      </w:r>
      <w:r>
        <w:t xml:space="preserve"> </w:t>
      </w:r>
      <w:r>
        <w:rPr>
          <w:rStyle w:val="VerbatimChar"/>
          <w:bCs/>
          <w:b/>
        </w:rPr>
        <w:t xml:space="preserve">{BM}</w:t>
      </w:r>
      <w:r>
        <w:t xml:space="preserve"> </w:t>
      </w:r>
      <w:r>
        <w:t xml:space="preserve">=</w:t>
      </w:r>
      <w:r>
        <w:t xml:space="preserve"> </w:t>
      </w:r>
      <w:r>
        <w:rPr>
          <w:rStyle w:val="VerbatimChar"/>
        </w:rPr>
        <w:t xml:space="preserve">https://www.worldbank.org/content/dam/theworldbankgroupasset/document/2026/m300-energy-compacts/</w:t>
      </w:r>
    </w:p>
    <w:bookmarkStart w:id="46" w:name="synthèse"/>
    <w:p>
      <w:pPr>
        <w:pStyle w:val="Heading3"/>
      </w:pPr>
      <w:r>
        <w:t xml:space="preserve">Synthèse</w:t>
      </w:r>
    </w:p>
    <w:p>
      <w:pPr>
        <w:numPr>
          <w:ilvl w:val="0"/>
          <w:numId w:val="1019"/>
        </w:numPr>
        <w:pStyle w:val="Compact"/>
      </w:pPr>
      <w:r>
        <w:rPr>
          <w:bCs/>
          <w:b/>
        </w:rPr>
        <w:t xml:space="preserve">35 pays</w:t>
      </w:r>
      <w:r>
        <w:t xml:space="preserve"> </w:t>
      </w:r>
      <w:r>
        <w:t xml:space="preserve">listés sur la page officielle BM des pactes (version anglaise) [1][2]</w:t>
      </w:r>
      <w:r>
        <w:t xml:space="preserve"> </w:t>
      </w:r>
      <w:r>
        <w:rPr>
          <w:bCs/>
          <w:b/>
        </w:rPr>
        <w:t xml:space="preserve">+ Djibouti</w:t>
      </w:r>
      <w:r>
        <w:t xml:space="preserve">, dont le PDF du pacte est hébergé sur le même serveur BM mais n’est pas listé sur la page [V, voir divergence D3]. Total retenu :</w:t>
      </w:r>
      <w:r>
        <w:t xml:space="preserve"> </w:t>
      </w:r>
      <w:r>
        <w:rPr>
          <w:bCs/>
          <w:b/>
        </w:rPr>
        <w:t xml:space="preserve">36 pactes</w:t>
      </w:r>
      <w:r>
        <w:t xml:space="preserve"> </w:t>
      </w:r>
      <w:r>
        <w:t xml:space="preserve">(36 pays), ce qui correspond au chiffre « 36 countries » de la fiche d’information Mission 300 de juin 2026 [9] et au calcul « 30 lancés + 6 attendus » du communiqué BM du 16 juin 2026 [5].</w:t>
      </w:r>
    </w:p>
    <w:p>
      <w:pPr>
        <w:numPr>
          <w:ilvl w:val="0"/>
          <w:numId w:val="1019"/>
        </w:numPr>
        <w:pStyle w:val="Compact"/>
      </w:pPr>
      <w:r>
        <w:t xml:space="preserve">Calendrier réel : 12 en janv. 2025 (Dar es Salaam) · 17 en sept. 2025 (New York) · 1 en oct. 2025 (Zimbabwe, Johannesburg) · 6 en juin 2026 (Africa Energy Forum, Cape Town). La Namibie, présentée à New York, porte la date de déc. 2025 sur la page BM (lancement national à Windhoek).</w:t>
      </w:r>
    </w:p>
    <w:p>
      <w:pPr>
        <w:numPr>
          <w:ilvl w:val="0"/>
          <w:numId w:val="1019"/>
        </w:numPr>
        <w:pStyle w:val="Compact"/>
      </w:pPr>
      <w:r>
        <w:rPr>
          <w:bCs/>
          <w:b/>
        </w:rPr>
        <w:t xml:space="preserve">Pays nouveau (absent des listes de départ) : Zimbabwe</w:t>
      </w:r>
      <w:r>
        <w:t xml:space="preserve"> </w:t>
      </w:r>
      <w:r>
        <w:t xml:space="preserve">— c’est le pays « non identifié » du forum d’octobre 2025 (Africa Capital Markets Forum, Johannesburg) [8].</w:t>
      </w:r>
    </w:p>
    <w:p>
      <w:pPr>
        <w:numPr>
          <w:ilvl w:val="0"/>
          <w:numId w:val="1019"/>
        </w:numPr>
        <w:pStyle w:val="Compact"/>
      </w:pPr>
      <w:r>
        <w:t xml:space="preserve">Aucun pacte postérieur à juin 2026 n’a été trouvé (recherches jusqu’au 18/10/2026).</w:t>
      </w:r>
    </w:p>
    <w:bookmarkEnd w:id="46"/>
    <w:bookmarkStart w:id="47" w:name="tableau-dinventaire"/>
    <w:p>
      <w:pPr>
        <w:pStyle w:val="Heading3"/>
      </w:pPr>
      <w:r>
        <w:t xml:space="preserve">Tableau d’inventaire</w:t>
      </w:r>
    </w:p>
    <w:tbl>
      <w:tblPr>
        <w:tblStyle w:val="Table"/>
        <w:tblW w:type="dxa" w:w="14570"/>
        <w:tblLook w:firstRow="1" w:lastRow="0" w:firstColumn="0" w:lastColumn="0" w:noHBand="0" w:noVBand="0" w:val="0020"/>
        <w:jc w:val="start"/>
      </w:tblPr>
      <w:tblGrid>
        <w:gridCol w:w="697"/>
        <w:gridCol w:w="1406"/>
        <w:gridCol w:w="705"/>
        <w:gridCol w:w="2644"/>
        <w:gridCol w:w="2210"/>
        <w:gridCol w:w="4645"/>
        <w:gridCol w:w="937"/>
        <w:gridCol w:w="1322"/>
      </w:tblGrid>
      <w:tr>
        <w:trPr>
          <w:tblHeader w:val="true"/>
        </w:trPr>
        <w:tc>
          <w:tcPr>
            <w:tcW w:w="697" w:type="dxa"/>
          </w:tcPr>
          <w:tcPr/>
          <w:p>
            <w:pPr>
              <w:pStyle w:val="Compact"/>
              <w:jc w:val="left"/>
            </w:pPr>
            <w:r>
              <w:t xml:space="preserve">#</w:t>
            </w:r>
          </w:p>
        </w:tc>
        <w:tc>
          <w:tcPr>
            <w:tcW w:w="1406" w:type="dxa"/>
          </w:tcPr>
          <w:tcPr/>
          <w:p>
            <w:pPr>
              <w:pStyle w:val="Compact"/>
              <w:jc w:val="left"/>
            </w:pPr>
            <w:r>
              <w:t xml:space="preserve">Pays</w:t>
            </w:r>
          </w:p>
        </w:tc>
        <w:tc>
          <w:tcPr>
            <w:tcW w:w="705" w:type="dxa"/>
          </w:tcPr>
          <w:tcPr/>
          <w:p>
            <w:pPr>
              <w:pStyle w:val="Compact"/>
              <w:jc w:val="left"/>
            </w:pPr>
            <w:r>
              <w:t xml:space="preserve">ISO3</w:t>
            </w:r>
          </w:p>
        </w:tc>
        <w:tc>
          <w:tcPr>
            <w:tcW w:w="2644" w:type="dxa"/>
          </w:tcPr>
          <w:tcPr/>
          <w:p>
            <w:pPr>
              <w:pStyle w:val="Compact"/>
              <w:jc w:val="left"/>
            </w:pPr>
            <w:r>
              <w:t xml:space="preserve">Cohorte / date</w:t>
            </w:r>
          </w:p>
        </w:tc>
        <w:tc>
          <w:tcPr>
            <w:tcW w:w="2210" w:type="dxa"/>
          </w:tcPr>
          <w:tcPr/>
          <w:p>
            <w:pPr>
              <w:pStyle w:val="Compact"/>
              <w:jc w:val="left"/>
            </w:pPr>
            <w:r>
              <w:t xml:space="preserve">Lieu</w:t>
            </w:r>
          </w:p>
        </w:tc>
        <w:tc>
          <w:tcPr>
            <w:tcW w:w="4645" w:type="dxa"/>
          </w:tcPr>
          <w:tcPr/>
          <w:p>
            <w:pPr>
              <w:pStyle w:val="Compact"/>
              <w:jc w:val="left"/>
            </w:pPr>
            <w:r>
              <w:t xml:space="preserve">URL du document du pacte</w:t>
            </w:r>
          </w:p>
        </w:tc>
        <w:tc>
          <w:tcPr>
            <w:tcW w:w="937" w:type="dxa"/>
          </w:tcPr>
          <w:tcPr/>
          <w:p>
            <w:pPr>
              <w:pStyle w:val="Compact"/>
              <w:jc w:val="left"/>
            </w:pPr>
            <w:r>
              <w:t xml:space="preserve">Statut</w:t>
            </w:r>
          </w:p>
        </w:tc>
        <w:tc>
          <w:tcPr>
            <w:tcW w:w="1322" w:type="dxa"/>
          </w:tcPr>
          <w:tcPr/>
          <w:p>
            <w:pPr>
              <w:pStyle w:val="Compact"/>
              <w:jc w:val="left"/>
            </w:pPr>
            <w:r>
              <w:t xml:space="preserve">Sources</w:t>
            </w:r>
          </w:p>
        </w:tc>
      </w:tr>
      <w:tr>
        <w:tc>
          <w:tcPr>
            <w:tcW w:w="697" w:type="dxa"/>
          </w:tcPr>
          <w:tcPr/>
          <w:p>
            <w:pPr>
              <w:pStyle w:val="Compact"/>
              <w:jc w:val="left"/>
            </w:pPr>
            <w:r>
              <w:t xml:space="preserve">1</w:t>
            </w:r>
          </w:p>
        </w:tc>
        <w:tc>
          <w:tcPr>
            <w:tcW w:w="1406" w:type="dxa"/>
          </w:tcPr>
          <w:tcPr/>
          <w:p>
            <w:pPr>
              <w:pStyle w:val="Compact"/>
              <w:jc w:val="left"/>
            </w:pPr>
            <w:r>
              <w:t xml:space="preserve">Tchad</w:t>
            </w:r>
          </w:p>
        </w:tc>
        <w:tc>
          <w:tcPr>
            <w:tcW w:w="705" w:type="dxa"/>
          </w:tcPr>
          <w:tcPr/>
          <w:p>
            <w:pPr>
              <w:pStyle w:val="Compact"/>
              <w:jc w:val="left"/>
            </w:pPr>
            <w:r>
              <w:t xml:space="preserve">TCD</w:t>
            </w:r>
          </w:p>
        </w:tc>
        <w:tc>
          <w:tcPr>
            <w:tcW w:w="2644" w:type="dxa"/>
          </w:tcPr>
          <w:tcPr/>
          <w:p>
            <w:pPr>
              <w:pStyle w:val="Compact"/>
              <w:jc w:val="left"/>
            </w:pPr>
            <w:r>
              <w:t xml:space="preserve">C1 — janv. 2025</w:t>
            </w:r>
          </w:p>
        </w:tc>
        <w:tc>
          <w:tcPr>
            <w:tcW w:w="2210" w:type="dxa"/>
          </w:tcPr>
          <w:tcPr/>
          <w:p>
            <w:pPr>
              <w:pStyle w:val="Compact"/>
              <w:jc w:val="left"/>
            </w:pPr>
            <w:r>
              <w:t xml:space="preserve">Dar es Salaam (Sommet africain de l’énergie M300)</w:t>
            </w:r>
          </w:p>
        </w:tc>
        <w:tc>
          <w:tcPr>
            <w:tcW w:w="4645" w:type="dxa"/>
          </w:tcPr>
          <w:tcPr/>
          <w:p>
            <w:pPr>
              <w:pStyle w:val="Compact"/>
              <w:jc w:val="left"/>
            </w:pPr>
            <w:r>
              <w:rPr>
                <w:rStyle w:val="VerbatimChar"/>
              </w:rPr>
              <w:t xml:space="preserve">{BM}Chad-M300-AES-Compact.pdf</w:t>
            </w:r>
          </w:p>
        </w:tc>
        <w:tc>
          <w:tcPr>
            <w:tcW w:w="937" w:type="dxa"/>
          </w:tcPr>
          <w:tcPr/>
          <w:p>
            <w:pPr>
              <w:pStyle w:val="Compact"/>
              <w:jc w:val="left"/>
            </w:pPr>
            <w:r>
              <w:t xml:space="preserve">[V]</w:t>
            </w:r>
          </w:p>
        </w:tc>
        <w:tc>
          <w:tcPr>
            <w:tcW w:w="1322" w:type="dxa"/>
          </w:tcPr>
          <w:tcPr/>
          <w:p>
            <w:pPr>
              <w:pStyle w:val="Compact"/>
              <w:jc w:val="left"/>
            </w:pPr>
            <w:r>
              <w:t xml:space="preserve">[1][3][7]</w:t>
            </w:r>
          </w:p>
        </w:tc>
      </w:tr>
      <w:tr>
        <w:tc>
          <w:tcPr>
            <w:tcW w:w="697" w:type="dxa"/>
          </w:tcPr>
          <w:tcPr/>
          <w:p>
            <w:pPr>
              <w:pStyle w:val="Compact"/>
              <w:jc w:val="left"/>
            </w:pPr>
            <w:r>
              <w:t xml:space="preserve">2</w:t>
            </w:r>
          </w:p>
        </w:tc>
        <w:tc>
          <w:tcPr>
            <w:tcW w:w="1406" w:type="dxa"/>
          </w:tcPr>
          <w:tcPr/>
          <w:p>
            <w:pPr>
              <w:pStyle w:val="Compact"/>
              <w:jc w:val="left"/>
            </w:pPr>
            <w:r>
              <w:t xml:space="preserve">Côte d’Ivoire</w:t>
            </w:r>
          </w:p>
        </w:tc>
        <w:tc>
          <w:tcPr>
            <w:tcW w:w="705" w:type="dxa"/>
          </w:tcPr>
          <w:tcPr/>
          <w:p>
            <w:pPr>
              <w:pStyle w:val="Compact"/>
              <w:jc w:val="left"/>
            </w:pPr>
            <w:r>
              <w:t xml:space="preserve">CIV</w:t>
            </w:r>
          </w:p>
        </w:tc>
        <w:tc>
          <w:tcPr>
            <w:tcW w:w="2644" w:type="dxa"/>
          </w:tcPr>
          <w:tcPr/>
          <w:p>
            <w:pPr>
              <w:pStyle w:val="Compact"/>
              <w:jc w:val="left"/>
            </w:pPr>
            <w:r>
              <w:t xml:space="preserve">C1 — janv. 2025</w:t>
            </w:r>
          </w:p>
        </w:tc>
        <w:tc>
          <w:tcPr>
            <w:tcW w:w="2210" w:type="dxa"/>
          </w:tcPr>
          <w:tcPr/>
          <w:p>
            <w:pPr>
              <w:pStyle w:val="Compact"/>
              <w:jc w:val="left"/>
            </w:pPr>
            <w:r>
              <w:t xml:space="preserve">Dar es Salaam</w:t>
            </w:r>
          </w:p>
        </w:tc>
        <w:tc>
          <w:tcPr>
            <w:tcW w:w="4645" w:type="dxa"/>
          </w:tcPr>
          <w:tcPr/>
          <w:p>
            <w:pPr>
              <w:pStyle w:val="Compact"/>
              <w:jc w:val="left"/>
            </w:pPr>
            <w:r>
              <w:rPr>
                <w:rStyle w:val="VerbatimChar"/>
              </w:rPr>
              <w:t xml:space="preserve">{BM}Cote-divoire-M300-AES-Compact.pdf</w:t>
            </w:r>
          </w:p>
        </w:tc>
        <w:tc>
          <w:tcPr>
            <w:tcW w:w="937" w:type="dxa"/>
          </w:tcPr>
          <w:tcPr/>
          <w:p>
            <w:pPr>
              <w:pStyle w:val="Compact"/>
              <w:jc w:val="left"/>
            </w:pPr>
            <w:r>
              <w:t xml:space="preserve">[V]</w:t>
            </w:r>
          </w:p>
        </w:tc>
        <w:tc>
          <w:tcPr>
            <w:tcW w:w="1322" w:type="dxa"/>
          </w:tcPr>
          <w:tcPr/>
          <w:p>
            <w:pPr>
              <w:pStyle w:val="Compact"/>
              <w:jc w:val="left"/>
            </w:pPr>
            <w:r>
              <w:t xml:space="preserve">[1][3]</w:t>
            </w:r>
          </w:p>
        </w:tc>
      </w:tr>
      <w:tr>
        <w:tc>
          <w:tcPr>
            <w:tcW w:w="697" w:type="dxa"/>
          </w:tcPr>
          <w:tcPr/>
          <w:p>
            <w:pPr>
              <w:pStyle w:val="Compact"/>
              <w:jc w:val="left"/>
            </w:pPr>
            <w:r>
              <w:t xml:space="preserve">3</w:t>
            </w:r>
          </w:p>
        </w:tc>
        <w:tc>
          <w:tcPr>
            <w:tcW w:w="1406" w:type="dxa"/>
          </w:tcPr>
          <w:tcPr/>
          <w:p>
            <w:pPr>
              <w:pStyle w:val="Compact"/>
              <w:jc w:val="left"/>
            </w:pPr>
            <w:r>
              <w:t xml:space="preserve">RD Congo</w:t>
            </w:r>
          </w:p>
        </w:tc>
        <w:tc>
          <w:tcPr>
            <w:tcW w:w="705" w:type="dxa"/>
          </w:tcPr>
          <w:tcPr/>
          <w:p>
            <w:pPr>
              <w:pStyle w:val="Compact"/>
              <w:jc w:val="left"/>
            </w:pPr>
            <w:r>
              <w:t xml:space="preserve">COD</w:t>
            </w:r>
          </w:p>
        </w:tc>
        <w:tc>
          <w:tcPr>
            <w:tcW w:w="2644" w:type="dxa"/>
          </w:tcPr>
          <w:tcPr/>
          <w:p>
            <w:pPr>
              <w:pStyle w:val="Compact"/>
              <w:jc w:val="left"/>
            </w:pPr>
            <w:r>
              <w:t xml:space="preserve">C1 — janv. 2025</w:t>
            </w:r>
          </w:p>
        </w:tc>
        <w:tc>
          <w:tcPr>
            <w:tcW w:w="2210" w:type="dxa"/>
          </w:tcPr>
          <w:tcPr/>
          <w:p>
            <w:pPr>
              <w:pStyle w:val="Compact"/>
              <w:jc w:val="left"/>
            </w:pPr>
            <w:r>
              <w:t xml:space="preserve">Dar es Salaam</w:t>
            </w:r>
          </w:p>
        </w:tc>
        <w:tc>
          <w:tcPr>
            <w:tcW w:w="4645" w:type="dxa"/>
          </w:tcPr>
          <w:tcPr/>
          <w:p>
            <w:pPr>
              <w:pStyle w:val="Compact"/>
              <w:jc w:val="left"/>
            </w:pPr>
            <w:r>
              <w:rPr>
                <w:rStyle w:val="VerbatimChar"/>
              </w:rPr>
              <w:t xml:space="preserve">{BM}DRC-M300-AES-Compact.pdf</w:t>
            </w:r>
          </w:p>
        </w:tc>
        <w:tc>
          <w:tcPr>
            <w:tcW w:w="937" w:type="dxa"/>
          </w:tcPr>
          <w:tcPr/>
          <w:p>
            <w:pPr>
              <w:pStyle w:val="Compact"/>
              <w:jc w:val="left"/>
            </w:pPr>
            <w:r>
              <w:t xml:space="preserve">[V]</w:t>
            </w:r>
          </w:p>
        </w:tc>
        <w:tc>
          <w:tcPr>
            <w:tcW w:w="1322" w:type="dxa"/>
          </w:tcPr>
          <w:tcPr/>
          <w:p>
            <w:pPr>
              <w:pStyle w:val="Compact"/>
              <w:jc w:val="left"/>
            </w:pPr>
            <w:r>
              <w:t xml:space="preserve">[1][3]</w:t>
            </w:r>
          </w:p>
        </w:tc>
      </w:tr>
      <w:tr>
        <w:tc>
          <w:tcPr>
            <w:tcW w:w="697" w:type="dxa"/>
          </w:tcPr>
          <w:tcPr/>
          <w:p>
            <w:pPr>
              <w:pStyle w:val="Compact"/>
              <w:jc w:val="left"/>
            </w:pPr>
            <w:r>
              <w:t xml:space="preserve">4</w:t>
            </w:r>
          </w:p>
        </w:tc>
        <w:tc>
          <w:tcPr>
            <w:tcW w:w="1406" w:type="dxa"/>
          </w:tcPr>
          <w:tcPr/>
          <w:p>
            <w:pPr>
              <w:pStyle w:val="Compact"/>
              <w:jc w:val="left"/>
            </w:pPr>
            <w:r>
              <w:t xml:space="preserve">Liberia</w:t>
            </w:r>
          </w:p>
        </w:tc>
        <w:tc>
          <w:tcPr>
            <w:tcW w:w="705" w:type="dxa"/>
          </w:tcPr>
          <w:tcPr/>
          <w:p>
            <w:pPr>
              <w:pStyle w:val="Compact"/>
              <w:jc w:val="left"/>
            </w:pPr>
            <w:r>
              <w:t xml:space="preserve">LBR</w:t>
            </w:r>
          </w:p>
        </w:tc>
        <w:tc>
          <w:tcPr>
            <w:tcW w:w="2644" w:type="dxa"/>
          </w:tcPr>
          <w:tcPr/>
          <w:p>
            <w:pPr>
              <w:pStyle w:val="Compact"/>
              <w:jc w:val="left"/>
            </w:pPr>
            <w:r>
              <w:t xml:space="preserve">C1 — janv. 2025</w:t>
            </w:r>
          </w:p>
        </w:tc>
        <w:tc>
          <w:tcPr>
            <w:tcW w:w="2210" w:type="dxa"/>
          </w:tcPr>
          <w:tcPr/>
          <w:p>
            <w:pPr>
              <w:pStyle w:val="Compact"/>
              <w:jc w:val="left"/>
            </w:pPr>
            <w:r>
              <w:t xml:space="preserve">Dar es Salaam</w:t>
            </w:r>
          </w:p>
        </w:tc>
        <w:tc>
          <w:tcPr>
            <w:tcW w:w="4645" w:type="dxa"/>
          </w:tcPr>
          <w:tcPr/>
          <w:p>
            <w:pPr>
              <w:pStyle w:val="Compact"/>
              <w:jc w:val="left"/>
            </w:pPr>
            <w:r>
              <w:rPr>
                <w:rStyle w:val="VerbatimChar"/>
              </w:rPr>
              <w:t xml:space="preserve">{BM}Liberia-M300-AES-Compact.pdf</w:t>
            </w:r>
          </w:p>
        </w:tc>
        <w:tc>
          <w:tcPr>
            <w:tcW w:w="937" w:type="dxa"/>
          </w:tcPr>
          <w:tcPr/>
          <w:p>
            <w:pPr>
              <w:pStyle w:val="Compact"/>
              <w:jc w:val="left"/>
            </w:pPr>
            <w:r>
              <w:t xml:space="preserve">[V]</w:t>
            </w:r>
          </w:p>
        </w:tc>
        <w:tc>
          <w:tcPr>
            <w:tcW w:w="1322" w:type="dxa"/>
          </w:tcPr>
          <w:tcPr/>
          <w:p>
            <w:pPr>
              <w:pStyle w:val="Compact"/>
              <w:jc w:val="left"/>
            </w:pPr>
            <w:r>
              <w:t xml:space="preserve">[1][3]</w:t>
            </w:r>
          </w:p>
        </w:tc>
      </w:tr>
      <w:tr>
        <w:tc>
          <w:tcPr>
            <w:tcW w:w="697" w:type="dxa"/>
          </w:tcPr>
          <w:tcPr/>
          <w:p>
            <w:pPr>
              <w:pStyle w:val="Compact"/>
              <w:jc w:val="left"/>
            </w:pPr>
            <w:r>
              <w:t xml:space="preserve">5</w:t>
            </w:r>
          </w:p>
        </w:tc>
        <w:tc>
          <w:tcPr>
            <w:tcW w:w="1406" w:type="dxa"/>
          </w:tcPr>
          <w:tcPr/>
          <w:p>
            <w:pPr>
              <w:pStyle w:val="Compact"/>
              <w:jc w:val="left"/>
            </w:pPr>
            <w:r>
              <w:t xml:space="preserve">Madagascar</w:t>
            </w:r>
          </w:p>
        </w:tc>
        <w:tc>
          <w:tcPr>
            <w:tcW w:w="705" w:type="dxa"/>
          </w:tcPr>
          <w:tcPr/>
          <w:p>
            <w:pPr>
              <w:pStyle w:val="Compact"/>
              <w:jc w:val="left"/>
            </w:pPr>
            <w:r>
              <w:t xml:space="preserve">MDG</w:t>
            </w:r>
          </w:p>
        </w:tc>
        <w:tc>
          <w:tcPr>
            <w:tcW w:w="2644" w:type="dxa"/>
          </w:tcPr>
          <w:tcPr/>
          <w:p>
            <w:pPr>
              <w:pStyle w:val="Compact"/>
              <w:jc w:val="left"/>
            </w:pPr>
            <w:r>
              <w:t xml:space="preserve">C1 — janv. 2025</w:t>
            </w:r>
          </w:p>
        </w:tc>
        <w:tc>
          <w:tcPr>
            <w:tcW w:w="2210" w:type="dxa"/>
          </w:tcPr>
          <w:tcPr/>
          <w:p>
            <w:pPr>
              <w:pStyle w:val="Compact"/>
              <w:jc w:val="left"/>
            </w:pPr>
            <w:r>
              <w:t xml:space="preserve">Dar es Salaam</w:t>
            </w:r>
          </w:p>
        </w:tc>
        <w:tc>
          <w:tcPr>
            <w:tcW w:w="4645" w:type="dxa"/>
          </w:tcPr>
          <w:tcPr/>
          <w:p>
            <w:pPr>
              <w:pStyle w:val="Compact"/>
              <w:jc w:val="left"/>
            </w:pPr>
            <w:r>
              <w:rPr>
                <w:rStyle w:val="VerbatimChar"/>
              </w:rPr>
              <w:t xml:space="preserve">{BM}Madagascar-M300-AES-Compact.pdf</w:t>
            </w:r>
          </w:p>
        </w:tc>
        <w:tc>
          <w:tcPr>
            <w:tcW w:w="937" w:type="dxa"/>
          </w:tcPr>
          <w:tcPr/>
          <w:p>
            <w:pPr>
              <w:pStyle w:val="Compact"/>
              <w:jc w:val="left"/>
            </w:pPr>
            <w:r>
              <w:t xml:space="preserve">[V]</w:t>
            </w:r>
          </w:p>
        </w:tc>
        <w:tc>
          <w:tcPr>
            <w:tcW w:w="1322" w:type="dxa"/>
          </w:tcPr>
          <w:tcPr/>
          <w:p>
            <w:pPr>
              <w:pStyle w:val="Compact"/>
              <w:jc w:val="left"/>
            </w:pPr>
            <w:r>
              <w:t xml:space="preserve">[1][3][7]</w:t>
            </w:r>
          </w:p>
        </w:tc>
      </w:tr>
      <w:tr>
        <w:tc>
          <w:tcPr>
            <w:tcW w:w="697" w:type="dxa"/>
          </w:tcPr>
          <w:tcPr/>
          <w:p>
            <w:pPr>
              <w:pStyle w:val="Compact"/>
              <w:jc w:val="left"/>
            </w:pPr>
            <w:r>
              <w:t xml:space="preserve">6</w:t>
            </w:r>
          </w:p>
        </w:tc>
        <w:tc>
          <w:tcPr>
            <w:tcW w:w="1406" w:type="dxa"/>
          </w:tcPr>
          <w:tcPr/>
          <w:p>
            <w:pPr>
              <w:pStyle w:val="Compact"/>
              <w:jc w:val="left"/>
            </w:pPr>
            <w:r>
              <w:t xml:space="preserve">Malawi</w:t>
            </w:r>
          </w:p>
        </w:tc>
        <w:tc>
          <w:tcPr>
            <w:tcW w:w="705" w:type="dxa"/>
          </w:tcPr>
          <w:tcPr/>
          <w:p>
            <w:pPr>
              <w:pStyle w:val="Compact"/>
              <w:jc w:val="left"/>
            </w:pPr>
            <w:r>
              <w:t xml:space="preserve">MWI</w:t>
            </w:r>
          </w:p>
        </w:tc>
        <w:tc>
          <w:tcPr>
            <w:tcW w:w="2644" w:type="dxa"/>
          </w:tcPr>
          <w:tcPr/>
          <w:p>
            <w:pPr>
              <w:pStyle w:val="Compact"/>
              <w:jc w:val="left"/>
            </w:pPr>
            <w:r>
              <w:t xml:space="preserve">C1 — janv. 2025</w:t>
            </w:r>
          </w:p>
        </w:tc>
        <w:tc>
          <w:tcPr>
            <w:tcW w:w="2210" w:type="dxa"/>
          </w:tcPr>
          <w:tcPr/>
          <w:p>
            <w:pPr>
              <w:pStyle w:val="Compact"/>
              <w:jc w:val="left"/>
            </w:pPr>
            <w:r>
              <w:t xml:space="preserve">Dar es Salaam</w:t>
            </w:r>
          </w:p>
        </w:tc>
        <w:tc>
          <w:tcPr>
            <w:tcW w:w="4645" w:type="dxa"/>
          </w:tcPr>
          <w:tcPr/>
          <w:p>
            <w:pPr>
              <w:pStyle w:val="Compact"/>
              <w:jc w:val="left"/>
            </w:pPr>
            <w:r>
              <w:rPr>
                <w:rStyle w:val="VerbatimChar"/>
              </w:rPr>
              <w:t xml:space="preserve">{BM}Malawi-M300-AES-Compact.pdf</w:t>
            </w:r>
          </w:p>
        </w:tc>
        <w:tc>
          <w:tcPr>
            <w:tcW w:w="937" w:type="dxa"/>
          </w:tcPr>
          <w:tcPr/>
          <w:p>
            <w:pPr>
              <w:pStyle w:val="Compact"/>
              <w:jc w:val="left"/>
            </w:pPr>
            <w:r>
              <w:t xml:space="preserve">[V]</w:t>
            </w:r>
          </w:p>
        </w:tc>
        <w:tc>
          <w:tcPr>
            <w:tcW w:w="1322" w:type="dxa"/>
          </w:tcPr>
          <w:tcPr/>
          <w:p>
            <w:pPr>
              <w:pStyle w:val="Compact"/>
              <w:jc w:val="left"/>
            </w:pPr>
            <w:r>
              <w:t xml:space="preserve">[1][3]</w:t>
            </w:r>
          </w:p>
        </w:tc>
      </w:tr>
      <w:tr>
        <w:tc>
          <w:tcPr>
            <w:tcW w:w="697" w:type="dxa"/>
          </w:tcPr>
          <w:tcPr/>
          <w:p>
            <w:pPr>
              <w:pStyle w:val="Compact"/>
              <w:jc w:val="left"/>
            </w:pPr>
            <w:r>
              <w:t xml:space="preserve">7</w:t>
            </w:r>
          </w:p>
        </w:tc>
        <w:tc>
          <w:tcPr>
            <w:tcW w:w="1406" w:type="dxa"/>
          </w:tcPr>
          <w:tcPr/>
          <w:p>
            <w:pPr>
              <w:pStyle w:val="Compact"/>
              <w:jc w:val="left"/>
            </w:pPr>
            <w:r>
              <w:t xml:space="preserve">Mauritanie</w:t>
            </w:r>
          </w:p>
        </w:tc>
        <w:tc>
          <w:tcPr>
            <w:tcW w:w="705" w:type="dxa"/>
          </w:tcPr>
          <w:tcPr/>
          <w:p>
            <w:pPr>
              <w:pStyle w:val="Compact"/>
              <w:jc w:val="left"/>
            </w:pPr>
            <w:r>
              <w:t xml:space="preserve">MRT</w:t>
            </w:r>
          </w:p>
        </w:tc>
        <w:tc>
          <w:tcPr>
            <w:tcW w:w="2644" w:type="dxa"/>
          </w:tcPr>
          <w:tcPr/>
          <w:p>
            <w:pPr>
              <w:pStyle w:val="Compact"/>
              <w:jc w:val="left"/>
            </w:pPr>
            <w:r>
              <w:t xml:space="preserve">C1 — janv. 2025</w:t>
            </w:r>
          </w:p>
        </w:tc>
        <w:tc>
          <w:tcPr>
            <w:tcW w:w="2210" w:type="dxa"/>
          </w:tcPr>
          <w:tcPr/>
          <w:p>
            <w:pPr>
              <w:pStyle w:val="Compact"/>
              <w:jc w:val="left"/>
            </w:pPr>
            <w:r>
              <w:t xml:space="preserve">Dar es Salaam</w:t>
            </w:r>
          </w:p>
        </w:tc>
        <w:tc>
          <w:tcPr>
            <w:tcW w:w="4645" w:type="dxa"/>
          </w:tcPr>
          <w:tcPr/>
          <w:p>
            <w:pPr>
              <w:pStyle w:val="Compact"/>
              <w:jc w:val="left"/>
            </w:pPr>
            <w:r>
              <w:rPr>
                <w:rStyle w:val="VerbatimChar"/>
              </w:rPr>
              <w:t xml:space="preserve">{BM}Mauritanie-M300-AES-Compact.pdf</w:t>
            </w:r>
          </w:p>
        </w:tc>
        <w:tc>
          <w:tcPr>
            <w:tcW w:w="937" w:type="dxa"/>
          </w:tcPr>
          <w:tcPr/>
          <w:p>
            <w:pPr>
              <w:pStyle w:val="Compact"/>
              <w:jc w:val="left"/>
            </w:pPr>
            <w:r>
              <w:t xml:space="preserve">[V]</w:t>
            </w:r>
          </w:p>
        </w:tc>
        <w:tc>
          <w:tcPr>
            <w:tcW w:w="1322" w:type="dxa"/>
          </w:tcPr>
          <w:tcPr/>
          <w:p>
            <w:pPr>
              <w:pStyle w:val="Compact"/>
              <w:jc w:val="left"/>
            </w:pPr>
            <w:r>
              <w:t xml:space="preserve">[1][3]</w:t>
            </w:r>
          </w:p>
        </w:tc>
      </w:tr>
      <w:tr>
        <w:tc>
          <w:tcPr>
            <w:tcW w:w="697" w:type="dxa"/>
          </w:tcPr>
          <w:tcPr/>
          <w:p>
            <w:pPr>
              <w:pStyle w:val="Compact"/>
              <w:jc w:val="left"/>
            </w:pPr>
            <w:r>
              <w:t xml:space="preserve">8</w:t>
            </w:r>
          </w:p>
        </w:tc>
        <w:tc>
          <w:tcPr>
            <w:tcW w:w="1406" w:type="dxa"/>
          </w:tcPr>
          <w:tcPr/>
          <w:p>
            <w:pPr>
              <w:pStyle w:val="Compact"/>
              <w:jc w:val="left"/>
            </w:pPr>
            <w:r>
              <w:t xml:space="preserve">Niger</w:t>
            </w:r>
          </w:p>
        </w:tc>
        <w:tc>
          <w:tcPr>
            <w:tcW w:w="705" w:type="dxa"/>
          </w:tcPr>
          <w:tcPr/>
          <w:p>
            <w:pPr>
              <w:pStyle w:val="Compact"/>
              <w:jc w:val="left"/>
            </w:pPr>
            <w:r>
              <w:t xml:space="preserve">NER</w:t>
            </w:r>
          </w:p>
        </w:tc>
        <w:tc>
          <w:tcPr>
            <w:tcW w:w="2644" w:type="dxa"/>
          </w:tcPr>
          <w:tcPr/>
          <w:p>
            <w:pPr>
              <w:pStyle w:val="Compact"/>
              <w:jc w:val="left"/>
            </w:pPr>
            <w:r>
              <w:t xml:space="preserve">C1 — janv. 2025</w:t>
            </w:r>
          </w:p>
        </w:tc>
        <w:tc>
          <w:tcPr>
            <w:tcW w:w="2210" w:type="dxa"/>
          </w:tcPr>
          <w:tcPr/>
          <w:p>
            <w:pPr>
              <w:pStyle w:val="Compact"/>
              <w:jc w:val="left"/>
            </w:pPr>
            <w:r>
              <w:t xml:space="preserve">Dar es Salaam</w:t>
            </w:r>
          </w:p>
        </w:tc>
        <w:tc>
          <w:tcPr>
            <w:tcW w:w="4645" w:type="dxa"/>
          </w:tcPr>
          <w:tcPr/>
          <w:p>
            <w:pPr>
              <w:pStyle w:val="Compact"/>
              <w:jc w:val="left"/>
            </w:pPr>
            <w:r>
              <w:rPr>
                <w:rStyle w:val="VerbatimChar"/>
              </w:rPr>
              <w:t xml:space="preserve">{BM}Niger-M300-AES-Compact.pdf</w:t>
            </w:r>
          </w:p>
        </w:tc>
        <w:tc>
          <w:tcPr>
            <w:tcW w:w="937" w:type="dxa"/>
          </w:tcPr>
          <w:tcPr/>
          <w:p>
            <w:pPr>
              <w:pStyle w:val="Compact"/>
              <w:jc w:val="left"/>
            </w:pPr>
            <w:r>
              <w:t xml:space="preserve">[V]</w:t>
            </w:r>
          </w:p>
        </w:tc>
        <w:tc>
          <w:tcPr>
            <w:tcW w:w="1322" w:type="dxa"/>
          </w:tcPr>
          <w:tcPr/>
          <w:p>
            <w:pPr>
              <w:pStyle w:val="Compact"/>
              <w:jc w:val="left"/>
            </w:pPr>
            <w:r>
              <w:t xml:space="preserve">[1][3]</w:t>
            </w:r>
          </w:p>
        </w:tc>
      </w:tr>
      <w:tr>
        <w:tc>
          <w:tcPr>
            <w:tcW w:w="697" w:type="dxa"/>
          </w:tcPr>
          <w:tcPr/>
          <w:p>
            <w:pPr>
              <w:pStyle w:val="Compact"/>
              <w:jc w:val="left"/>
            </w:pPr>
            <w:r>
              <w:t xml:space="preserve">9</w:t>
            </w:r>
          </w:p>
        </w:tc>
        <w:tc>
          <w:tcPr>
            <w:tcW w:w="1406" w:type="dxa"/>
          </w:tcPr>
          <w:tcPr/>
          <w:p>
            <w:pPr>
              <w:pStyle w:val="Compact"/>
              <w:jc w:val="left"/>
            </w:pPr>
            <w:r>
              <w:t xml:space="preserve">Nigeria</w:t>
            </w:r>
          </w:p>
        </w:tc>
        <w:tc>
          <w:tcPr>
            <w:tcW w:w="705" w:type="dxa"/>
          </w:tcPr>
          <w:tcPr/>
          <w:p>
            <w:pPr>
              <w:pStyle w:val="Compact"/>
              <w:jc w:val="left"/>
            </w:pPr>
            <w:r>
              <w:t xml:space="preserve">NGA</w:t>
            </w:r>
          </w:p>
        </w:tc>
        <w:tc>
          <w:tcPr>
            <w:tcW w:w="2644" w:type="dxa"/>
          </w:tcPr>
          <w:tcPr/>
          <w:p>
            <w:pPr>
              <w:pStyle w:val="Compact"/>
              <w:jc w:val="left"/>
            </w:pPr>
            <w:r>
              <w:t xml:space="preserve">C1 — janv. 2025</w:t>
            </w:r>
          </w:p>
        </w:tc>
        <w:tc>
          <w:tcPr>
            <w:tcW w:w="2210" w:type="dxa"/>
          </w:tcPr>
          <w:tcPr/>
          <w:p>
            <w:pPr>
              <w:pStyle w:val="Compact"/>
              <w:jc w:val="left"/>
            </w:pPr>
            <w:r>
              <w:t xml:space="preserve">Dar es Salaam</w:t>
            </w:r>
          </w:p>
        </w:tc>
        <w:tc>
          <w:tcPr>
            <w:tcW w:w="4645" w:type="dxa"/>
          </w:tcPr>
          <w:tcPr/>
          <w:p>
            <w:pPr>
              <w:pStyle w:val="Compact"/>
              <w:jc w:val="left"/>
            </w:pPr>
            <w:r>
              <w:rPr>
                <w:rStyle w:val="VerbatimChar"/>
              </w:rPr>
              <w:t xml:space="preserve">{BM}Nigeria-M300-AES-Compact.pdf</w:t>
            </w:r>
          </w:p>
        </w:tc>
        <w:tc>
          <w:tcPr>
            <w:tcW w:w="937" w:type="dxa"/>
          </w:tcPr>
          <w:tcPr/>
          <w:p>
            <w:pPr>
              <w:pStyle w:val="Compact"/>
              <w:jc w:val="left"/>
            </w:pPr>
            <w:r>
              <w:t xml:space="preserve">[V]</w:t>
            </w:r>
          </w:p>
        </w:tc>
        <w:tc>
          <w:tcPr>
            <w:tcW w:w="1322" w:type="dxa"/>
          </w:tcPr>
          <w:tcPr/>
          <w:p>
            <w:pPr>
              <w:pStyle w:val="Compact"/>
              <w:jc w:val="left"/>
            </w:pPr>
            <w:r>
              <w:t xml:space="preserve">[1][3]</w:t>
            </w:r>
          </w:p>
        </w:tc>
      </w:tr>
      <w:tr>
        <w:tc>
          <w:tcPr>
            <w:tcW w:w="697" w:type="dxa"/>
          </w:tcPr>
          <w:tcPr/>
          <w:p>
            <w:pPr>
              <w:pStyle w:val="Compact"/>
              <w:jc w:val="left"/>
            </w:pPr>
            <w:r>
              <w:t xml:space="preserve">10</w:t>
            </w:r>
          </w:p>
        </w:tc>
        <w:tc>
          <w:tcPr>
            <w:tcW w:w="1406" w:type="dxa"/>
          </w:tcPr>
          <w:tcPr/>
          <w:p>
            <w:pPr>
              <w:pStyle w:val="Compact"/>
              <w:jc w:val="left"/>
            </w:pPr>
            <w:r>
              <w:t xml:space="preserve">Sénégal</w:t>
            </w:r>
          </w:p>
        </w:tc>
        <w:tc>
          <w:tcPr>
            <w:tcW w:w="705" w:type="dxa"/>
          </w:tcPr>
          <w:tcPr/>
          <w:p>
            <w:pPr>
              <w:pStyle w:val="Compact"/>
              <w:jc w:val="left"/>
            </w:pPr>
            <w:r>
              <w:t xml:space="preserve">SEN</w:t>
            </w:r>
          </w:p>
        </w:tc>
        <w:tc>
          <w:tcPr>
            <w:tcW w:w="2644" w:type="dxa"/>
          </w:tcPr>
          <w:tcPr/>
          <w:p>
            <w:pPr>
              <w:pStyle w:val="Compact"/>
              <w:jc w:val="left"/>
            </w:pPr>
            <w:r>
              <w:t xml:space="preserve">C1 — janv. 2025</w:t>
            </w:r>
          </w:p>
        </w:tc>
        <w:tc>
          <w:tcPr>
            <w:tcW w:w="2210" w:type="dxa"/>
          </w:tcPr>
          <w:tcPr/>
          <w:p>
            <w:pPr>
              <w:pStyle w:val="Compact"/>
              <w:jc w:val="left"/>
            </w:pPr>
            <w:r>
              <w:t xml:space="preserve">Dar es Salaam</w:t>
            </w:r>
          </w:p>
        </w:tc>
        <w:tc>
          <w:tcPr>
            <w:tcW w:w="4645" w:type="dxa"/>
          </w:tcPr>
          <w:tcPr/>
          <w:p>
            <w:pPr>
              <w:pStyle w:val="Compact"/>
              <w:jc w:val="left"/>
            </w:pPr>
            <w:r>
              <w:rPr>
                <w:rStyle w:val="VerbatimChar"/>
              </w:rPr>
              <w:t xml:space="preserve">{BM}Senegal-M300-AES-Compact.pdf</w:t>
            </w:r>
          </w:p>
        </w:tc>
        <w:tc>
          <w:tcPr>
            <w:tcW w:w="937" w:type="dxa"/>
          </w:tcPr>
          <w:tcPr/>
          <w:p>
            <w:pPr>
              <w:pStyle w:val="Compact"/>
              <w:jc w:val="left"/>
            </w:pPr>
            <w:r>
              <w:t xml:space="preserve">[V]</w:t>
            </w:r>
          </w:p>
        </w:tc>
        <w:tc>
          <w:tcPr>
            <w:tcW w:w="1322" w:type="dxa"/>
          </w:tcPr>
          <w:tcPr/>
          <w:p>
            <w:pPr>
              <w:pStyle w:val="Compact"/>
              <w:jc w:val="left"/>
            </w:pPr>
            <w:r>
              <w:t xml:space="preserve">[1][3]</w:t>
            </w:r>
          </w:p>
        </w:tc>
      </w:tr>
      <w:tr>
        <w:tc>
          <w:tcPr>
            <w:tcW w:w="697" w:type="dxa"/>
          </w:tcPr>
          <w:tcPr/>
          <w:p>
            <w:pPr>
              <w:pStyle w:val="Compact"/>
              <w:jc w:val="left"/>
            </w:pPr>
            <w:r>
              <w:t xml:space="preserve">11</w:t>
            </w:r>
          </w:p>
        </w:tc>
        <w:tc>
          <w:tcPr>
            <w:tcW w:w="1406" w:type="dxa"/>
          </w:tcPr>
          <w:tcPr/>
          <w:p>
            <w:pPr>
              <w:pStyle w:val="Compact"/>
              <w:jc w:val="left"/>
            </w:pPr>
            <w:r>
              <w:t xml:space="preserve">Tanzanie</w:t>
            </w:r>
          </w:p>
        </w:tc>
        <w:tc>
          <w:tcPr>
            <w:tcW w:w="705" w:type="dxa"/>
          </w:tcPr>
          <w:tcPr/>
          <w:p>
            <w:pPr>
              <w:pStyle w:val="Compact"/>
              <w:jc w:val="left"/>
            </w:pPr>
            <w:r>
              <w:t xml:space="preserve">TZA</w:t>
            </w:r>
          </w:p>
        </w:tc>
        <w:tc>
          <w:tcPr>
            <w:tcW w:w="2644" w:type="dxa"/>
          </w:tcPr>
          <w:tcPr/>
          <w:p>
            <w:pPr>
              <w:pStyle w:val="Compact"/>
              <w:jc w:val="left"/>
            </w:pPr>
            <w:r>
              <w:t xml:space="preserve">C1 — janv. 2025</w:t>
            </w:r>
          </w:p>
        </w:tc>
        <w:tc>
          <w:tcPr>
            <w:tcW w:w="2210" w:type="dxa"/>
          </w:tcPr>
          <w:tcPr/>
          <w:p>
            <w:pPr>
              <w:pStyle w:val="Compact"/>
              <w:jc w:val="left"/>
            </w:pPr>
            <w:r>
              <w:t xml:space="preserve">Dar es Salaam</w:t>
            </w:r>
          </w:p>
        </w:tc>
        <w:tc>
          <w:tcPr>
            <w:tcW w:w="4645" w:type="dxa"/>
          </w:tcPr>
          <w:tcPr/>
          <w:p>
            <w:pPr>
              <w:pStyle w:val="Compact"/>
              <w:jc w:val="left"/>
            </w:pPr>
            <w:r>
              <w:rPr>
                <w:rStyle w:val="VerbatimChar"/>
              </w:rPr>
              <w:t xml:space="preserve">{BM}Tanzania-M300-AES-Compact.pdf</w:t>
            </w:r>
          </w:p>
        </w:tc>
        <w:tc>
          <w:tcPr>
            <w:tcW w:w="937" w:type="dxa"/>
          </w:tcPr>
          <w:tcPr/>
          <w:p>
            <w:pPr>
              <w:pStyle w:val="Compact"/>
              <w:jc w:val="left"/>
            </w:pPr>
            <w:r>
              <w:t xml:space="preserve">[V]</w:t>
            </w:r>
          </w:p>
        </w:tc>
        <w:tc>
          <w:tcPr>
            <w:tcW w:w="1322" w:type="dxa"/>
          </w:tcPr>
          <w:tcPr/>
          <w:p>
            <w:pPr>
              <w:pStyle w:val="Compact"/>
              <w:jc w:val="left"/>
            </w:pPr>
            <w:r>
              <w:t xml:space="preserve">[1][3]</w:t>
            </w:r>
          </w:p>
        </w:tc>
      </w:tr>
      <w:tr>
        <w:tc>
          <w:tcPr>
            <w:tcW w:w="697" w:type="dxa"/>
          </w:tcPr>
          <w:tcPr/>
          <w:p>
            <w:pPr>
              <w:pStyle w:val="Compact"/>
              <w:jc w:val="left"/>
            </w:pPr>
            <w:r>
              <w:t xml:space="preserve">12</w:t>
            </w:r>
          </w:p>
        </w:tc>
        <w:tc>
          <w:tcPr>
            <w:tcW w:w="1406" w:type="dxa"/>
          </w:tcPr>
          <w:tcPr/>
          <w:p>
            <w:pPr>
              <w:pStyle w:val="Compact"/>
              <w:jc w:val="left"/>
            </w:pPr>
            <w:r>
              <w:t xml:space="preserve">Zambie</w:t>
            </w:r>
          </w:p>
        </w:tc>
        <w:tc>
          <w:tcPr>
            <w:tcW w:w="705" w:type="dxa"/>
          </w:tcPr>
          <w:tcPr/>
          <w:p>
            <w:pPr>
              <w:pStyle w:val="Compact"/>
              <w:jc w:val="left"/>
            </w:pPr>
            <w:r>
              <w:t xml:space="preserve">ZMB</w:t>
            </w:r>
          </w:p>
        </w:tc>
        <w:tc>
          <w:tcPr>
            <w:tcW w:w="2644" w:type="dxa"/>
          </w:tcPr>
          <w:tcPr/>
          <w:p>
            <w:pPr>
              <w:pStyle w:val="Compact"/>
              <w:jc w:val="left"/>
            </w:pPr>
            <w:r>
              <w:t xml:space="preserve">C1 — janv. 2025</w:t>
            </w:r>
          </w:p>
        </w:tc>
        <w:tc>
          <w:tcPr>
            <w:tcW w:w="2210" w:type="dxa"/>
          </w:tcPr>
          <w:tcPr/>
          <w:p>
            <w:pPr>
              <w:pStyle w:val="Compact"/>
              <w:jc w:val="left"/>
            </w:pPr>
            <w:r>
              <w:t xml:space="preserve">Dar es Salaam</w:t>
            </w:r>
          </w:p>
        </w:tc>
        <w:tc>
          <w:tcPr>
            <w:tcW w:w="4645" w:type="dxa"/>
          </w:tcPr>
          <w:tcPr/>
          <w:p>
            <w:pPr>
              <w:pStyle w:val="Compact"/>
              <w:jc w:val="left"/>
            </w:pPr>
            <w:r>
              <w:rPr>
                <w:rStyle w:val="VerbatimChar"/>
              </w:rPr>
              <w:t xml:space="preserve">{BM}Zambia-M300-AES-Compact.pdf</w:t>
            </w:r>
          </w:p>
        </w:tc>
        <w:tc>
          <w:tcPr>
            <w:tcW w:w="937" w:type="dxa"/>
          </w:tcPr>
          <w:tcPr/>
          <w:p>
            <w:pPr>
              <w:pStyle w:val="Compact"/>
              <w:jc w:val="left"/>
            </w:pPr>
            <w:r>
              <w:t xml:space="preserve">[V]</w:t>
            </w:r>
          </w:p>
        </w:tc>
        <w:tc>
          <w:tcPr>
            <w:tcW w:w="1322" w:type="dxa"/>
          </w:tcPr>
          <w:tcPr/>
          <w:p>
            <w:pPr>
              <w:pStyle w:val="Compact"/>
              <w:jc w:val="left"/>
            </w:pPr>
            <w:r>
              <w:t xml:space="preserve">[1][3]</w:t>
            </w:r>
          </w:p>
        </w:tc>
      </w:tr>
      <w:tr>
        <w:tc>
          <w:tcPr>
            <w:tcW w:w="697" w:type="dxa"/>
          </w:tcPr>
          <w:tcPr/>
          <w:p>
            <w:pPr>
              <w:pStyle w:val="Compact"/>
              <w:jc w:val="left"/>
            </w:pPr>
            <w:r>
              <w:t xml:space="preserve">13</w:t>
            </w:r>
          </w:p>
        </w:tc>
        <w:tc>
          <w:tcPr>
            <w:tcW w:w="1406" w:type="dxa"/>
          </w:tcPr>
          <w:tcPr/>
          <w:p>
            <w:pPr>
              <w:pStyle w:val="Compact"/>
              <w:jc w:val="left"/>
            </w:pPr>
            <w:r>
              <w:t xml:space="preserve">Bénin</w:t>
            </w:r>
          </w:p>
        </w:tc>
        <w:tc>
          <w:tcPr>
            <w:tcW w:w="705" w:type="dxa"/>
          </w:tcPr>
          <w:tcPr/>
          <w:p>
            <w:pPr>
              <w:pStyle w:val="Compact"/>
              <w:jc w:val="left"/>
            </w:pPr>
            <w:r>
              <w:t xml:space="preserve">BEN</w:t>
            </w:r>
          </w:p>
        </w:tc>
        <w:tc>
          <w:tcPr>
            <w:tcW w:w="2644" w:type="dxa"/>
          </w:tcPr>
          <w:tcPr/>
          <w:p>
            <w:pPr>
              <w:pStyle w:val="Compact"/>
              <w:jc w:val="left"/>
            </w:pPr>
            <w:r>
              <w:t xml:space="preserve">C2 — 24 sept. 2025</w:t>
            </w:r>
          </w:p>
        </w:tc>
        <w:tc>
          <w:tcPr>
            <w:tcW w:w="2210" w:type="dxa"/>
          </w:tcPr>
          <w:tcPr/>
          <w:p>
            <w:pPr>
              <w:pStyle w:val="Compact"/>
              <w:jc w:val="left"/>
            </w:pPr>
            <w:r>
              <w:t xml:space="preserve">New York (Bloomberg Philanthropies Global Forum)</w:t>
            </w:r>
          </w:p>
        </w:tc>
        <w:tc>
          <w:tcPr>
            <w:tcW w:w="4645" w:type="dxa"/>
          </w:tcPr>
          <w:tcPr/>
          <w:p>
            <w:pPr>
              <w:pStyle w:val="Compact"/>
              <w:jc w:val="left"/>
            </w:pPr>
            <w:r>
              <w:rPr>
                <w:rStyle w:val="VerbatimChar"/>
              </w:rPr>
              <w:t xml:space="preserve">{BM}Benin-National-Energy-Compact-Mission-300.pdf</w:t>
            </w:r>
          </w:p>
        </w:tc>
        <w:tc>
          <w:tcPr>
            <w:tcW w:w="937" w:type="dxa"/>
          </w:tcPr>
          <w:tcPr/>
          <w:p>
            <w:pPr>
              <w:pStyle w:val="Compact"/>
              <w:jc w:val="left"/>
            </w:pPr>
            <w:r>
              <w:t xml:space="preserve">[V]</w:t>
            </w:r>
          </w:p>
        </w:tc>
        <w:tc>
          <w:tcPr>
            <w:tcW w:w="1322" w:type="dxa"/>
          </w:tcPr>
          <w:tcPr/>
          <w:p>
            <w:pPr>
              <w:pStyle w:val="Compact"/>
              <w:jc w:val="left"/>
            </w:pPr>
            <w:r>
              <w:t xml:space="preserve">[1][4]</w:t>
            </w:r>
          </w:p>
        </w:tc>
      </w:tr>
      <w:tr>
        <w:tc>
          <w:tcPr>
            <w:tcW w:w="697" w:type="dxa"/>
          </w:tcPr>
          <w:tcPr/>
          <w:p>
            <w:pPr>
              <w:pStyle w:val="Compact"/>
              <w:jc w:val="left"/>
            </w:pPr>
            <w:r>
              <w:t xml:space="preserve">14</w:t>
            </w:r>
          </w:p>
        </w:tc>
        <w:tc>
          <w:tcPr>
            <w:tcW w:w="1406" w:type="dxa"/>
          </w:tcPr>
          <w:tcPr/>
          <w:p>
            <w:pPr>
              <w:pStyle w:val="Compact"/>
              <w:jc w:val="left"/>
            </w:pPr>
            <w:r>
              <w:t xml:space="preserve">Botswana</w:t>
            </w:r>
          </w:p>
        </w:tc>
        <w:tc>
          <w:tcPr>
            <w:tcW w:w="705" w:type="dxa"/>
          </w:tcPr>
          <w:tcPr/>
          <w:p>
            <w:pPr>
              <w:pStyle w:val="Compact"/>
              <w:jc w:val="left"/>
            </w:pPr>
            <w:r>
              <w:t xml:space="preserve">BWA</w:t>
            </w:r>
          </w:p>
        </w:tc>
        <w:tc>
          <w:tcPr>
            <w:tcW w:w="2644" w:type="dxa"/>
          </w:tcPr>
          <w:tcPr/>
          <w:p>
            <w:pPr>
              <w:pStyle w:val="Compact"/>
              <w:jc w:val="left"/>
            </w:pPr>
            <w:r>
              <w:t xml:space="preserve">C2 — 24 sept. 2025</w:t>
            </w:r>
          </w:p>
        </w:tc>
        <w:tc>
          <w:tcPr>
            <w:tcW w:w="2210" w:type="dxa"/>
          </w:tcPr>
          <w:tcPr/>
          <w:p>
            <w:pPr>
              <w:pStyle w:val="Compact"/>
              <w:jc w:val="left"/>
            </w:pPr>
            <w:r>
              <w:t xml:space="preserve">New York</w:t>
            </w:r>
          </w:p>
        </w:tc>
        <w:tc>
          <w:tcPr>
            <w:tcW w:w="4645" w:type="dxa"/>
          </w:tcPr>
          <w:tcPr/>
          <w:p>
            <w:pPr>
              <w:pStyle w:val="Compact"/>
              <w:jc w:val="left"/>
            </w:pPr>
            <w:r>
              <w:rPr>
                <w:rStyle w:val="VerbatimChar"/>
              </w:rPr>
              <w:t xml:space="preserve">{BM}Botswana-National-Energy-Compact-Mission-300.pdf</w:t>
            </w:r>
          </w:p>
        </w:tc>
        <w:tc>
          <w:tcPr>
            <w:tcW w:w="937" w:type="dxa"/>
          </w:tcPr>
          <w:tcPr/>
          <w:p>
            <w:pPr>
              <w:pStyle w:val="Compact"/>
              <w:jc w:val="left"/>
            </w:pPr>
            <w:r>
              <w:t xml:space="preserve">[V]</w:t>
            </w:r>
          </w:p>
        </w:tc>
        <w:tc>
          <w:tcPr>
            <w:tcW w:w="1322" w:type="dxa"/>
          </w:tcPr>
          <w:tcPr/>
          <w:p>
            <w:pPr>
              <w:pStyle w:val="Compact"/>
              <w:jc w:val="left"/>
            </w:pPr>
            <w:r>
              <w:t xml:space="preserve">[1][4]</w:t>
            </w:r>
          </w:p>
        </w:tc>
      </w:tr>
      <w:tr>
        <w:tc>
          <w:tcPr>
            <w:tcW w:w="697" w:type="dxa"/>
          </w:tcPr>
          <w:tcPr/>
          <w:p>
            <w:pPr>
              <w:pStyle w:val="Compact"/>
              <w:jc w:val="left"/>
            </w:pPr>
            <w:r>
              <w:t xml:space="preserve">15</w:t>
            </w:r>
          </w:p>
        </w:tc>
        <w:tc>
          <w:tcPr>
            <w:tcW w:w="1406" w:type="dxa"/>
          </w:tcPr>
          <w:tcPr/>
          <w:p>
            <w:pPr>
              <w:pStyle w:val="Compact"/>
              <w:jc w:val="left"/>
            </w:pPr>
            <w:r>
              <w:t xml:space="preserve">Burundi</w:t>
            </w:r>
          </w:p>
        </w:tc>
        <w:tc>
          <w:tcPr>
            <w:tcW w:w="705" w:type="dxa"/>
          </w:tcPr>
          <w:tcPr/>
          <w:p>
            <w:pPr>
              <w:pStyle w:val="Compact"/>
              <w:jc w:val="left"/>
            </w:pPr>
            <w:r>
              <w:t xml:space="preserve">BDI</w:t>
            </w:r>
          </w:p>
        </w:tc>
        <w:tc>
          <w:tcPr>
            <w:tcW w:w="2644" w:type="dxa"/>
          </w:tcPr>
          <w:tcPr/>
          <w:p>
            <w:pPr>
              <w:pStyle w:val="Compact"/>
              <w:jc w:val="left"/>
            </w:pPr>
            <w:r>
              <w:t xml:space="preserve">C2 — 24 sept. 2025</w:t>
            </w:r>
          </w:p>
        </w:tc>
        <w:tc>
          <w:tcPr>
            <w:tcW w:w="2210" w:type="dxa"/>
          </w:tcPr>
          <w:tcPr/>
          <w:p>
            <w:pPr>
              <w:pStyle w:val="Compact"/>
              <w:jc w:val="left"/>
            </w:pPr>
            <w:r>
              <w:t xml:space="preserve">New York</w:t>
            </w:r>
          </w:p>
        </w:tc>
        <w:tc>
          <w:tcPr>
            <w:tcW w:w="4645" w:type="dxa"/>
          </w:tcPr>
          <w:tcPr/>
          <w:p>
            <w:pPr>
              <w:pStyle w:val="Compact"/>
              <w:jc w:val="left"/>
            </w:pPr>
            <w:r>
              <w:rPr>
                <w:rStyle w:val="VerbatimChar"/>
              </w:rPr>
              <w:t xml:space="preserve">{BM}Burundi-National-Energy-Compact-Mission-300.pdf</w:t>
            </w:r>
          </w:p>
        </w:tc>
        <w:tc>
          <w:tcPr>
            <w:tcW w:w="937" w:type="dxa"/>
          </w:tcPr>
          <w:tcPr/>
          <w:p>
            <w:pPr>
              <w:pStyle w:val="Compact"/>
              <w:jc w:val="left"/>
            </w:pPr>
            <w:r>
              <w:t xml:space="preserve">[V]</w:t>
            </w:r>
          </w:p>
        </w:tc>
        <w:tc>
          <w:tcPr>
            <w:tcW w:w="1322" w:type="dxa"/>
          </w:tcPr>
          <w:tcPr/>
          <w:p>
            <w:pPr>
              <w:pStyle w:val="Compact"/>
              <w:jc w:val="left"/>
            </w:pPr>
            <w:r>
              <w:t xml:space="preserve">[1][4]</w:t>
            </w:r>
          </w:p>
        </w:tc>
      </w:tr>
      <w:tr>
        <w:tc>
          <w:tcPr>
            <w:tcW w:w="697" w:type="dxa"/>
          </w:tcPr>
          <w:tcPr/>
          <w:p>
            <w:pPr>
              <w:pStyle w:val="Compact"/>
              <w:jc w:val="left"/>
            </w:pPr>
            <w:r>
              <w:t xml:space="preserve">16</w:t>
            </w:r>
          </w:p>
        </w:tc>
        <w:tc>
          <w:tcPr>
            <w:tcW w:w="1406" w:type="dxa"/>
          </w:tcPr>
          <w:tcPr/>
          <w:p>
            <w:pPr>
              <w:pStyle w:val="Compact"/>
              <w:jc w:val="left"/>
            </w:pPr>
            <w:r>
              <w:t xml:space="preserve">Cameroun</w:t>
            </w:r>
          </w:p>
        </w:tc>
        <w:tc>
          <w:tcPr>
            <w:tcW w:w="705" w:type="dxa"/>
          </w:tcPr>
          <w:tcPr/>
          <w:p>
            <w:pPr>
              <w:pStyle w:val="Compact"/>
              <w:jc w:val="left"/>
            </w:pPr>
            <w:r>
              <w:t xml:space="preserve">CMR</w:t>
            </w:r>
          </w:p>
        </w:tc>
        <w:tc>
          <w:tcPr>
            <w:tcW w:w="2644" w:type="dxa"/>
          </w:tcPr>
          <w:tcPr/>
          <w:p>
            <w:pPr>
              <w:pStyle w:val="Compact"/>
              <w:jc w:val="left"/>
            </w:pPr>
            <w:r>
              <w:t xml:space="preserve">C2 — 24 sept. 2025</w:t>
            </w:r>
          </w:p>
        </w:tc>
        <w:tc>
          <w:tcPr>
            <w:tcW w:w="2210" w:type="dxa"/>
          </w:tcPr>
          <w:tcPr/>
          <w:p>
            <w:pPr>
              <w:pStyle w:val="Compact"/>
              <w:jc w:val="left"/>
            </w:pPr>
            <w:r>
              <w:t xml:space="preserve">New York</w:t>
            </w:r>
          </w:p>
        </w:tc>
        <w:tc>
          <w:tcPr>
            <w:tcW w:w="4645" w:type="dxa"/>
          </w:tcPr>
          <w:tcPr/>
          <w:p>
            <w:pPr>
              <w:pStyle w:val="Compact"/>
              <w:jc w:val="left"/>
            </w:pPr>
            <w:r>
              <w:rPr>
                <w:rStyle w:val="VerbatimChar"/>
              </w:rPr>
              <w:t xml:space="preserve">{BM}Cameroon-National-Energy-Compact-Mission-300.pdf</w:t>
            </w:r>
          </w:p>
        </w:tc>
        <w:tc>
          <w:tcPr>
            <w:tcW w:w="937" w:type="dxa"/>
          </w:tcPr>
          <w:tcPr/>
          <w:p>
            <w:pPr>
              <w:pStyle w:val="Compact"/>
              <w:jc w:val="left"/>
            </w:pPr>
            <w:r>
              <w:t xml:space="preserve">[V]</w:t>
            </w:r>
          </w:p>
        </w:tc>
        <w:tc>
          <w:tcPr>
            <w:tcW w:w="1322" w:type="dxa"/>
          </w:tcPr>
          <w:tcPr/>
          <w:p>
            <w:pPr>
              <w:pStyle w:val="Compact"/>
              <w:jc w:val="left"/>
            </w:pPr>
            <w:r>
              <w:t xml:space="preserve">[1][4]</w:t>
            </w:r>
          </w:p>
        </w:tc>
      </w:tr>
      <w:tr>
        <w:tc>
          <w:tcPr>
            <w:tcW w:w="697" w:type="dxa"/>
          </w:tcPr>
          <w:tcPr/>
          <w:p>
            <w:pPr>
              <w:pStyle w:val="Compact"/>
              <w:jc w:val="left"/>
            </w:pPr>
            <w:r>
              <w:t xml:space="preserve">17</w:t>
            </w:r>
          </w:p>
        </w:tc>
        <w:tc>
          <w:tcPr>
            <w:tcW w:w="1406" w:type="dxa"/>
          </w:tcPr>
          <w:tcPr/>
          <w:p>
            <w:pPr>
              <w:pStyle w:val="Compact"/>
              <w:jc w:val="left"/>
            </w:pPr>
            <w:r>
              <w:t xml:space="preserve">Comores</w:t>
            </w:r>
          </w:p>
        </w:tc>
        <w:tc>
          <w:tcPr>
            <w:tcW w:w="705" w:type="dxa"/>
          </w:tcPr>
          <w:tcPr/>
          <w:p>
            <w:pPr>
              <w:pStyle w:val="Compact"/>
              <w:jc w:val="left"/>
            </w:pPr>
            <w:r>
              <w:t xml:space="preserve">COM</w:t>
            </w:r>
          </w:p>
        </w:tc>
        <w:tc>
          <w:tcPr>
            <w:tcW w:w="2644" w:type="dxa"/>
          </w:tcPr>
          <w:tcPr/>
          <w:p>
            <w:pPr>
              <w:pStyle w:val="Compact"/>
              <w:jc w:val="left"/>
            </w:pPr>
            <w:r>
              <w:t xml:space="preserve">C2 — 24 sept. 2025</w:t>
            </w:r>
          </w:p>
        </w:tc>
        <w:tc>
          <w:tcPr>
            <w:tcW w:w="2210" w:type="dxa"/>
          </w:tcPr>
          <w:tcPr/>
          <w:p>
            <w:pPr>
              <w:pStyle w:val="Compact"/>
              <w:jc w:val="left"/>
            </w:pPr>
            <w:r>
              <w:t xml:space="preserve">New York</w:t>
            </w:r>
          </w:p>
        </w:tc>
        <w:tc>
          <w:tcPr>
            <w:tcW w:w="4645" w:type="dxa"/>
          </w:tcPr>
          <w:tcPr/>
          <w:p>
            <w:pPr>
              <w:pStyle w:val="Compact"/>
              <w:jc w:val="left"/>
            </w:pPr>
            <w:r>
              <w:rPr>
                <w:rStyle w:val="VerbatimChar"/>
              </w:rPr>
              <w:t xml:space="preserve">{BM}Comoros-National-Energy-Compact-Mission-300.pdf</w:t>
            </w:r>
          </w:p>
        </w:tc>
        <w:tc>
          <w:tcPr>
            <w:tcW w:w="937" w:type="dxa"/>
          </w:tcPr>
          <w:tcPr/>
          <w:p>
            <w:pPr>
              <w:pStyle w:val="Compact"/>
              <w:jc w:val="left"/>
            </w:pPr>
            <w:r>
              <w:t xml:space="preserve">[V]</w:t>
            </w:r>
          </w:p>
        </w:tc>
        <w:tc>
          <w:tcPr>
            <w:tcW w:w="1322" w:type="dxa"/>
          </w:tcPr>
          <w:tcPr/>
          <w:p>
            <w:pPr>
              <w:pStyle w:val="Compact"/>
              <w:jc w:val="left"/>
            </w:pPr>
            <w:r>
              <w:t xml:space="preserve">[1][4]</w:t>
            </w:r>
          </w:p>
        </w:tc>
      </w:tr>
      <w:tr>
        <w:tc>
          <w:tcPr>
            <w:tcW w:w="697" w:type="dxa"/>
          </w:tcPr>
          <w:tcPr/>
          <w:p>
            <w:pPr>
              <w:pStyle w:val="Compact"/>
              <w:jc w:val="left"/>
            </w:pPr>
            <w:r>
              <w:t xml:space="preserve">18</w:t>
            </w:r>
          </w:p>
        </w:tc>
        <w:tc>
          <w:tcPr>
            <w:tcW w:w="1406" w:type="dxa"/>
          </w:tcPr>
          <w:tcPr/>
          <w:p>
            <w:pPr>
              <w:pStyle w:val="Compact"/>
              <w:jc w:val="left"/>
            </w:pPr>
            <w:r>
              <w:t xml:space="preserve">Congo (Rép.)</w:t>
            </w:r>
          </w:p>
        </w:tc>
        <w:tc>
          <w:tcPr>
            <w:tcW w:w="705" w:type="dxa"/>
          </w:tcPr>
          <w:tcPr/>
          <w:p>
            <w:pPr>
              <w:pStyle w:val="Compact"/>
              <w:jc w:val="left"/>
            </w:pPr>
            <w:r>
              <w:t xml:space="preserve">COG</w:t>
            </w:r>
          </w:p>
        </w:tc>
        <w:tc>
          <w:tcPr>
            <w:tcW w:w="2644" w:type="dxa"/>
          </w:tcPr>
          <w:tcPr/>
          <w:p>
            <w:pPr>
              <w:pStyle w:val="Compact"/>
              <w:jc w:val="left"/>
            </w:pPr>
            <w:r>
              <w:t xml:space="preserve">C2 — 24 sept. 2025</w:t>
            </w:r>
          </w:p>
        </w:tc>
        <w:tc>
          <w:tcPr>
            <w:tcW w:w="2210" w:type="dxa"/>
          </w:tcPr>
          <w:tcPr/>
          <w:p>
            <w:pPr>
              <w:pStyle w:val="Compact"/>
              <w:jc w:val="left"/>
            </w:pPr>
            <w:r>
              <w:t xml:space="preserve">New York</w:t>
            </w:r>
          </w:p>
        </w:tc>
        <w:tc>
          <w:tcPr>
            <w:tcW w:w="4645" w:type="dxa"/>
          </w:tcPr>
          <w:tcPr/>
          <w:p>
            <w:pPr>
              <w:pStyle w:val="Compact"/>
              <w:jc w:val="left"/>
            </w:pPr>
            <w:r>
              <w:rPr>
                <w:rStyle w:val="VerbatimChar"/>
              </w:rPr>
              <w:t xml:space="preserve">{BM}Congo-National-Energy-Compact-Mission-300.pdf</w:t>
            </w:r>
          </w:p>
        </w:tc>
        <w:tc>
          <w:tcPr>
            <w:tcW w:w="937" w:type="dxa"/>
          </w:tcPr>
          <w:tcPr/>
          <w:p>
            <w:pPr>
              <w:pStyle w:val="Compact"/>
              <w:jc w:val="left"/>
            </w:pPr>
            <w:r>
              <w:t xml:space="preserve">[V]</w:t>
            </w:r>
          </w:p>
        </w:tc>
        <w:tc>
          <w:tcPr>
            <w:tcW w:w="1322" w:type="dxa"/>
          </w:tcPr>
          <w:tcPr/>
          <w:p>
            <w:pPr>
              <w:pStyle w:val="Compact"/>
              <w:jc w:val="left"/>
            </w:pPr>
            <w:r>
              <w:t xml:space="preserve">[1][4]</w:t>
            </w:r>
          </w:p>
        </w:tc>
      </w:tr>
      <w:tr>
        <w:tc>
          <w:tcPr>
            <w:tcW w:w="697" w:type="dxa"/>
          </w:tcPr>
          <w:tcPr/>
          <w:p>
            <w:pPr>
              <w:pStyle w:val="Compact"/>
              <w:jc w:val="left"/>
            </w:pPr>
            <w:r>
              <w:t xml:space="preserve">19</w:t>
            </w:r>
          </w:p>
        </w:tc>
        <w:tc>
          <w:tcPr>
            <w:tcW w:w="1406" w:type="dxa"/>
          </w:tcPr>
          <w:tcPr/>
          <w:p>
            <w:pPr>
              <w:pStyle w:val="Compact"/>
              <w:jc w:val="left"/>
            </w:pPr>
            <w:r>
              <w:t xml:space="preserve">Éthiopie</w:t>
            </w:r>
          </w:p>
        </w:tc>
        <w:tc>
          <w:tcPr>
            <w:tcW w:w="705" w:type="dxa"/>
          </w:tcPr>
          <w:tcPr/>
          <w:p>
            <w:pPr>
              <w:pStyle w:val="Compact"/>
              <w:jc w:val="left"/>
            </w:pPr>
            <w:r>
              <w:t xml:space="preserve">ETH</w:t>
            </w:r>
          </w:p>
        </w:tc>
        <w:tc>
          <w:tcPr>
            <w:tcW w:w="2644" w:type="dxa"/>
          </w:tcPr>
          <w:tcPr/>
          <w:p>
            <w:pPr>
              <w:pStyle w:val="Compact"/>
              <w:jc w:val="left"/>
            </w:pPr>
            <w:r>
              <w:t xml:space="preserve">C2 — 24 sept. 2025</w:t>
            </w:r>
          </w:p>
        </w:tc>
        <w:tc>
          <w:tcPr>
            <w:tcW w:w="2210" w:type="dxa"/>
          </w:tcPr>
          <w:tcPr/>
          <w:p>
            <w:pPr>
              <w:pStyle w:val="Compact"/>
              <w:jc w:val="left"/>
            </w:pPr>
            <w:r>
              <w:t xml:space="preserve">New York (re-présenté en mars 2026 au Cap, cf. D6)</w:t>
            </w:r>
          </w:p>
        </w:tc>
        <w:tc>
          <w:tcPr>
            <w:tcW w:w="4645" w:type="dxa"/>
          </w:tcPr>
          <w:tcPr/>
          <w:p>
            <w:pPr>
              <w:pStyle w:val="Compact"/>
              <w:jc w:val="left"/>
            </w:pPr>
            <w:r>
              <w:rPr>
                <w:rStyle w:val="VerbatimChar"/>
              </w:rPr>
              <w:t xml:space="preserve">{BM}Ethiopia-National-Energy-Compact-Mission-300.pdf</w:t>
            </w:r>
          </w:p>
        </w:tc>
        <w:tc>
          <w:tcPr>
            <w:tcW w:w="937" w:type="dxa"/>
          </w:tcPr>
          <w:tcPr/>
          <w:p>
            <w:pPr>
              <w:pStyle w:val="Compact"/>
              <w:jc w:val="left"/>
            </w:pPr>
            <w:r>
              <w:t xml:space="preserve">[V]</w:t>
            </w:r>
          </w:p>
        </w:tc>
        <w:tc>
          <w:tcPr>
            <w:tcW w:w="1322" w:type="dxa"/>
          </w:tcPr>
          <w:tcPr/>
          <w:p>
            <w:pPr>
              <w:pStyle w:val="Compact"/>
              <w:jc w:val="left"/>
            </w:pPr>
            <w:r>
              <w:t xml:space="preserve">[1][4][12]</w:t>
            </w:r>
          </w:p>
        </w:tc>
      </w:tr>
      <w:tr>
        <w:tc>
          <w:tcPr>
            <w:tcW w:w="697" w:type="dxa"/>
          </w:tcPr>
          <w:tcPr/>
          <w:p>
            <w:pPr>
              <w:pStyle w:val="Compact"/>
              <w:jc w:val="left"/>
            </w:pPr>
            <w:r>
              <w:t xml:space="preserve">20</w:t>
            </w:r>
          </w:p>
        </w:tc>
        <w:tc>
          <w:tcPr>
            <w:tcW w:w="1406" w:type="dxa"/>
          </w:tcPr>
          <w:tcPr/>
          <w:p>
            <w:pPr>
              <w:pStyle w:val="Compact"/>
              <w:jc w:val="left"/>
            </w:pPr>
            <w:r>
              <w:t xml:space="preserve">Gambie</w:t>
            </w:r>
          </w:p>
        </w:tc>
        <w:tc>
          <w:tcPr>
            <w:tcW w:w="705" w:type="dxa"/>
          </w:tcPr>
          <w:tcPr/>
          <w:p>
            <w:pPr>
              <w:pStyle w:val="Compact"/>
              <w:jc w:val="left"/>
            </w:pPr>
            <w:r>
              <w:t xml:space="preserve">GMB</w:t>
            </w:r>
          </w:p>
        </w:tc>
        <w:tc>
          <w:tcPr>
            <w:tcW w:w="2644" w:type="dxa"/>
          </w:tcPr>
          <w:tcPr/>
          <w:p>
            <w:pPr>
              <w:pStyle w:val="Compact"/>
              <w:jc w:val="left"/>
            </w:pPr>
            <w:r>
              <w:t xml:space="preserve">C2 — 24 sept. 2025</w:t>
            </w:r>
          </w:p>
        </w:tc>
        <w:tc>
          <w:tcPr>
            <w:tcW w:w="2210" w:type="dxa"/>
          </w:tcPr>
          <w:tcPr/>
          <w:p>
            <w:pPr>
              <w:pStyle w:val="Compact"/>
              <w:jc w:val="left"/>
            </w:pPr>
            <w:r>
              <w:t xml:space="preserve">New York</w:t>
            </w:r>
          </w:p>
        </w:tc>
        <w:tc>
          <w:tcPr>
            <w:tcW w:w="4645" w:type="dxa"/>
          </w:tcPr>
          <w:tcPr/>
          <w:p>
            <w:pPr>
              <w:pStyle w:val="Compact"/>
              <w:jc w:val="left"/>
            </w:pPr>
            <w:r>
              <w:rPr>
                <w:rStyle w:val="VerbatimChar"/>
              </w:rPr>
              <w:t xml:space="preserve">{BM}Gambia-National-Energy-Compact-Mission-300.pdf</w:t>
            </w:r>
          </w:p>
        </w:tc>
        <w:tc>
          <w:tcPr>
            <w:tcW w:w="937" w:type="dxa"/>
          </w:tcPr>
          <w:tcPr/>
          <w:p>
            <w:pPr>
              <w:pStyle w:val="Compact"/>
              <w:jc w:val="left"/>
            </w:pPr>
            <w:r>
              <w:t xml:space="preserve">[V]</w:t>
            </w:r>
          </w:p>
        </w:tc>
        <w:tc>
          <w:tcPr>
            <w:tcW w:w="1322" w:type="dxa"/>
          </w:tcPr>
          <w:tcPr/>
          <w:p>
            <w:pPr>
              <w:pStyle w:val="Compact"/>
              <w:jc w:val="left"/>
            </w:pPr>
            <w:r>
              <w:t xml:space="preserve">[1][4]</w:t>
            </w:r>
          </w:p>
        </w:tc>
      </w:tr>
      <w:tr>
        <w:tc>
          <w:tcPr>
            <w:tcW w:w="697" w:type="dxa"/>
          </w:tcPr>
          <w:tcPr/>
          <w:p>
            <w:pPr>
              <w:pStyle w:val="Compact"/>
              <w:jc w:val="left"/>
            </w:pPr>
            <w:r>
              <w:t xml:space="preserve">21</w:t>
            </w:r>
          </w:p>
        </w:tc>
        <w:tc>
          <w:tcPr>
            <w:tcW w:w="1406" w:type="dxa"/>
          </w:tcPr>
          <w:tcPr/>
          <w:p>
            <w:pPr>
              <w:pStyle w:val="Compact"/>
              <w:jc w:val="left"/>
            </w:pPr>
            <w:r>
              <w:t xml:space="preserve">Ghana</w:t>
            </w:r>
          </w:p>
        </w:tc>
        <w:tc>
          <w:tcPr>
            <w:tcW w:w="705" w:type="dxa"/>
          </w:tcPr>
          <w:tcPr/>
          <w:p>
            <w:pPr>
              <w:pStyle w:val="Compact"/>
              <w:jc w:val="left"/>
            </w:pPr>
            <w:r>
              <w:t xml:space="preserve">GHA</w:t>
            </w:r>
          </w:p>
        </w:tc>
        <w:tc>
          <w:tcPr>
            <w:tcW w:w="2644" w:type="dxa"/>
          </w:tcPr>
          <w:tcPr/>
          <w:p>
            <w:pPr>
              <w:pStyle w:val="Compact"/>
              <w:jc w:val="left"/>
            </w:pPr>
            <w:r>
              <w:t xml:space="preserve">C2 — 24 sept. 2025</w:t>
            </w:r>
          </w:p>
        </w:tc>
        <w:tc>
          <w:tcPr>
            <w:tcW w:w="2210" w:type="dxa"/>
          </w:tcPr>
          <w:tcPr/>
          <w:p>
            <w:pPr>
              <w:pStyle w:val="Compact"/>
              <w:jc w:val="left"/>
            </w:pPr>
            <w:r>
              <w:t xml:space="preserve">New York</w:t>
            </w:r>
          </w:p>
        </w:tc>
        <w:tc>
          <w:tcPr>
            <w:tcW w:w="4645" w:type="dxa"/>
          </w:tcPr>
          <w:tcPr/>
          <w:p>
            <w:pPr>
              <w:pStyle w:val="Compact"/>
              <w:jc w:val="left"/>
            </w:pPr>
            <w:r>
              <w:rPr>
                <w:rStyle w:val="VerbatimChar"/>
              </w:rPr>
              <w:t xml:space="preserve">{BM}Ghana-National-Energy-Compact-Mission-300.pdf</w:t>
            </w:r>
          </w:p>
        </w:tc>
        <w:tc>
          <w:tcPr>
            <w:tcW w:w="937" w:type="dxa"/>
          </w:tcPr>
          <w:tcPr/>
          <w:p>
            <w:pPr>
              <w:pStyle w:val="Compact"/>
              <w:jc w:val="left"/>
            </w:pPr>
            <w:r>
              <w:t xml:space="preserve">[V]</w:t>
            </w:r>
          </w:p>
        </w:tc>
        <w:tc>
          <w:tcPr>
            <w:tcW w:w="1322" w:type="dxa"/>
          </w:tcPr>
          <w:tcPr/>
          <w:p>
            <w:pPr>
              <w:pStyle w:val="Compact"/>
              <w:jc w:val="left"/>
            </w:pPr>
            <w:r>
              <w:t xml:space="preserve">[1][4]</w:t>
            </w:r>
          </w:p>
        </w:tc>
      </w:tr>
      <w:tr>
        <w:tc>
          <w:tcPr>
            <w:tcW w:w="697" w:type="dxa"/>
          </w:tcPr>
          <w:tcPr/>
          <w:p>
            <w:pPr>
              <w:pStyle w:val="Compact"/>
              <w:jc w:val="left"/>
            </w:pPr>
            <w:r>
              <w:t xml:space="preserve">22</w:t>
            </w:r>
          </w:p>
        </w:tc>
        <w:tc>
          <w:tcPr>
            <w:tcW w:w="1406" w:type="dxa"/>
          </w:tcPr>
          <w:tcPr/>
          <w:p>
            <w:pPr>
              <w:pStyle w:val="Compact"/>
              <w:jc w:val="left"/>
            </w:pPr>
            <w:r>
              <w:t xml:space="preserve">Guinée</w:t>
            </w:r>
          </w:p>
        </w:tc>
        <w:tc>
          <w:tcPr>
            <w:tcW w:w="705" w:type="dxa"/>
          </w:tcPr>
          <w:tcPr/>
          <w:p>
            <w:pPr>
              <w:pStyle w:val="Compact"/>
              <w:jc w:val="left"/>
            </w:pPr>
            <w:r>
              <w:t xml:space="preserve">GIN</w:t>
            </w:r>
          </w:p>
        </w:tc>
        <w:tc>
          <w:tcPr>
            <w:tcW w:w="2644" w:type="dxa"/>
          </w:tcPr>
          <w:tcPr/>
          <w:p>
            <w:pPr>
              <w:pStyle w:val="Compact"/>
              <w:jc w:val="left"/>
            </w:pPr>
            <w:r>
              <w:t xml:space="preserve">C2 — 24 sept. 2025</w:t>
            </w:r>
          </w:p>
        </w:tc>
        <w:tc>
          <w:tcPr>
            <w:tcW w:w="2210" w:type="dxa"/>
          </w:tcPr>
          <w:tcPr/>
          <w:p>
            <w:pPr>
              <w:pStyle w:val="Compact"/>
              <w:jc w:val="left"/>
            </w:pPr>
            <w:r>
              <w:t xml:space="preserve">New York</w:t>
            </w:r>
          </w:p>
        </w:tc>
        <w:tc>
          <w:tcPr>
            <w:tcW w:w="4645" w:type="dxa"/>
          </w:tcPr>
          <w:tcPr/>
          <w:p>
            <w:pPr>
              <w:pStyle w:val="Compact"/>
              <w:jc w:val="left"/>
            </w:pPr>
            <w:r>
              <w:rPr>
                <w:rStyle w:val="VerbatimChar"/>
              </w:rPr>
              <w:t xml:space="preserve">{BM}Guinea-Compact-M300.pdf</w:t>
            </w:r>
          </w:p>
        </w:tc>
        <w:tc>
          <w:tcPr>
            <w:tcW w:w="937" w:type="dxa"/>
          </w:tcPr>
          <w:tcPr/>
          <w:p>
            <w:pPr>
              <w:pStyle w:val="Compact"/>
              <w:jc w:val="left"/>
            </w:pPr>
            <w:r>
              <w:t xml:space="preserve">[V]</w:t>
            </w:r>
          </w:p>
        </w:tc>
        <w:tc>
          <w:tcPr>
            <w:tcW w:w="1322" w:type="dxa"/>
          </w:tcPr>
          <w:tcPr/>
          <w:p>
            <w:pPr>
              <w:pStyle w:val="Compact"/>
              <w:jc w:val="left"/>
            </w:pPr>
            <w:r>
              <w:t xml:space="preserve">[1][4]</w:t>
            </w:r>
          </w:p>
        </w:tc>
      </w:tr>
      <w:tr>
        <w:tc>
          <w:tcPr>
            <w:tcW w:w="697" w:type="dxa"/>
          </w:tcPr>
          <w:tcPr/>
          <w:p>
            <w:pPr>
              <w:pStyle w:val="Compact"/>
              <w:jc w:val="left"/>
            </w:pPr>
            <w:r>
              <w:t xml:space="preserve">23</w:t>
            </w:r>
          </w:p>
        </w:tc>
        <w:tc>
          <w:tcPr>
            <w:tcW w:w="1406" w:type="dxa"/>
          </w:tcPr>
          <w:tcPr/>
          <w:p>
            <w:pPr>
              <w:pStyle w:val="Compact"/>
              <w:jc w:val="left"/>
            </w:pPr>
            <w:r>
              <w:t xml:space="preserve">Kenya</w:t>
            </w:r>
          </w:p>
        </w:tc>
        <w:tc>
          <w:tcPr>
            <w:tcW w:w="705" w:type="dxa"/>
          </w:tcPr>
          <w:tcPr/>
          <w:p>
            <w:pPr>
              <w:pStyle w:val="Compact"/>
              <w:jc w:val="left"/>
            </w:pPr>
            <w:r>
              <w:t xml:space="preserve">KEN</w:t>
            </w:r>
          </w:p>
        </w:tc>
        <w:tc>
          <w:tcPr>
            <w:tcW w:w="2644" w:type="dxa"/>
          </w:tcPr>
          <w:tcPr/>
          <w:p>
            <w:pPr>
              <w:pStyle w:val="Compact"/>
              <w:jc w:val="left"/>
            </w:pPr>
            <w:r>
              <w:t xml:space="preserve">C2 — 24 sept. 2025</w:t>
            </w:r>
          </w:p>
        </w:tc>
        <w:tc>
          <w:tcPr>
            <w:tcW w:w="2210" w:type="dxa"/>
          </w:tcPr>
          <w:tcPr/>
          <w:p>
            <w:pPr>
              <w:pStyle w:val="Compact"/>
              <w:jc w:val="left"/>
            </w:pPr>
            <w:r>
              <w:t xml:space="preserve">New York</w:t>
            </w:r>
          </w:p>
        </w:tc>
        <w:tc>
          <w:tcPr>
            <w:tcW w:w="4645" w:type="dxa"/>
          </w:tcPr>
          <w:tcPr/>
          <w:p>
            <w:pPr>
              <w:pStyle w:val="Compact"/>
              <w:jc w:val="left"/>
            </w:pPr>
            <w:r>
              <w:rPr>
                <w:rStyle w:val="VerbatimChar"/>
              </w:rPr>
              <w:t xml:space="preserve">{BM}Kenya-National-Energy-Compact-Mission-300.pdf</w:t>
            </w:r>
          </w:p>
        </w:tc>
        <w:tc>
          <w:tcPr>
            <w:tcW w:w="937" w:type="dxa"/>
          </w:tcPr>
          <w:tcPr/>
          <w:p>
            <w:pPr>
              <w:pStyle w:val="Compact"/>
              <w:jc w:val="left"/>
            </w:pPr>
            <w:r>
              <w:t xml:space="preserve">[V]</w:t>
            </w:r>
          </w:p>
        </w:tc>
        <w:tc>
          <w:tcPr>
            <w:tcW w:w="1322" w:type="dxa"/>
          </w:tcPr>
          <w:tcPr/>
          <w:p>
            <w:pPr>
              <w:pStyle w:val="Compact"/>
              <w:jc w:val="left"/>
            </w:pPr>
            <w:r>
              <w:t xml:space="preserve">[1][4]</w:t>
            </w:r>
          </w:p>
        </w:tc>
      </w:tr>
      <w:tr>
        <w:tc>
          <w:tcPr>
            <w:tcW w:w="697" w:type="dxa"/>
          </w:tcPr>
          <w:tcPr/>
          <w:p>
            <w:pPr>
              <w:pStyle w:val="Compact"/>
              <w:jc w:val="left"/>
            </w:pPr>
            <w:r>
              <w:t xml:space="preserve">24</w:t>
            </w:r>
          </w:p>
        </w:tc>
        <w:tc>
          <w:tcPr>
            <w:tcW w:w="1406" w:type="dxa"/>
          </w:tcPr>
          <w:tcPr/>
          <w:p>
            <w:pPr>
              <w:pStyle w:val="Compact"/>
              <w:jc w:val="left"/>
            </w:pPr>
            <w:r>
              <w:t xml:space="preserve">Lesotho</w:t>
            </w:r>
          </w:p>
        </w:tc>
        <w:tc>
          <w:tcPr>
            <w:tcW w:w="705" w:type="dxa"/>
          </w:tcPr>
          <w:tcPr/>
          <w:p>
            <w:pPr>
              <w:pStyle w:val="Compact"/>
              <w:jc w:val="left"/>
            </w:pPr>
            <w:r>
              <w:t xml:space="preserve">LSO</w:t>
            </w:r>
          </w:p>
        </w:tc>
        <w:tc>
          <w:tcPr>
            <w:tcW w:w="2644" w:type="dxa"/>
          </w:tcPr>
          <w:tcPr/>
          <w:p>
            <w:pPr>
              <w:pStyle w:val="Compact"/>
              <w:jc w:val="left"/>
            </w:pPr>
            <w:r>
              <w:t xml:space="preserve">C2 — 24 sept. 2025</w:t>
            </w:r>
          </w:p>
        </w:tc>
        <w:tc>
          <w:tcPr>
            <w:tcW w:w="2210" w:type="dxa"/>
          </w:tcPr>
          <w:tcPr/>
          <w:p>
            <w:pPr>
              <w:pStyle w:val="Compact"/>
              <w:jc w:val="left"/>
            </w:pPr>
            <w:r>
              <w:t xml:space="preserve">New York</w:t>
            </w:r>
          </w:p>
        </w:tc>
        <w:tc>
          <w:tcPr>
            <w:tcW w:w="4645" w:type="dxa"/>
          </w:tcPr>
          <w:tcPr/>
          <w:p>
            <w:pPr>
              <w:pStyle w:val="Compact"/>
              <w:jc w:val="left"/>
            </w:pPr>
            <w:r>
              <w:rPr>
                <w:rStyle w:val="VerbatimChar"/>
              </w:rPr>
              <w:t xml:space="preserve">{BM}Lesotho-National-Energy-Compact-Mission-300.pdf</w:t>
            </w:r>
          </w:p>
        </w:tc>
        <w:tc>
          <w:tcPr>
            <w:tcW w:w="937" w:type="dxa"/>
          </w:tcPr>
          <w:tcPr/>
          <w:p>
            <w:pPr>
              <w:pStyle w:val="Compact"/>
              <w:jc w:val="left"/>
            </w:pPr>
            <w:r>
              <w:t xml:space="preserve">[V]</w:t>
            </w:r>
          </w:p>
        </w:tc>
        <w:tc>
          <w:tcPr>
            <w:tcW w:w="1322" w:type="dxa"/>
          </w:tcPr>
          <w:tcPr/>
          <w:p>
            <w:pPr>
              <w:pStyle w:val="Compact"/>
              <w:jc w:val="left"/>
            </w:pPr>
            <w:r>
              <w:t xml:space="preserve">[1][4]</w:t>
            </w:r>
          </w:p>
        </w:tc>
      </w:tr>
      <w:tr>
        <w:tc>
          <w:tcPr>
            <w:tcW w:w="697" w:type="dxa"/>
          </w:tcPr>
          <w:tcPr/>
          <w:p>
            <w:pPr>
              <w:pStyle w:val="Compact"/>
              <w:jc w:val="left"/>
            </w:pPr>
            <w:r>
              <w:t xml:space="preserve">25</w:t>
            </w:r>
          </w:p>
        </w:tc>
        <w:tc>
          <w:tcPr>
            <w:tcW w:w="1406" w:type="dxa"/>
          </w:tcPr>
          <w:tcPr/>
          <w:p>
            <w:pPr>
              <w:pStyle w:val="Compact"/>
              <w:jc w:val="left"/>
            </w:pPr>
            <w:r>
              <w:t xml:space="preserve">Mozambique</w:t>
            </w:r>
          </w:p>
        </w:tc>
        <w:tc>
          <w:tcPr>
            <w:tcW w:w="705" w:type="dxa"/>
          </w:tcPr>
          <w:tcPr/>
          <w:p>
            <w:pPr>
              <w:pStyle w:val="Compact"/>
              <w:jc w:val="left"/>
            </w:pPr>
            <w:r>
              <w:t xml:space="preserve">MOZ</w:t>
            </w:r>
          </w:p>
        </w:tc>
        <w:tc>
          <w:tcPr>
            <w:tcW w:w="2644" w:type="dxa"/>
          </w:tcPr>
          <w:tcPr/>
          <w:p>
            <w:pPr>
              <w:pStyle w:val="Compact"/>
              <w:jc w:val="left"/>
            </w:pPr>
            <w:r>
              <w:t xml:space="preserve">C2 — 24 sept. 2025</w:t>
            </w:r>
          </w:p>
        </w:tc>
        <w:tc>
          <w:tcPr>
            <w:tcW w:w="2210" w:type="dxa"/>
          </w:tcPr>
          <w:tcPr/>
          <w:p>
            <w:pPr>
              <w:pStyle w:val="Compact"/>
              <w:jc w:val="left"/>
            </w:pPr>
            <w:r>
              <w:t xml:space="preserve">New York</w:t>
            </w:r>
          </w:p>
        </w:tc>
        <w:tc>
          <w:tcPr>
            <w:tcW w:w="4645" w:type="dxa"/>
          </w:tcPr>
          <w:tcPr/>
          <w:p>
            <w:pPr>
              <w:pStyle w:val="Compact"/>
              <w:jc w:val="left"/>
            </w:pPr>
            <w:r>
              <w:rPr>
                <w:rStyle w:val="VerbatimChar"/>
              </w:rPr>
              <w:t xml:space="preserve">{BM}Mozambique-National-Energy-Compact-Mission-300.pdf</w:t>
            </w:r>
          </w:p>
        </w:tc>
        <w:tc>
          <w:tcPr>
            <w:tcW w:w="937" w:type="dxa"/>
          </w:tcPr>
          <w:tcPr/>
          <w:p>
            <w:pPr>
              <w:pStyle w:val="Compact"/>
              <w:jc w:val="left"/>
            </w:pPr>
            <w:r>
              <w:t xml:space="preserve">[V]</w:t>
            </w:r>
          </w:p>
        </w:tc>
        <w:tc>
          <w:tcPr>
            <w:tcW w:w="1322" w:type="dxa"/>
          </w:tcPr>
          <w:tcPr/>
          <w:p>
            <w:pPr>
              <w:pStyle w:val="Compact"/>
              <w:jc w:val="left"/>
            </w:pPr>
            <w:r>
              <w:t xml:space="preserve">[1][4]</w:t>
            </w:r>
          </w:p>
        </w:tc>
      </w:tr>
      <w:tr>
        <w:tc>
          <w:tcPr>
            <w:tcW w:w="697" w:type="dxa"/>
          </w:tcPr>
          <w:tcPr/>
          <w:p>
            <w:pPr>
              <w:pStyle w:val="Compact"/>
              <w:jc w:val="left"/>
            </w:pPr>
            <w:r>
              <w:t xml:space="preserve">26</w:t>
            </w:r>
          </w:p>
        </w:tc>
        <w:tc>
          <w:tcPr>
            <w:tcW w:w="1406" w:type="dxa"/>
          </w:tcPr>
          <w:tcPr/>
          <w:p>
            <w:pPr>
              <w:pStyle w:val="Compact"/>
              <w:jc w:val="left"/>
            </w:pPr>
            <w:r>
              <w:t xml:space="preserve">Namibie</w:t>
            </w:r>
          </w:p>
        </w:tc>
        <w:tc>
          <w:tcPr>
            <w:tcW w:w="705" w:type="dxa"/>
          </w:tcPr>
          <w:tcPr/>
          <w:p>
            <w:pPr>
              <w:pStyle w:val="Compact"/>
              <w:jc w:val="left"/>
            </w:pPr>
            <w:r>
              <w:t xml:space="preserve">NAM</w:t>
            </w:r>
          </w:p>
        </w:tc>
        <w:tc>
          <w:tcPr>
            <w:tcW w:w="2644" w:type="dxa"/>
          </w:tcPr>
          <w:tcPr/>
          <w:p>
            <w:pPr>
              <w:pStyle w:val="Compact"/>
              <w:jc w:val="left"/>
            </w:pPr>
            <w:r>
              <w:t xml:space="preserve">C2 — endossé 24 sept. 2025 (NY) ; page BM : « décembre 2025 » ; lancement national 18 déc. 2025</w:t>
            </w:r>
          </w:p>
        </w:tc>
        <w:tc>
          <w:tcPr>
            <w:tcW w:w="2210" w:type="dxa"/>
          </w:tcPr>
          <w:tcPr/>
          <w:p>
            <w:pPr>
              <w:pStyle w:val="Compact"/>
              <w:jc w:val="left"/>
            </w:pPr>
            <w:r>
              <w:t xml:space="preserve">New York puis Windhoek</w:t>
            </w:r>
          </w:p>
        </w:tc>
        <w:tc>
          <w:tcPr>
            <w:tcW w:w="4645" w:type="dxa"/>
          </w:tcPr>
          <w:tcPr/>
          <w:p>
            <w:pPr>
              <w:pStyle w:val="Compact"/>
              <w:jc w:val="left"/>
            </w:pPr>
            <w:r>
              <w:rPr>
                <w:rStyle w:val="VerbatimChar"/>
              </w:rPr>
              <w:t xml:space="preserve">{BM}Namibia-National-Energy-Compact-Mission-300.pdf</w:t>
            </w:r>
          </w:p>
        </w:tc>
        <w:tc>
          <w:tcPr>
            <w:tcW w:w="937" w:type="dxa"/>
          </w:tcPr>
          <w:tcPr/>
          <w:p>
            <w:pPr>
              <w:pStyle w:val="Compact"/>
              <w:jc w:val="left"/>
            </w:pPr>
            <w:r>
              <w:t xml:space="preserve">[V] (endossement, date page BM) / [S] (lancement Windhoek 18/12/2025)</w:t>
            </w:r>
          </w:p>
        </w:tc>
        <w:tc>
          <w:tcPr>
            <w:tcW w:w="1322" w:type="dxa"/>
          </w:tcPr>
          <w:tcPr/>
          <w:p>
            <w:pPr>
              <w:pStyle w:val="Compact"/>
              <w:jc w:val="left"/>
            </w:pPr>
            <w:r>
              <w:t xml:space="preserve">[1][4][10]</w:t>
            </w:r>
          </w:p>
        </w:tc>
      </w:tr>
      <w:tr>
        <w:tc>
          <w:tcPr>
            <w:tcW w:w="697" w:type="dxa"/>
          </w:tcPr>
          <w:tcPr/>
          <w:p>
            <w:pPr>
              <w:pStyle w:val="Compact"/>
              <w:jc w:val="left"/>
            </w:pPr>
            <w:r>
              <w:t xml:space="preserve">27</w:t>
            </w:r>
          </w:p>
        </w:tc>
        <w:tc>
          <w:tcPr>
            <w:tcW w:w="1406" w:type="dxa"/>
          </w:tcPr>
          <w:tcPr/>
          <w:p>
            <w:pPr>
              <w:pStyle w:val="Compact"/>
              <w:jc w:val="left"/>
            </w:pPr>
            <w:r>
              <w:t xml:space="preserve">São Tomé-et-Príncipe</w:t>
            </w:r>
          </w:p>
        </w:tc>
        <w:tc>
          <w:tcPr>
            <w:tcW w:w="705" w:type="dxa"/>
          </w:tcPr>
          <w:tcPr/>
          <w:p>
            <w:pPr>
              <w:pStyle w:val="Compact"/>
              <w:jc w:val="left"/>
            </w:pPr>
            <w:r>
              <w:t xml:space="preserve">STP</w:t>
            </w:r>
          </w:p>
        </w:tc>
        <w:tc>
          <w:tcPr>
            <w:tcW w:w="2644" w:type="dxa"/>
          </w:tcPr>
          <w:tcPr/>
          <w:p>
            <w:pPr>
              <w:pStyle w:val="Compact"/>
              <w:jc w:val="left"/>
            </w:pPr>
            <w:r>
              <w:t xml:space="preserve">C2 — 24 sept. 2025</w:t>
            </w:r>
          </w:p>
        </w:tc>
        <w:tc>
          <w:tcPr>
            <w:tcW w:w="2210" w:type="dxa"/>
          </w:tcPr>
          <w:tcPr/>
          <w:p>
            <w:pPr>
              <w:pStyle w:val="Compact"/>
              <w:jc w:val="left"/>
            </w:pPr>
            <w:r>
              <w:t xml:space="preserve">New York</w:t>
            </w:r>
          </w:p>
        </w:tc>
        <w:tc>
          <w:tcPr>
            <w:tcW w:w="4645" w:type="dxa"/>
          </w:tcPr>
          <w:tcPr/>
          <w:p>
            <w:pPr>
              <w:pStyle w:val="Compact"/>
              <w:jc w:val="left"/>
            </w:pPr>
            <w:r>
              <w:rPr>
                <w:rStyle w:val="VerbatimChar"/>
              </w:rPr>
              <w:t xml:space="preserve">{BM}Sao-Tome-National-Energy-Compact-Mission-300.pdf</w:t>
            </w:r>
          </w:p>
        </w:tc>
        <w:tc>
          <w:tcPr>
            <w:tcW w:w="937" w:type="dxa"/>
          </w:tcPr>
          <w:tcPr/>
          <w:p>
            <w:pPr>
              <w:pStyle w:val="Compact"/>
              <w:jc w:val="left"/>
            </w:pPr>
            <w:r>
              <w:t xml:space="preserve">[V]</w:t>
            </w:r>
          </w:p>
        </w:tc>
        <w:tc>
          <w:tcPr>
            <w:tcW w:w="1322" w:type="dxa"/>
          </w:tcPr>
          <w:tcPr/>
          <w:p>
            <w:pPr>
              <w:pStyle w:val="Compact"/>
              <w:jc w:val="left"/>
            </w:pPr>
            <w:r>
              <w:t xml:space="preserve">[1][4]</w:t>
            </w:r>
          </w:p>
        </w:tc>
      </w:tr>
      <w:tr>
        <w:tc>
          <w:tcPr>
            <w:tcW w:w="697" w:type="dxa"/>
          </w:tcPr>
          <w:tcPr/>
          <w:p>
            <w:pPr>
              <w:pStyle w:val="Compact"/>
              <w:jc w:val="left"/>
            </w:pPr>
            <w:r>
              <w:t xml:space="preserve">28</w:t>
            </w:r>
          </w:p>
        </w:tc>
        <w:tc>
          <w:tcPr>
            <w:tcW w:w="1406" w:type="dxa"/>
          </w:tcPr>
          <w:tcPr/>
          <w:p>
            <w:pPr>
              <w:pStyle w:val="Compact"/>
              <w:jc w:val="left"/>
            </w:pPr>
            <w:r>
              <w:t xml:space="preserve">Sierra Leone</w:t>
            </w:r>
          </w:p>
        </w:tc>
        <w:tc>
          <w:tcPr>
            <w:tcW w:w="705" w:type="dxa"/>
          </w:tcPr>
          <w:tcPr/>
          <w:p>
            <w:pPr>
              <w:pStyle w:val="Compact"/>
              <w:jc w:val="left"/>
            </w:pPr>
            <w:r>
              <w:t xml:space="preserve">SLE</w:t>
            </w:r>
          </w:p>
        </w:tc>
        <w:tc>
          <w:tcPr>
            <w:tcW w:w="2644" w:type="dxa"/>
          </w:tcPr>
          <w:tcPr/>
          <w:p>
            <w:pPr>
              <w:pStyle w:val="Compact"/>
              <w:jc w:val="left"/>
            </w:pPr>
            <w:r>
              <w:t xml:space="preserve">C2 — 24 sept. 2025</w:t>
            </w:r>
          </w:p>
        </w:tc>
        <w:tc>
          <w:tcPr>
            <w:tcW w:w="2210" w:type="dxa"/>
          </w:tcPr>
          <w:tcPr/>
          <w:p>
            <w:pPr>
              <w:pStyle w:val="Compact"/>
              <w:jc w:val="left"/>
            </w:pPr>
            <w:r>
              <w:t xml:space="preserve">New York</w:t>
            </w:r>
          </w:p>
        </w:tc>
        <w:tc>
          <w:tcPr>
            <w:tcW w:w="4645" w:type="dxa"/>
          </w:tcPr>
          <w:tcPr/>
          <w:p>
            <w:pPr>
              <w:pStyle w:val="Compact"/>
              <w:jc w:val="left"/>
            </w:pPr>
            <w:r>
              <w:rPr>
                <w:rStyle w:val="VerbatimChar"/>
              </w:rPr>
              <w:t xml:space="preserve">{BM}Sierra-Leone-National-Energy-Compact-Mission-300.pdf</w:t>
            </w:r>
          </w:p>
        </w:tc>
        <w:tc>
          <w:tcPr>
            <w:tcW w:w="937" w:type="dxa"/>
          </w:tcPr>
          <w:tcPr/>
          <w:p>
            <w:pPr>
              <w:pStyle w:val="Compact"/>
              <w:jc w:val="left"/>
            </w:pPr>
            <w:r>
              <w:t xml:space="preserve">[V]</w:t>
            </w:r>
          </w:p>
        </w:tc>
        <w:tc>
          <w:tcPr>
            <w:tcW w:w="1322" w:type="dxa"/>
          </w:tcPr>
          <w:tcPr/>
          <w:p>
            <w:pPr>
              <w:pStyle w:val="Compact"/>
              <w:jc w:val="left"/>
            </w:pPr>
            <w:r>
              <w:t xml:space="preserve">[1][4]</w:t>
            </w:r>
          </w:p>
        </w:tc>
      </w:tr>
      <w:tr>
        <w:tc>
          <w:tcPr>
            <w:tcW w:w="697" w:type="dxa"/>
          </w:tcPr>
          <w:tcPr/>
          <w:p>
            <w:pPr>
              <w:pStyle w:val="Compact"/>
              <w:jc w:val="left"/>
            </w:pPr>
            <w:r>
              <w:t xml:space="preserve">29</w:t>
            </w:r>
          </w:p>
        </w:tc>
        <w:tc>
          <w:tcPr>
            <w:tcW w:w="1406" w:type="dxa"/>
          </w:tcPr>
          <w:tcPr/>
          <w:p>
            <w:pPr>
              <w:pStyle w:val="Compact"/>
              <w:jc w:val="left"/>
            </w:pPr>
            <w:r>
              <w:t xml:space="preserve">Togo</w:t>
            </w:r>
          </w:p>
        </w:tc>
        <w:tc>
          <w:tcPr>
            <w:tcW w:w="705" w:type="dxa"/>
          </w:tcPr>
          <w:tcPr/>
          <w:p>
            <w:pPr>
              <w:pStyle w:val="Compact"/>
              <w:jc w:val="left"/>
            </w:pPr>
            <w:r>
              <w:t xml:space="preserve">TGO</w:t>
            </w:r>
          </w:p>
        </w:tc>
        <w:tc>
          <w:tcPr>
            <w:tcW w:w="2644" w:type="dxa"/>
          </w:tcPr>
          <w:tcPr/>
          <w:p>
            <w:pPr>
              <w:pStyle w:val="Compact"/>
              <w:jc w:val="left"/>
            </w:pPr>
            <w:r>
              <w:t xml:space="preserve">C2 — 24 sept. 2025</w:t>
            </w:r>
          </w:p>
        </w:tc>
        <w:tc>
          <w:tcPr>
            <w:tcW w:w="2210" w:type="dxa"/>
          </w:tcPr>
          <w:tcPr/>
          <w:p>
            <w:pPr>
              <w:pStyle w:val="Compact"/>
              <w:jc w:val="left"/>
            </w:pPr>
            <w:r>
              <w:t xml:space="preserve">New York</w:t>
            </w:r>
          </w:p>
        </w:tc>
        <w:tc>
          <w:tcPr>
            <w:tcW w:w="4645" w:type="dxa"/>
          </w:tcPr>
          <w:tcPr/>
          <w:p>
            <w:pPr>
              <w:pStyle w:val="Compact"/>
              <w:jc w:val="left"/>
            </w:pPr>
            <w:r>
              <w:rPr>
                <w:rStyle w:val="VerbatimChar"/>
              </w:rPr>
              <w:t xml:space="preserve">{BM}Togo-National-Energy-Compact-Mission-300.pdf</w:t>
            </w:r>
          </w:p>
        </w:tc>
        <w:tc>
          <w:tcPr>
            <w:tcW w:w="937" w:type="dxa"/>
          </w:tcPr>
          <w:tcPr/>
          <w:p>
            <w:pPr>
              <w:pStyle w:val="Compact"/>
              <w:jc w:val="left"/>
            </w:pPr>
            <w:r>
              <w:t xml:space="preserve">[V]</w:t>
            </w:r>
          </w:p>
        </w:tc>
        <w:tc>
          <w:tcPr>
            <w:tcW w:w="1322" w:type="dxa"/>
          </w:tcPr>
          <w:tcPr/>
          <w:p>
            <w:pPr>
              <w:pStyle w:val="Compact"/>
              <w:jc w:val="left"/>
            </w:pPr>
            <w:r>
              <w:t xml:space="preserve">[1][4]</w:t>
            </w:r>
          </w:p>
        </w:tc>
      </w:tr>
      <w:tr>
        <w:tc>
          <w:tcPr>
            <w:tcW w:w="697" w:type="dxa"/>
          </w:tcPr>
          <w:tcPr/>
          <w:p>
            <w:pPr>
              <w:pStyle w:val="Compact"/>
              <w:jc w:val="left"/>
            </w:pPr>
            <w:r>
              <w:t xml:space="preserve">30</w:t>
            </w:r>
          </w:p>
        </w:tc>
        <w:tc>
          <w:tcPr>
            <w:tcW w:w="1406" w:type="dxa"/>
          </w:tcPr>
          <w:tcPr/>
          <w:p>
            <w:pPr>
              <w:pStyle w:val="Compact"/>
              <w:jc w:val="left"/>
            </w:pPr>
            <w:r>
              <w:rPr>
                <w:bCs/>
                <w:b/>
              </w:rPr>
              <w:t xml:space="preserve">Zimbabwe</w:t>
            </w:r>
            <w:r>
              <w:t xml:space="preserve"> </w:t>
            </w:r>
            <w:r>
              <w:t xml:space="preserve">(nouveau)</w:t>
            </w:r>
          </w:p>
        </w:tc>
        <w:tc>
          <w:tcPr>
            <w:tcW w:w="705" w:type="dxa"/>
          </w:tcPr>
          <w:tcPr/>
          <w:p>
            <w:pPr>
              <w:pStyle w:val="Compact"/>
              <w:jc w:val="left"/>
            </w:pPr>
            <w:r>
              <w:t xml:space="preserve">ZWE</w:t>
            </w:r>
          </w:p>
        </w:tc>
        <w:tc>
          <w:tcPr>
            <w:tcW w:w="2644" w:type="dxa"/>
          </w:tcPr>
          <w:tcPr/>
          <w:p>
            <w:pPr>
              <w:pStyle w:val="Compact"/>
              <w:jc w:val="left"/>
            </w:pPr>
            <w:r>
              <w:t xml:space="preserve">oct. 2025 — rattaché à la « 2e cohorte de 18 pays » selon son rapport d’avancement ; jour exact [?]</w:t>
            </w:r>
          </w:p>
        </w:tc>
        <w:tc>
          <w:tcPr>
            <w:tcW w:w="2210" w:type="dxa"/>
          </w:tcPr>
          <w:tcPr/>
          <w:p>
            <w:pPr>
              <w:pStyle w:val="Compact"/>
              <w:jc w:val="left"/>
            </w:pPr>
            <w:r>
              <w:t xml:space="preserve">Johannesburg (Africa Capital Markets Forum)</w:t>
            </w:r>
          </w:p>
        </w:tc>
        <w:tc>
          <w:tcPr>
            <w:tcW w:w="4645" w:type="dxa"/>
          </w:tcPr>
          <w:tcPr/>
          <w:p>
            <w:pPr>
              <w:pStyle w:val="Compact"/>
              <w:jc w:val="left"/>
            </w:pPr>
            <w:r>
              <w:rPr>
                <w:rStyle w:val="VerbatimChar"/>
              </w:rPr>
              <w:t xml:space="preserve">{BM}Zimbabwe-National-Energy-Compact-Mission-300.pdf</w:t>
            </w:r>
          </w:p>
        </w:tc>
        <w:tc>
          <w:tcPr>
            <w:tcW w:w="937" w:type="dxa"/>
          </w:tcPr>
          <w:tcPr/>
          <w:p>
            <w:pPr>
              <w:pStyle w:val="Compact"/>
              <w:jc w:val="left"/>
            </w:pPr>
            <w:r>
              <w:t xml:space="preserve">[V]</w:t>
            </w:r>
          </w:p>
        </w:tc>
        <w:tc>
          <w:tcPr>
            <w:tcW w:w="1322" w:type="dxa"/>
          </w:tcPr>
          <w:tcPr/>
          <w:p>
            <w:pPr>
              <w:pStyle w:val="Compact"/>
              <w:jc w:val="left"/>
            </w:pPr>
            <w:r>
              <w:t xml:space="preserve">[1][8][11]</w:t>
            </w:r>
          </w:p>
        </w:tc>
      </w:tr>
      <w:tr>
        <w:tc>
          <w:tcPr>
            <w:tcW w:w="697" w:type="dxa"/>
          </w:tcPr>
          <w:tcPr/>
          <w:p>
            <w:pPr>
              <w:pStyle w:val="Compact"/>
              <w:jc w:val="left"/>
            </w:pPr>
            <w:r>
              <w:t xml:space="preserve">31</w:t>
            </w:r>
          </w:p>
        </w:tc>
        <w:tc>
          <w:tcPr>
            <w:tcW w:w="1406" w:type="dxa"/>
          </w:tcPr>
          <w:tcPr/>
          <w:p>
            <w:pPr>
              <w:pStyle w:val="Compact"/>
              <w:jc w:val="left"/>
            </w:pPr>
            <w:r>
              <w:t xml:space="preserve">Burkina Faso</w:t>
            </w:r>
          </w:p>
        </w:tc>
        <w:tc>
          <w:tcPr>
            <w:tcW w:w="705" w:type="dxa"/>
          </w:tcPr>
          <w:tcPr/>
          <w:p>
            <w:pPr>
              <w:pStyle w:val="Compact"/>
              <w:jc w:val="left"/>
            </w:pPr>
            <w:r>
              <w:t xml:space="preserve">BFA</w:t>
            </w:r>
          </w:p>
        </w:tc>
        <w:tc>
          <w:tcPr>
            <w:tcW w:w="2644" w:type="dxa"/>
          </w:tcPr>
          <w:tcPr/>
          <w:p>
            <w:pPr>
              <w:pStyle w:val="Compact"/>
              <w:jc w:val="left"/>
            </w:pPr>
            <w:r>
              <w:t xml:space="preserve">C3 — juin 2026</w:t>
            </w:r>
          </w:p>
        </w:tc>
        <w:tc>
          <w:tcPr>
            <w:tcW w:w="2210" w:type="dxa"/>
          </w:tcPr>
          <w:tcPr/>
          <w:p>
            <w:pPr>
              <w:pStyle w:val="Compact"/>
              <w:jc w:val="left"/>
            </w:pPr>
            <w:r>
              <w:t xml:space="preserve">Africa Energy Forum 2026, Cape Town (ville [S])</w:t>
            </w:r>
          </w:p>
        </w:tc>
        <w:tc>
          <w:tcPr>
            <w:tcW w:w="4645" w:type="dxa"/>
          </w:tcPr>
          <w:tcPr/>
          <w:p>
            <w:pPr>
              <w:pStyle w:val="Compact"/>
              <w:jc w:val="left"/>
            </w:pPr>
            <w:r>
              <w:rPr>
                <w:rStyle w:val="VerbatimChar"/>
              </w:rPr>
              <w:t xml:space="preserve">{BM}Burkina-Faso-National-Energy-Compact-Mission-300.pdf</w:t>
            </w:r>
          </w:p>
        </w:tc>
        <w:tc>
          <w:tcPr>
            <w:tcW w:w="937" w:type="dxa"/>
          </w:tcPr>
          <w:tcPr/>
          <w:p>
            <w:pPr>
              <w:pStyle w:val="Compact"/>
              <w:jc w:val="left"/>
            </w:pPr>
            <w:r>
              <w:t xml:space="preserve">[V]</w:t>
            </w:r>
          </w:p>
        </w:tc>
        <w:tc>
          <w:tcPr>
            <w:tcW w:w="1322" w:type="dxa"/>
          </w:tcPr>
          <w:tcPr/>
          <w:p>
            <w:pPr>
              <w:pStyle w:val="Compact"/>
              <w:jc w:val="left"/>
            </w:pPr>
            <w:r>
              <w:t xml:space="preserve">[1][5][6][9]</w:t>
            </w:r>
          </w:p>
        </w:tc>
      </w:tr>
      <w:tr>
        <w:tc>
          <w:tcPr>
            <w:tcW w:w="697" w:type="dxa"/>
          </w:tcPr>
          <w:tcPr/>
          <w:p>
            <w:pPr>
              <w:pStyle w:val="Compact"/>
              <w:jc w:val="left"/>
            </w:pPr>
            <w:r>
              <w:t xml:space="preserve">32</w:t>
            </w:r>
          </w:p>
        </w:tc>
        <w:tc>
          <w:tcPr>
            <w:tcW w:w="1406" w:type="dxa"/>
          </w:tcPr>
          <w:tcPr/>
          <w:p>
            <w:pPr>
              <w:pStyle w:val="Compact"/>
              <w:jc w:val="left"/>
            </w:pPr>
            <w:r>
              <w:t xml:space="preserve">Rép. centrafricaine</w:t>
            </w:r>
          </w:p>
        </w:tc>
        <w:tc>
          <w:tcPr>
            <w:tcW w:w="705" w:type="dxa"/>
          </w:tcPr>
          <w:tcPr/>
          <w:p>
            <w:pPr>
              <w:pStyle w:val="Compact"/>
              <w:jc w:val="left"/>
            </w:pPr>
            <w:r>
              <w:t xml:space="preserve">CAF</w:t>
            </w:r>
          </w:p>
        </w:tc>
        <w:tc>
          <w:tcPr>
            <w:tcW w:w="2644" w:type="dxa"/>
          </w:tcPr>
          <w:tcPr/>
          <w:p>
            <w:pPr>
              <w:pStyle w:val="Compact"/>
              <w:jc w:val="left"/>
            </w:pPr>
            <w:r>
              <w:t xml:space="preserve">C3 — juin 2026</w:t>
            </w:r>
          </w:p>
        </w:tc>
        <w:tc>
          <w:tcPr>
            <w:tcW w:w="2210" w:type="dxa"/>
          </w:tcPr>
          <w:tcPr/>
          <w:p>
            <w:pPr>
              <w:pStyle w:val="Compact"/>
              <w:jc w:val="left"/>
            </w:pPr>
            <w:r>
              <w:t xml:space="preserve">AEF 2026, Cape Town</w:t>
            </w:r>
          </w:p>
        </w:tc>
        <w:tc>
          <w:tcPr>
            <w:tcW w:w="4645" w:type="dxa"/>
          </w:tcPr>
          <w:tcPr/>
          <w:p>
            <w:pPr>
              <w:pStyle w:val="Compact"/>
              <w:jc w:val="left"/>
            </w:pPr>
            <w:r>
              <w:rPr>
                <w:rStyle w:val="VerbatimChar"/>
              </w:rPr>
              <w:t xml:space="preserve">{BM}CAR-National-Energy-Compact-Mission-300.pdf</w:t>
            </w:r>
          </w:p>
        </w:tc>
        <w:tc>
          <w:tcPr>
            <w:tcW w:w="937" w:type="dxa"/>
          </w:tcPr>
          <w:tcPr/>
          <w:p>
            <w:pPr>
              <w:pStyle w:val="Compact"/>
              <w:jc w:val="left"/>
            </w:pPr>
            <w:r>
              <w:t xml:space="preserve">[V]</w:t>
            </w:r>
          </w:p>
        </w:tc>
        <w:tc>
          <w:tcPr>
            <w:tcW w:w="1322" w:type="dxa"/>
          </w:tcPr>
          <w:tcPr/>
          <w:p>
            <w:pPr>
              <w:pStyle w:val="Compact"/>
              <w:jc w:val="left"/>
            </w:pPr>
            <w:r>
              <w:t xml:space="preserve">[1][5][6][9]</w:t>
            </w:r>
          </w:p>
        </w:tc>
      </w:tr>
      <w:tr>
        <w:tc>
          <w:tcPr>
            <w:tcW w:w="697" w:type="dxa"/>
          </w:tcPr>
          <w:tcPr/>
          <w:p>
            <w:pPr>
              <w:pStyle w:val="Compact"/>
              <w:jc w:val="left"/>
            </w:pPr>
            <w:r>
              <w:t xml:space="preserve">33</w:t>
            </w:r>
          </w:p>
        </w:tc>
        <w:tc>
          <w:tcPr>
            <w:tcW w:w="1406" w:type="dxa"/>
          </w:tcPr>
          <w:tcPr/>
          <w:p>
            <w:pPr>
              <w:pStyle w:val="Compact"/>
              <w:jc w:val="left"/>
            </w:pPr>
            <w:r>
              <w:t xml:space="preserve">Gabon</w:t>
            </w:r>
          </w:p>
        </w:tc>
        <w:tc>
          <w:tcPr>
            <w:tcW w:w="705" w:type="dxa"/>
          </w:tcPr>
          <w:tcPr/>
          <w:p>
            <w:pPr>
              <w:pStyle w:val="Compact"/>
              <w:jc w:val="left"/>
            </w:pPr>
            <w:r>
              <w:t xml:space="preserve">GAB</w:t>
            </w:r>
          </w:p>
        </w:tc>
        <w:tc>
          <w:tcPr>
            <w:tcW w:w="2644" w:type="dxa"/>
          </w:tcPr>
          <w:tcPr/>
          <w:p>
            <w:pPr>
              <w:pStyle w:val="Compact"/>
              <w:jc w:val="left"/>
            </w:pPr>
            <w:r>
              <w:t xml:space="preserve">C3 — juin 2026</w:t>
            </w:r>
          </w:p>
        </w:tc>
        <w:tc>
          <w:tcPr>
            <w:tcW w:w="2210" w:type="dxa"/>
          </w:tcPr>
          <w:tcPr/>
          <w:p>
            <w:pPr>
              <w:pStyle w:val="Compact"/>
              <w:jc w:val="left"/>
            </w:pPr>
            <w:r>
              <w:t xml:space="preserve">AEF 2026, Cape Town</w:t>
            </w:r>
          </w:p>
        </w:tc>
        <w:tc>
          <w:tcPr>
            <w:tcW w:w="4645" w:type="dxa"/>
          </w:tcPr>
          <w:tcPr/>
          <w:p>
            <w:pPr>
              <w:pStyle w:val="Compact"/>
              <w:jc w:val="left"/>
            </w:pPr>
            <w:r>
              <w:rPr>
                <w:rStyle w:val="VerbatimChar"/>
              </w:rPr>
              <w:t xml:space="preserve">{BM}Gabon-National-Energy-Compact-Mission-300.pdf</w:t>
            </w:r>
          </w:p>
        </w:tc>
        <w:tc>
          <w:tcPr>
            <w:tcW w:w="937" w:type="dxa"/>
          </w:tcPr>
          <w:tcPr/>
          <w:p>
            <w:pPr>
              <w:pStyle w:val="Compact"/>
              <w:jc w:val="left"/>
            </w:pPr>
            <w:r>
              <w:t xml:space="preserve">[V]</w:t>
            </w:r>
          </w:p>
        </w:tc>
        <w:tc>
          <w:tcPr>
            <w:tcW w:w="1322" w:type="dxa"/>
          </w:tcPr>
          <w:tcPr/>
          <w:p>
            <w:pPr>
              <w:pStyle w:val="Compact"/>
              <w:jc w:val="left"/>
            </w:pPr>
            <w:r>
              <w:t xml:space="preserve">[1][5][6][9]</w:t>
            </w:r>
          </w:p>
        </w:tc>
      </w:tr>
      <w:tr>
        <w:tc>
          <w:tcPr>
            <w:tcW w:w="697" w:type="dxa"/>
          </w:tcPr>
          <w:tcPr/>
          <w:p>
            <w:pPr>
              <w:pStyle w:val="Compact"/>
              <w:jc w:val="left"/>
            </w:pPr>
            <w:r>
              <w:t xml:space="preserve">34</w:t>
            </w:r>
          </w:p>
        </w:tc>
        <w:tc>
          <w:tcPr>
            <w:tcW w:w="1406" w:type="dxa"/>
          </w:tcPr>
          <w:tcPr/>
          <w:p>
            <w:pPr>
              <w:pStyle w:val="Compact"/>
              <w:jc w:val="left"/>
            </w:pPr>
            <w:r>
              <w:t xml:space="preserve">Rwanda</w:t>
            </w:r>
          </w:p>
        </w:tc>
        <w:tc>
          <w:tcPr>
            <w:tcW w:w="705" w:type="dxa"/>
          </w:tcPr>
          <w:tcPr/>
          <w:p>
            <w:pPr>
              <w:pStyle w:val="Compact"/>
              <w:jc w:val="left"/>
            </w:pPr>
            <w:r>
              <w:t xml:space="preserve">RWA</w:t>
            </w:r>
          </w:p>
        </w:tc>
        <w:tc>
          <w:tcPr>
            <w:tcW w:w="2644" w:type="dxa"/>
          </w:tcPr>
          <w:tcPr/>
          <w:p>
            <w:pPr>
              <w:pStyle w:val="Compact"/>
              <w:jc w:val="left"/>
            </w:pPr>
            <w:r>
              <w:t xml:space="preserve">C3 — juin 2026</w:t>
            </w:r>
          </w:p>
        </w:tc>
        <w:tc>
          <w:tcPr>
            <w:tcW w:w="2210" w:type="dxa"/>
          </w:tcPr>
          <w:tcPr/>
          <w:p>
            <w:pPr>
              <w:pStyle w:val="Compact"/>
              <w:jc w:val="left"/>
            </w:pPr>
            <w:r>
              <w:t xml:space="preserve">AEF 2026, Cape Town</w:t>
            </w:r>
          </w:p>
        </w:tc>
        <w:tc>
          <w:tcPr>
            <w:tcW w:w="4645" w:type="dxa"/>
          </w:tcPr>
          <w:tcPr/>
          <w:p>
            <w:pPr>
              <w:pStyle w:val="Compact"/>
              <w:jc w:val="left"/>
            </w:pPr>
            <w:r>
              <w:rPr>
                <w:rStyle w:val="VerbatimChar"/>
              </w:rPr>
              <w:t xml:space="preserve">{BM}Rwanda-National-Energy-Compact-Mission-300.pdf</w:t>
            </w:r>
          </w:p>
        </w:tc>
        <w:tc>
          <w:tcPr>
            <w:tcW w:w="937" w:type="dxa"/>
          </w:tcPr>
          <w:tcPr/>
          <w:p>
            <w:pPr>
              <w:pStyle w:val="Compact"/>
              <w:jc w:val="left"/>
            </w:pPr>
            <w:r>
              <w:t xml:space="preserve">[V]</w:t>
            </w:r>
          </w:p>
        </w:tc>
        <w:tc>
          <w:tcPr>
            <w:tcW w:w="1322" w:type="dxa"/>
          </w:tcPr>
          <w:tcPr/>
          <w:p>
            <w:pPr>
              <w:pStyle w:val="Compact"/>
              <w:jc w:val="left"/>
            </w:pPr>
            <w:r>
              <w:t xml:space="preserve">[1][5][6][9]</w:t>
            </w:r>
          </w:p>
        </w:tc>
      </w:tr>
      <w:tr>
        <w:tc>
          <w:tcPr>
            <w:tcW w:w="697" w:type="dxa"/>
          </w:tcPr>
          <w:tcPr/>
          <w:p>
            <w:pPr>
              <w:pStyle w:val="Compact"/>
              <w:jc w:val="left"/>
            </w:pPr>
            <w:r>
              <w:t xml:space="preserve">35</w:t>
            </w:r>
          </w:p>
        </w:tc>
        <w:tc>
          <w:tcPr>
            <w:tcW w:w="1406" w:type="dxa"/>
          </w:tcPr>
          <w:tcPr/>
          <w:p>
            <w:pPr>
              <w:pStyle w:val="Compact"/>
              <w:jc w:val="left"/>
            </w:pPr>
            <w:r>
              <w:t xml:space="preserve">Ouganda</w:t>
            </w:r>
          </w:p>
        </w:tc>
        <w:tc>
          <w:tcPr>
            <w:tcW w:w="705" w:type="dxa"/>
          </w:tcPr>
          <w:tcPr/>
          <w:p>
            <w:pPr>
              <w:pStyle w:val="Compact"/>
              <w:jc w:val="left"/>
            </w:pPr>
            <w:r>
              <w:t xml:space="preserve">UGA</w:t>
            </w:r>
          </w:p>
        </w:tc>
        <w:tc>
          <w:tcPr>
            <w:tcW w:w="2644" w:type="dxa"/>
          </w:tcPr>
          <w:tcPr/>
          <w:p>
            <w:pPr>
              <w:pStyle w:val="Compact"/>
              <w:jc w:val="left"/>
            </w:pPr>
            <w:r>
              <w:t xml:space="preserve">C3 — juin 2026</w:t>
            </w:r>
          </w:p>
        </w:tc>
        <w:tc>
          <w:tcPr>
            <w:tcW w:w="2210" w:type="dxa"/>
          </w:tcPr>
          <w:tcPr/>
          <w:p>
            <w:pPr>
              <w:pStyle w:val="Compact"/>
              <w:jc w:val="left"/>
            </w:pPr>
            <w:r>
              <w:t xml:space="preserve">AEF 2026, Cape Town</w:t>
            </w:r>
          </w:p>
        </w:tc>
        <w:tc>
          <w:tcPr>
            <w:tcW w:w="4645" w:type="dxa"/>
          </w:tcPr>
          <w:tcPr/>
          <w:p>
            <w:pPr>
              <w:pStyle w:val="Compact"/>
              <w:jc w:val="left"/>
            </w:pPr>
            <w:r>
              <w:rPr>
                <w:rStyle w:val="VerbatimChar"/>
              </w:rPr>
              <w:t xml:space="preserve">{BM}Uganda-National-Energy-Compact-Mission-300.pdf</w:t>
            </w:r>
          </w:p>
        </w:tc>
        <w:tc>
          <w:tcPr>
            <w:tcW w:w="937" w:type="dxa"/>
          </w:tcPr>
          <w:tcPr/>
          <w:p>
            <w:pPr>
              <w:pStyle w:val="Compact"/>
              <w:jc w:val="left"/>
            </w:pPr>
            <w:r>
              <w:t xml:space="preserve">[V]</w:t>
            </w:r>
          </w:p>
        </w:tc>
        <w:tc>
          <w:tcPr>
            <w:tcW w:w="1322" w:type="dxa"/>
          </w:tcPr>
          <w:tcPr/>
          <w:p>
            <w:pPr>
              <w:pStyle w:val="Compact"/>
              <w:jc w:val="left"/>
            </w:pPr>
            <w:r>
              <w:t xml:space="preserve">[1][5][6][9]</w:t>
            </w:r>
          </w:p>
        </w:tc>
      </w:tr>
      <w:tr>
        <w:tc>
          <w:tcPr>
            <w:tcW w:w="697" w:type="dxa"/>
          </w:tcPr>
          <w:tcPr/>
          <w:p>
            <w:pPr>
              <w:pStyle w:val="Compact"/>
              <w:jc w:val="left"/>
            </w:pPr>
            <w:r>
              <w:t xml:space="preserve">36</w:t>
            </w:r>
          </w:p>
        </w:tc>
        <w:tc>
          <w:tcPr>
            <w:tcW w:w="1406" w:type="dxa"/>
          </w:tcPr>
          <w:tcPr/>
          <w:p>
            <w:pPr>
              <w:pStyle w:val="Compact"/>
              <w:jc w:val="left"/>
            </w:pPr>
            <w:r>
              <w:t xml:space="preserve">Djibouti</w:t>
            </w:r>
          </w:p>
        </w:tc>
        <w:tc>
          <w:tcPr>
            <w:tcW w:w="705" w:type="dxa"/>
          </w:tcPr>
          <w:tcPr/>
          <w:p>
            <w:pPr>
              <w:pStyle w:val="Compact"/>
              <w:jc w:val="left"/>
            </w:pPr>
            <w:r>
              <w:t xml:space="preserve">DJI</w:t>
            </w:r>
          </w:p>
        </w:tc>
        <w:tc>
          <w:tcPr>
            <w:tcW w:w="2644" w:type="dxa"/>
          </w:tcPr>
          <w:tcPr/>
          <w:p>
            <w:pPr>
              <w:pStyle w:val="Compact"/>
              <w:jc w:val="left"/>
            </w:pPr>
            <w:r>
              <w:t xml:space="preserve">C3 — juin 2026 (absent de la page BM)</w:t>
            </w:r>
          </w:p>
        </w:tc>
        <w:tc>
          <w:tcPr>
            <w:tcW w:w="2210" w:type="dxa"/>
          </w:tcPr>
          <w:tcPr/>
          <w:p>
            <w:pPr>
              <w:pStyle w:val="Compact"/>
              <w:jc w:val="left"/>
            </w:pPr>
            <w:r>
              <w:t xml:space="preserve">AEF 2026, Cape Town</w:t>
            </w:r>
          </w:p>
        </w:tc>
        <w:tc>
          <w:tcPr>
            <w:tcW w:w="4645" w:type="dxa"/>
          </w:tcPr>
          <w:tcPr/>
          <w:p>
            <w:pPr>
              <w:pStyle w:val="Compact"/>
              <w:jc w:val="left"/>
            </w:pPr>
            <w:r>
              <w:rPr>
                <w:rStyle w:val="VerbatimChar"/>
              </w:rPr>
              <w:t xml:space="preserve">{BM}Djibouti-National-Energy-Compact-Mission-300.pdf</w:t>
            </w:r>
            <w:r>
              <w:t xml:space="preserve"> </w:t>
            </w:r>
            <w:r>
              <w:t xml:space="preserve">(44 p., créé le 17/06/2026, titre « Djibouti National Energy Compact »)</w:t>
            </w:r>
          </w:p>
        </w:tc>
        <w:tc>
          <w:tcPr>
            <w:tcW w:w="937" w:type="dxa"/>
          </w:tcPr>
          <w:tcPr/>
          <w:p>
            <w:pPr>
              <w:pStyle w:val="Compact"/>
              <w:jc w:val="left"/>
            </w:pPr>
            <w:r>
              <w:t xml:space="preserve">[V] document / [S] signature</w:t>
            </w:r>
          </w:p>
        </w:tc>
        <w:tc>
          <w:tcPr>
            <w:tcW w:w="1322" w:type="dxa"/>
          </w:tcPr>
          <w:tcPr/>
          <w:p>
            <w:pPr>
              <w:pStyle w:val="Compact"/>
              <w:jc w:val="left"/>
            </w:pPr>
            <w:r>
              <w:t xml:space="preserve">[5][6][9][13]</w:t>
            </w:r>
          </w:p>
        </w:tc>
      </w:tr>
    </w:tbl>
    <w:p>
      <w:pPr>
        <w:pStyle w:val="BodyText"/>
      </w:pPr>
      <w:r>
        <w:t xml:space="preserve">Notes :</w:t>
      </w:r>
      <w:r>
        <w:t xml:space="preserve"> </w:t>
      </w:r>
      <w:r>
        <w:t xml:space="preserve">- Les « cohortes » C1/C2/C3 ne figurent pas sur la page BM, qui ne donne qu’un mois par pays [1]. Les libellés « Cohort I/II/III » viennent de la fiche d’information Mission 300 « as of June 2026 » [9] ; « Cohort 2 » est aussi employé par la BAD pour le groupe de New York [4b].</w:t>
      </w:r>
      <w:r>
        <w:t xml:space="preserve"> </w:t>
      </w:r>
      <w:r>
        <w:t xml:space="preserve">- Rapports d’avancement T1 2026 publiés sur la page BM pour 12 pays : Burundi, Tchad, Côte d’Ivoire, RDC, Lesotho, Madagascar, Malawi, Niger, Nigeria, Sénégal, Tanzanie, Zimbabwe [1].</w:t>
      </w:r>
    </w:p>
    <w:bookmarkEnd w:id="47"/>
    <w:bookmarkStart w:id="48" w:name="divergences-entre-sources"/>
    <w:p>
      <w:pPr>
        <w:pStyle w:val="Heading3"/>
      </w:pPr>
      <w:r>
        <w:t xml:space="preserve">Divergences entre sources</w:t>
      </w:r>
    </w:p>
    <w:p>
      <w:pPr>
        <w:numPr>
          <w:ilvl w:val="0"/>
          <w:numId w:val="1020"/>
        </w:numPr>
        <w:pStyle w:val="Compact"/>
      </w:pPr>
      <w:r>
        <w:rPr>
          <w:bCs/>
          <w:b/>
        </w:rPr>
        <w:t xml:space="preserve">D1 — Date de la cohorte 3 : juin et non juillet 2026.</w:t>
      </w:r>
      <w:r>
        <w:t xml:space="preserve"> </w:t>
      </w:r>
      <w:r>
        <w:t xml:space="preserve">La page BM date les six pactes de « June 2026 » [1] ; le communiqué BM du 16 juin 2026 annonce leur lancement « at the Africa Energy Forum this week » [5] ; les PDF ont été créés entre le 15 et le 18 juin 2026 (métadonnées). La date « juillet 2026 » de la liste de départ vient sans doute de l’article Energy News Network daté du 9 juillet 2026 [6], postérieur à l’événement. Le jour exact du forum n’est pas confirmé [?].</w:t>
      </w:r>
    </w:p>
    <w:p>
      <w:pPr>
        <w:numPr>
          <w:ilvl w:val="0"/>
          <w:numId w:val="1020"/>
        </w:numPr>
        <w:pStyle w:val="Compact"/>
      </w:pPr>
      <w:r>
        <w:rPr>
          <w:bCs/>
          <w:b/>
        </w:rPr>
        <w:t xml:space="preserve">D2 — Namibie : sept. ou déc. 2025.</w:t>
      </w:r>
      <w:r>
        <w:t xml:space="preserve"> </w:t>
      </w:r>
      <w:r>
        <w:t xml:space="preserve">Le communiqué BM du 24 sept. 2025 la cite parmi les 17 pays ayant endossé un pacte à New York [4]. La page BM anglaise la date de « December 2025 » [1], la presse namibienne rapporte un lancement national à Windhoek le 18 déc. 2025 [10], et la page BM</w:t>
      </w:r>
      <w:r>
        <w:t xml:space="preserve"> </w:t>
      </w:r>
      <w:r>
        <w:rPr>
          <w:bCs/>
          <w:b/>
        </w:rPr>
        <w:t xml:space="preserve">française</w:t>
      </w:r>
      <w:r>
        <w:t xml:space="preserve"> </w:t>
      </w:r>
      <w:r>
        <w:t xml:space="preserve">ne liste pas la Namibie (34 pays) [2].</w:t>
      </w:r>
    </w:p>
    <w:p>
      <w:pPr>
        <w:numPr>
          <w:ilvl w:val="0"/>
          <w:numId w:val="1020"/>
        </w:numPr>
        <w:pStyle w:val="Compact"/>
      </w:pPr>
      <w:r>
        <w:rPr>
          <w:bCs/>
          <w:b/>
        </w:rPr>
        <w:t xml:space="preserve">D3 — Djibouti.</w:t>
      </w:r>
      <w:r>
        <w:t xml:space="preserve"> </w:t>
      </w:r>
      <w:r>
        <w:t xml:space="preserve">Il est cité dans le communiqué BM [5], dans ENN [6], dans le blog Global Energy Alliance [6b] et dans la fiche d’information de juin 2026 (Cohort III) [9]. Il est</w:t>
      </w:r>
      <w:r>
        <w:t xml:space="preserve"> </w:t>
      </w:r>
      <w:r>
        <w:rPr>
          <w:bCs/>
          <w:b/>
        </w:rPr>
        <w:t xml:space="preserve">absent</w:t>
      </w:r>
      <w:r>
        <w:t xml:space="preserve"> </w:t>
      </w:r>
      <w:r>
        <w:t xml:space="preserve">des pages BM EN et FR [1][2]. Pourtant le PDF</w:t>
      </w:r>
      <w:r>
        <w:t xml:space="preserve"> </w:t>
      </w:r>
      <w:r>
        <w:rPr>
          <w:rStyle w:val="VerbatimChar"/>
        </w:rPr>
        <w:t xml:space="preserve">Djibouti-National-Energy-Compact-Mission-300.pdf</w:t>
      </w:r>
      <w:r>
        <w:t xml:space="preserve"> </w:t>
      </w:r>
      <w:r>
        <w:t xml:space="preserve">existe sur le serveur BM (HTTP 200, téléchargé et ouvert) [13]. Le pacte existe donc ; sa signature à l’AEF ne repose que sur des sources secondaires. Autre point : la presse évoque une « Stratégie énergétique nationale 2026–2035 » de Djibouti, chiffrée à 1,7 Md USD dans le corps d’un article et à 17 Md USD dans son titre [S][14]. Le lien entre ce document et le pacte n’est pas établi [?].</w:t>
      </w:r>
    </w:p>
    <w:p>
      <w:pPr>
        <w:numPr>
          <w:ilvl w:val="0"/>
          <w:numId w:val="1020"/>
        </w:numPr>
        <w:pStyle w:val="Compact"/>
      </w:pPr>
      <w:r>
        <w:rPr>
          <w:bCs/>
          <w:b/>
        </w:rPr>
        <w:t xml:space="preserve">D4 — Nombre total de pactes.</w:t>
      </w:r>
      <w:r>
        <w:t xml:space="preserve"> </w:t>
      </w:r>
      <w:r>
        <w:t xml:space="preserve">Les sources donnent 29 (après sept. 2025 [4b]), 30 (communiqué BM du 16 juin 2026 [5] et fiche Rockefeller de mars 2026 [S]), 34 (page BM FR [2]), 35 (page BM EN [1] ; blog GSMA [S]) et 36 (fiche M300 de juin 2026 [9] ; Rio Times [S]). Ces chiffres se recoupent : 12 + 17 = 29, puis + Zimbabwe = 30, puis + 6 = 36. Le chiffre 35 s’explique par l’absence de Djibouti sur la page, et 34 par l’absence supplémentaire de la Namibie sur la version FR.</w:t>
      </w:r>
    </w:p>
    <w:p>
      <w:pPr>
        <w:numPr>
          <w:ilvl w:val="0"/>
          <w:numId w:val="1020"/>
        </w:numPr>
        <w:pStyle w:val="Compact"/>
      </w:pPr>
      <w:r>
        <w:rPr>
          <w:bCs/>
          <w:b/>
        </w:rPr>
        <w:t xml:space="preserve">D5 — Composition de la cohorte 2.</w:t>
      </w:r>
      <w:r>
        <w:t xml:space="preserve"> </w:t>
      </w:r>
      <w:r>
        <w:t xml:space="preserve">Le communiqué BM parle de 17 pays [4]. Le rapport d’avancement du Zimbabwe parle d’une « second cohort of 18 countries » qui l’inclut [8], et la fiche M300 de juin 2026 semble aussi le placer en Cohort II (mise en page en colonnes, lecture incertaine [?]) [9].</w:t>
      </w:r>
    </w:p>
    <w:p>
      <w:pPr>
        <w:numPr>
          <w:ilvl w:val="0"/>
          <w:numId w:val="1020"/>
        </w:numPr>
        <w:pStyle w:val="Compact"/>
      </w:pPr>
      <w:r>
        <w:rPr>
          <w:bCs/>
          <w:b/>
        </w:rPr>
        <w:t xml:space="preserve">D6 — Éthiopie.</w:t>
      </w:r>
      <w:r>
        <w:t xml:space="preserve"> </w:t>
      </w:r>
      <w:r>
        <w:t xml:space="preserve">Un article AllAfrica du 6 mars 2026 titre que l’Éthiopie « dévoile » son pacte lors de la conférence Mission 300 au Cap [12]. Il précise lui-même que le pacte a été approuvé en sept. 2025 en marge de l’AGNU : il s’agit d’une re-présentation, pas d’un nouveau pacte.</w:t>
      </w:r>
    </w:p>
    <w:p>
      <w:pPr>
        <w:numPr>
          <w:ilvl w:val="0"/>
          <w:numId w:val="1020"/>
        </w:numPr>
        <w:pStyle w:val="Compact"/>
      </w:pPr>
      <w:r>
        <w:rPr>
          <w:bCs/>
          <w:b/>
        </w:rPr>
        <w:t xml:space="preserve">D7 — Incohérences internes (pour les fiches).</w:t>
      </w:r>
      <w:r>
        <w:t xml:space="preserve"> </w:t>
      </w:r>
      <w:r>
        <w:t xml:space="preserve">Le rapport d’avancement de Madagascar annonce, dans son encadré de cibles, « 95 % » de renouvelables et « USD 20 billion » de capitaux privés, alors que son propre tableau (et le pacte) indiquent 85 % et +4,566 Md USD [7]. C’est probablement un copier-coller d’un autre pays. Détails dans</w:t>
      </w:r>
      <w:r>
        <w:t xml:space="preserve"> </w:t>
      </w:r>
      <w:r>
        <w:rPr>
          <w:rStyle w:val="VerbatimChar"/>
        </w:rPr>
        <w:t xml:space="preserve">fiches/MDG_madagascar.md</w:t>
      </w:r>
      <w:r>
        <w:t xml:space="preserve">.</w:t>
      </w:r>
    </w:p>
    <w:bookmarkEnd w:id="48"/>
    <w:bookmarkStart w:id="49" w:name="pays-non-confirmés"/>
    <w:p>
      <w:pPr>
        <w:pStyle w:val="Heading3"/>
      </w:pPr>
      <w:r>
        <w:t xml:space="preserve">Pays non confirmés</w:t>
      </w:r>
    </w:p>
    <w:p>
      <w:pPr>
        <w:numPr>
          <w:ilvl w:val="0"/>
          <w:numId w:val="1021"/>
        </w:numPr>
        <w:pStyle w:val="Compact"/>
      </w:pPr>
      <w:r>
        <w:rPr>
          <w:bCs/>
          <w:b/>
        </w:rPr>
        <w:t xml:space="preserve">Aucun pays au statut [?] pour l’existence même du pacte.</w:t>
      </w:r>
      <w:r>
        <w:t xml:space="preserve"> </w:t>
      </w:r>
      <w:r>
        <w:t xml:space="preserve">Djibouti est confirmé par son document [V] ; seule sa signature à l’AEF reste [S].</w:t>
      </w:r>
    </w:p>
    <w:p>
      <w:pPr>
        <w:numPr>
          <w:ilvl w:val="0"/>
          <w:numId w:val="1021"/>
        </w:numPr>
        <w:pStyle w:val="Compact"/>
      </w:pPr>
      <w:r>
        <w:t xml:space="preserve">Recherches sans résultat de pacte (jusqu’au 18/10/2026) : Angola, Mali, Soudan du Sud, Eswatini, Guinée-Bissau, Cabo Verde, Somalie, Soudan, Érythrée, Guinée équatoriale. Aucune source ne leur attribue un pacte M300 [?].</w:t>
      </w:r>
    </w:p>
    <w:p>
      <w:pPr>
        <w:numPr>
          <w:ilvl w:val="0"/>
          <w:numId w:val="1021"/>
        </w:numPr>
        <w:pStyle w:val="Compact"/>
      </w:pPr>
      <w:r>
        <w:t xml:space="preserve">Événements à surveiller (ce ne sont pas des lancements de pactes) :</w:t>
      </w:r>
    </w:p>
    <w:p>
      <w:pPr>
        <w:numPr>
          <w:ilvl w:val="1"/>
          <w:numId w:val="1022"/>
        </w:numPr>
        <w:pStyle w:val="Compact"/>
      </w:pPr>
      <w:r>
        <w:t xml:space="preserve">« 11th Africa Energy Market Place — Stakeholder Consultation on the National Energy Compact », annoncée pour les 21–22 oct. 2026 à Kampala (Ouganda, pacte déjà signé en juin 2026) [S][15] ;</w:t>
      </w:r>
    </w:p>
    <w:p>
      <w:pPr>
        <w:numPr>
          <w:ilvl w:val="1"/>
          <w:numId w:val="1022"/>
        </w:numPr>
        <w:pStyle w:val="Compact"/>
      </w:pPr>
      <w:r>
        <w:t xml:space="preserve">une consultation BAD datée du 08/10/2026, pays non identifié [?][15].</w:t>
      </w:r>
    </w:p>
    <w:bookmarkEnd w:id="49"/>
    <w:bookmarkStart w:id="50" w:name="sources"/>
    <w:p>
      <w:pPr>
        <w:pStyle w:val="Heading3"/>
      </w:pPr>
      <w:r>
        <w:t xml:space="preserve">Sources</w:t>
      </w:r>
    </w:p>
    <w:p>
      <w:pPr>
        <w:numPr>
          <w:ilvl w:val="0"/>
          <w:numId w:val="1023"/>
        </w:numPr>
        <w:pStyle w:val="Compact"/>
      </w:pPr>
      <w:r>
        <w:t xml:space="preserve">[1] Banque mondiale, « National Energy Compacts » (EN), https://www.worldbank.org/ext/en/energizingafrica/national-energy-compacts et https://www.worldbank.org/en/programs/energizing-africa/national-energy-compacts — consultées le 18/10/2026 (35 pays, dates mensuelles, liens PDF).</w:t>
      </w:r>
    </w:p>
    <w:p>
      <w:pPr>
        <w:numPr>
          <w:ilvl w:val="0"/>
          <w:numId w:val="1023"/>
        </w:numPr>
        <w:pStyle w:val="Compact"/>
      </w:pPr>
      <w:r>
        <w:t xml:space="preserve">[2] Banque mondiale, « Pactes nationaux de l’énergie » (FR), https://www.banquemondiale.org/ext/fr/energizingafrica/national-energy-compacts — consultée le 18/10/2026 (34 pays, sans la Namibie).</w:t>
      </w:r>
    </w:p>
    <w:p>
      <w:pPr>
        <w:numPr>
          <w:ilvl w:val="0"/>
          <w:numId w:val="1023"/>
        </w:numPr>
        <w:pStyle w:val="Compact"/>
      </w:pPr>
      <w:r>
        <w:t xml:space="preserve">[3] Cohorte 1, Dar es Salaam, janv. 2025 : confirmée par les rapports d’avancement T1 2026 (p. ex. Madagascar [7] : « presented its National Energy Compact in January 2025 at the Africa Energy Summit in Dar es Salaam, as part of the first cohort of twelve countries »). Le jour exact du sommet n’est pas repris ici [?] (non vérifié dans une source officielle lors de cette phase).</w:t>
      </w:r>
    </w:p>
    <w:p>
      <w:pPr>
        <w:numPr>
          <w:ilvl w:val="0"/>
          <w:numId w:val="1023"/>
        </w:numPr>
        <w:pStyle w:val="Compact"/>
      </w:pPr>
      <w:r>
        <w:t xml:space="preserve">[4] Banque mondiale, communiqué du 24/09/2025, « 17 countries commit to concrete plans to scale up electricity access as Mission 300 expands », https://www.worldbank.org/en/news/press-release/2025/09/24/17-countries-commit-to-concrete-plans-to-scale-up-electricity-access-as-mission-300-expands</w:t>
      </w:r>
    </w:p>
    <w:p>
      <w:pPr>
        <w:numPr>
          <w:ilvl w:val="0"/>
          <w:numId w:val="1023"/>
        </w:numPr>
        <w:pStyle w:val="Compact"/>
      </w:pPr>
      <w:r>
        <w:t xml:space="preserve">[4b] AllAfrica / BAD, « Mission 300 Progresses As Seventeen Additional African Countries Unveil Energy Compacts », https://allafrica.com/stories/202509260561.html (mentions « Cohort 2 » et total de 29) [S].</w:t>
      </w:r>
    </w:p>
    <w:p>
      <w:pPr>
        <w:numPr>
          <w:ilvl w:val="0"/>
          <w:numId w:val="1023"/>
        </w:numPr>
        <w:pStyle w:val="Compact"/>
      </w:pPr>
      <w:r>
        <w:t xml:space="preserve">[5] Banque mondiale, communiqué du 16/06/2026, « Under Mission 300, A New Way of Doing Business Connects Over 50 Million People to Electricity Across Africa », https://www.worldbank.org/en/news/press-release/2026/06/16/under-mission-300-a-new-way-of-doing-business-connects-over-50-million-people-to-electricity-across-africa (« To date, 30 countries have launched National Energy Compacts » ; six pactes attendus à l’AEF).</w:t>
      </w:r>
    </w:p>
    <w:p>
      <w:pPr>
        <w:numPr>
          <w:ilvl w:val="0"/>
          <w:numId w:val="1023"/>
        </w:numPr>
        <w:pStyle w:val="Compact"/>
      </w:pPr>
      <w:r>
        <w:t xml:space="preserve">[6] Energy News Network, « Mission 300’s map fills in with six new compacts », 09/07/2026, https://energy-news-network.com/?p=17200 [S].</w:t>
      </w:r>
    </w:p>
    <w:p>
      <w:pPr>
        <w:numPr>
          <w:ilvl w:val="0"/>
          <w:numId w:val="1023"/>
        </w:numPr>
        <w:pStyle w:val="Compact"/>
      </w:pPr>
      <w:r>
        <w:t xml:space="preserve">[6b] Global Energy Alliance, « 5 Takeaways: What We Learned at the Africa Energy Forum 2026 », 29/06/2026, https://energyalliance.org/5-takeaways-what-we-learned-at-the-africa-energy-forum-2026/ [S].</w:t>
      </w:r>
    </w:p>
    <w:p>
      <w:pPr>
        <w:numPr>
          <w:ilvl w:val="0"/>
          <w:numId w:val="1023"/>
        </w:numPr>
        <w:pStyle w:val="Compact"/>
      </w:pPr>
      <w:r>
        <w:t xml:space="preserve">[7] Madagascar, Compact Progress Report Q1 2026 (mars 2026),</w:t>
      </w:r>
      <w:r>
        <w:t xml:space="preserve"> </w:t>
      </w:r>
      <w:r>
        <w:rPr>
          <w:rStyle w:val="VerbatimChar"/>
        </w:rPr>
        <w:t xml:space="preserve">{BM}progress-reports/madagascar_mission-300_compact-progress-report_q12026.pdf</w:t>
      </w:r>
    </w:p>
    <w:p>
      <w:pPr>
        <w:numPr>
          <w:ilvl w:val="0"/>
          <w:numId w:val="1023"/>
        </w:numPr>
        <w:pStyle w:val="Compact"/>
      </w:pPr>
      <w:r>
        <w:t xml:space="preserve">[8] Zimbabwe, Compact Progress Report Q1 2026 (mars 2026),</w:t>
      </w:r>
      <w:r>
        <w:t xml:space="preserve"> </w:t>
      </w:r>
      <w:r>
        <w:rPr>
          <w:rStyle w:val="VerbatimChar"/>
        </w:rPr>
        <w:t xml:space="preserve">{BM}progress-reports/zimbabwe_mission-300_compact-progress-report-050526.pdf</w:t>
      </w:r>
      <w:r>
        <w:t xml:space="preserve"> </w:t>
      </w:r>
      <w:r>
        <w:t xml:space="preserve">(« presented its National Energy Compact in October 2025 at the Africa Capital Markets Forum (ACMF) in Johannesburg, South Africa, as part of the second cohort of 18 countries »).</w:t>
      </w:r>
    </w:p>
    <w:p>
      <w:pPr>
        <w:numPr>
          <w:ilvl w:val="0"/>
          <w:numId w:val="1023"/>
        </w:numPr>
        <w:pStyle w:val="Compact"/>
      </w:pPr>
      <w:r>
        <w:t xml:space="preserve">[9] Mission 300, Fact Sheet (fichier modifié le 26/06/2026, « as of June 2026 »), https://mission300africa.org/wp-content/uploads/2026/07/Mission300_FactSheet_Final_06262026.pdf (Cohort III : Burkina Faso, RCA, Djibouti, Gabon, Rwanda, Ouganda ; « technical assistance and support for 36 countries to design and launch National Energy Compacts »).</w:t>
      </w:r>
    </w:p>
    <w:p>
      <w:pPr>
        <w:numPr>
          <w:ilvl w:val="0"/>
          <w:numId w:val="1023"/>
        </w:numPr>
        <w:pStyle w:val="Compact"/>
      </w:pPr>
      <w:r>
        <w:t xml:space="preserve">[10] Oil Review Africa, « Namibia launches national energy compact », https://oilreviewafrica.com/industry/namibia-launches-national-energy-compact ; New Era, https://neweralive.na/?p=372262 [S].</w:t>
      </w:r>
    </w:p>
    <w:p>
      <w:pPr>
        <w:numPr>
          <w:ilvl w:val="0"/>
          <w:numId w:val="1023"/>
        </w:numPr>
        <w:pStyle w:val="Compact"/>
      </w:pPr>
      <w:r>
        <w:t xml:space="preserve">[11] Business Times (Zimbabwe), « Zimbabwe unveils National Energy Compact, courts global investors », https://businesstimes.co.zw/zimbabwe-unveils-national-energy-compact-courts-global-investors/ [S].</w:t>
      </w:r>
    </w:p>
    <w:p>
      <w:pPr>
        <w:numPr>
          <w:ilvl w:val="0"/>
          <w:numId w:val="1023"/>
        </w:numPr>
        <w:pStyle w:val="Compact"/>
      </w:pPr>
      <w:r>
        <w:t xml:space="preserve">[12] AllAfrica (FR), 06/03/2026, « L’Éthiopie dévoile son Pacte énergétique national lors de la conférence</w:t>
      </w:r>
      <w:r>
        <w:t xml:space="preserve"> </w:t>
      </w:r>
      <w:r>
        <w:t xml:space="preserve">“</w:t>
      </w:r>
      <w:r>
        <w:t xml:space="preserve">Mission 300</w:t>
      </w:r>
      <w:r>
        <w:t xml:space="preserve">”</w:t>
      </w:r>
      <w:r>
        <w:t xml:space="preserve"> </w:t>
      </w:r>
      <w:r>
        <w:t xml:space="preserve">en Afrique du Sud », https://fr.allafrica.com/stories/202603060547.html [S].</w:t>
      </w:r>
    </w:p>
    <w:p>
      <w:pPr>
        <w:numPr>
          <w:ilvl w:val="0"/>
          <w:numId w:val="1023"/>
        </w:numPr>
        <w:pStyle w:val="Compact"/>
      </w:pPr>
      <w:r>
        <w:t xml:space="preserve">[13] Djibouti National Energy Compact,</w:t>
      </w:r>
      <w:r>
        <w:t xml:space="preserve"> </w:t>
      </w:r>
      <w:r>
        <w:rPr>
          <w:rStyle w:val="VerbatimChar"/>
        </w:rPr>
        <w:t xml:space="preserve">{BM}Djibouti-National-Energy-Compact-Mission-300.pdf</w:t>
      </w:r>
      <w:r>
        <w:t xml:space="preserve"> </w:t>
      </w:r>
      <w:r>
        <w:t xml:space="preserve">(téléchargé le 18/10/2026, 44 p., CreationDate 17/06/2026).</w:t>
      </w:r>
    </w:p>
    <w:p>
      <w:pPr>
        <w:numPr>
          <w:ilvl w:val="0"/>
          <w:numId w:val="1023"/>
        </w:numPr>
        <w:pStyle w:val="Compact"/>
      </w:pPr>
      <w:r>
        <w:t xml:space="preserve">[14] Dawan Africa, « Djibouti unveils … national energy strategy for 2026–2035 », https://www.dawan.africa/news/djibouti-unveils-dollar17-billion-national-energy-strategy-for-2026-2035 [S].</w:t>
      </w:r>
    </w:p>
    <w:p>
      <w:pPr>
        <w:numPr>
          <w:ilvl w:val="0"/>
          <w:numId w:val="1023"/>
        </w:numPr>
        <w:pStyle w:val="Compact"/>
      </w:pPr>
      <w:r>
        <w:t xml:space="preserve">[15] BAD, page Mission 300 et événement « The 11th Africa Energy Market Place: Stakeholder Consultation on the National Energy Compact to Deliver on Mission 300 Targets », https://www.afdb.org/en/news-and-events/events/11th-africa-energy-market-place-stakeholder-97357 (vu via les résultats de recherche ; afdb.org non consulté directement) [S].</w:t>
      </w:r>
    </w:p>
    <w:bookmarkEnd w:id="50"/>
    <w:bookmarkEnd w:id="51"/>
    <w:bookmarkEnd w:id="52"/>
    <w:bookmarkStart w:id="564" w:name="annexe-b-fiches-pays"/>
    <w:p>
      <w:pPr>
        <w:pStyle w:val="Heading1"/>
      </w:pPr>
      <w:r>
        <w:t xml:space="preserve">Annexe B — Fiches pays</w:t>
      </w:r>
    </w:p>
    <w:bookmarkStart w:id="63" w:name="fiche-pacte-national-de-lénergie-burundi"/>
    <w:p>
      <w:pPr>
        <w:pStyle w:val="Heading2"/>
      </w:pPr>
      <w:r>
        <w:t xml:space="preserve">Fiche pacte national de l’énergie — Burundi</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53" w:name="métadonnées"/>
    <w:p>
      <w:pPr>
        <w:pStyle w:val="Heading3"/>
      </w:pPr>
      <w:r>
        <w:t xml:space="preserve">0. Métadonnées</w:t>
      </w:r>
    </w:p>
    <w:p>
      <w:pPr>
        <w:numPr>
          <w:ilvl w:val="0"/>
          <w:numId w:val="1024"/>
        </w:numPr>
        <w:pStyle w:val="Compact"/>
      </w:pPr>
      <w:r>
        <w:rPr>
          <w:bCs/>
          <w:b/>
        </w:rPr>
        <w:t xml:space="preserve">Cohorte / date de présentation</w:t>
      </w:r>
      <w:r>
        <w:t xml:space="preserve"> </w:t>
      </w:r>
      <w:r>
        <w:t xml:space="preserve">: 2e cohorte (18 pays) ; pacte présenté en</w:t>
      </w:r>
      <w:r>
        <w:t xml:space="preserve"> </w:t>
      </w:r>
      <w:r>
        <w:rPr>
          <w:bCs/>
          <w:b/>
        </w:rPr>
        <w:t xml:space="preserve">septembre 2025 au Bloomberg Philanthropies Global Forum à New York</w:t>
      </w:r>
      <w:r>
        <w:t xml:space="preserve"> </w:t>
      </w:r>
      <w:r>
        <w:t xml:space="preserve">[2] [V] ; « September 2025 » sur la page BM [3] [V].</w:t>
      </w:r>
    </w:p>
    <w:p>
      <w:pPr>
        <w:numPr>
          <w:ilvl w:val="0"/>
          <w:numId w:val="1024"/>
        </w:numPr>
        <w:pStyle w:val="Compact"/>
      </w:pPr>
      <w:r>
        <w:rPr>
          <w:bCs/>
          <w:b/>
        </w:rPr>
        <w:t xml:space="preserve">Document consulté</w:t>
      </w:r>
      <w:r>
        <w:t xml:space="preserve"> </w:t>
      </w:r>
      <w:r>
        <w:t xml:space="preserve">: « Pacte national pour l’énergie</w:t>
      </w:r>
      <w:r>
        <w:t xml:space="preserve"> </w:t>
      </w:r>
      <w:r>
        <w:t xml:space="preserve">“</w:t>
      </w:r>
      <w:r>
        <w:t xml:space="preserve">COMPACT</w:t>
      </w:r>
      <w:r>
        <w:t xml:space="preserve">”</w:t>
      </w:r>
      <w:r>
        <w:t xml:space="preserve"> </w:t>
      </w:r>
      <w:r>
        <w:t xml:space="preserve">pour la République du Burundi », 42 p.,</w:t>
      </w:r>
      <w:r>
        <w:t xml:space="preserve"> </w:t>
      </w:r>
      <w:r>
        <w:rPr>
          <w:bCs/>
          <w:b/>
        </w:rPr>
        <w:t xml:space="preserve">français</w:t>
      </w:r>
      <w:r>
        <w:t xml:space="preserve">, non daté dans le corps [1] [V]. Complété par « Mission 300 Compact Progress Report — First cycle of data collection 2025 — Burundi », mars 2026 (anglais) [2] [V].</w:t>
      </w:r>
    </w:p>
    <w:p>
      <w:pPr>
        <w:numPr>
          <w:ilvl w:val="0"/>
          <w:numId w:val="1024"/>
        </w:numPr>
        <w:pStyle w:val="Compact"/>
      </w:pPr>
      <w:r>
        <w:rPr>
          <w:bCs/>
          <w:b/>
        </w:rPr>
        <w:t xml:space="preserve">Accès au texte intégral</w:t>
      </w:r>
      <w:r>
        <w:t xml:space="preserve"> </w:t>
      </w:r>
      <w:r>
        <w:t xml:space="preserve">:</w:t>
      </w:r>
      <w:r>
        <w:t xml:space="preserve"> </w:t>
      </w:r>
      <w:r>
        <w:rPr>
          <w:bCs/>
          <w:b/>
        </w:rPr>
        <w:t xml:space="preserve">oui</w:t>
      </w:r>
      <w:r>
        <w:t xml:space="preserve"> </w:t>
      </w:r>
      <w:r>
        <w:t xml:space="preserve">— https://www.worldbank.org/content/dam/theworldbankgroupasset/document/2026/m300-energy-compacts/Burundi-National-Energy-Compact-Mission-300.pdf</w:t>
      </w:r>
    </w:p>
    <w:p>
      <w:pPr>
        <w:numPr>
          <w:ilvl w:val="0"/>
          <w:numId w:val="1024"/>
        </w:numPr>
        <w:pStyle w:val="Compact"/>
      </w:pPr>
      <w:r>
        <w:rPr>
          <w:bCs/>
          <w:b/>
        </w:rPr>
        <w:t xml:space="preserve">Opérateur(s)</w:t>
      </w:r>
      <w:r>
        <w:t xml:space="preserve"> </w:t>
      </w:r>
      <w:r>
        <w:t xml:space="preserve">:</w:t>
      </w:r>
      <w:r>
        <w:t xml:space="preserve"> </w:t>
      </w:r>
      <w:r>
        <w:rPr>
          <w:bCs/>
          <w:b/>
        </w:rPr>
        <w:t xml:space="preserve">REGIDESO</w:t>
      </w:r>
      <w:r>
        <w:t xml:space="preserve"> </w:t>
      </w:r>
      <w:r>
        <w:t xml:space="preserve">(Régie de production et de distribution d’eau et d’électricité, publique, verticalement intégrée, eau + électricité ; ≈ 80 % des revenus à Bujumbura) [1] [V] ;</w:t>
      </w:r>
      <w:r>
        <w:t xml:space="preserve"> </w:t>
      </w:r>
      <w:r>
        <w:rPr>
          <w:bCs/>
          <w:b/>
        </w:rPr>
        <w:t xml:space="preserve">Weza Power</w:t>
      </w:r>
      <w:r>
        <w:t xml:space="preserve"> </w:t>
      </w:r>
      <w:r>
        <w:t xml:space="preserve">(distributeur privé détenu par Anzana Electric Group, ex-Virunga Power ; accord intérimaire de déc. 2023 pour 55 000 ménages en 2 ans) [1] [V] ;</w:t>
      </w:r>
      <w:r>
        <w:t xml:space="preserve"> </w:t>
      </w:r>
      <w:r>
        <w:rPr>
          <w:bCs/>
          <w:b/>
        </w:rPr>
        <w:t xml:space="preserve">ABER</w:t>
      </w:r>
      <w:r>
        <w:t xml:space="preserve"> </w:t>
      </w:r>
      <w:r>
        <w:t xml:space="preserve">(agence d’électrification rurale) [1] [V]. IPP : Interpetrol (thermique 30 MW), Gigawatt Global (solaire 7,5 MW), Songa, Hydroneo, Tembo, Kirasa [1] [V].</w:t>
      </w:r>
    </w:p>
    <w:p>
      <w:pPr>
        <w:numPr>
          <w:ilvl w:val="0"/>
          <w:numId w:val="1024"/>
        </w:numPr>
        <w:pStyle w:val="Compact"/>
      </w:pPr>
      <w:r>
        <w:rPr>
          <w:bCs/>
          <w:b/>
        </w:rPr>
        <w:t xml:space="preserve">Régulateur</w:t>
      </w:r>
      <w:r>
        <w:t xml:space="preserve"> </w:t>
      </w:r>
      <w:r>
        <w:t xml:space="preserve">:</w:t>
      </w:r>
      <w:r>
        <w:t xml:space="preserve"> </w:t>
      </w:r>
      <w:r>
        <w:rPr>
          <w:bCs/>
          <w:b/>
        </w:rPr>
        <w:t xml:space="preserve">AREEN</w:t>
      </w:r>
      <w:r>
        <w:t xml:space="preserve"> </w:t>
      </w:r>
      <w:r>
        <w:t xml:space="preserve">(régulation électricité, produits pétroliers, eau, assainissement) [1] [V] ; ARCP (autorité PPP) [1] [V]. Tutelle : MRMEICT (ministère des Ressources minières, de l’Énergie, de l’Industrie, du Commerce et du Tourisme) [1] [V].</w:t>
      </w:r>
    </w:p>
    <w:bookmarkEnd w:id="53"/>
    <w:bookmarkStart w:id="54" w:name="situation-de-départ-selon-le-pacte"/>
    <w:p>
      <w:pPr>
        <w:pStyle w:val="Heading3"/>
      </w:pPr>
      <w:r>
        <w:t xml:space="preserve">1. Situation de départ (selon le pacte)</w:t>
      </w:r>
    </w:p>
    <w:p>
      <w:pPr>
        <w:numPr>
          <w:ilvl w:val="0"/>
          <w:numId w:val="1025"/>
        </w:numPr>
        <w:pStyle w:val="Compact"/>
      </w:pPr>
      <w:r>
        <w:rPr>
          <w:bCs/>
          <w:b/>
        </w:rPr>
        <w:t xml:space="preserve">Accès (MTF)</w:t>
      </w:r>
      <w:r>
        <w:t xml:space="preserve"> </w:t>
      </w:r>
      <w:r>
        <w:t xml:space="preserve">:</w:t>
      </w:r>
      <w:r>
        <w:t xml:space="preserve"> </w:t>
      </w:r>
      <w:r>
        <w:rPr>
          <w:bCs/>
          <w:b/>
        </w:rPr>
        <w:t xml:space="preserve">25,9 %</w:t>
      </w:r>
      <w:r>
        <w:t xml:space="preserve"> </w:t>
      </w:r>
      <w:r>
        <w:t xml:space="preserve">des ménages (8 % / 8,1 % réseau, 17,9 % / 17,8 % hors réseau) [1] [V] ; urbain 66,3 %, rural 17,6 % [1] [V] ; évolution 7 % (2014) → 9,5 % (2018) → 25,6 % (2021) [1] [V]. Seuls 8 % des ménages au Tier 3+ ; 2 % au Tier 5 [1] [V]. Raisons du non-raccordement : 69 % absence de réseau, 30 % frais de raccordement trop élevés [1] [V].</w:t>
      </w:r>
    </w:p>
    <w:p>
      <w:pPr>
        <w:numPr>
          <w:ilvl w:val="0"/>
          <w:numId w:val="1025"/>
        </w:numPr>
        <w:pStyle w:val="Compact"/>
      </w:pPr>
      <w:r>
        <w:rPr>
          <w:bCs/>
          <w:b/>
        </w:rPr>
        <w:t xml:space="preserve">Population sans accès</w:t>
      </w:r>
      <w:r>
        <w:t xml:space="preserve"> </w:t>
      </w:r>
      <w:r>
        <w:t xml:space="preserve">: 11,6 M de personnes (2021), dont 10,9 M en zone rurale et 0,7 M en zone urbaine [1] [V]. Population : 12 332 788 (recensement 2024) [1] [V].</w:t>
      </w:r>
    </w:p>
    <w:p>
      <w:pPr>
        <w:numPr>
          <w:ilvl w:val="0"/>
          <w:numId w:val="1025"/>
        </w:numPr>
        <w:pStyle w:val="Compact"/>
      </w:pPr>
      <w:r>
        <w:rPr>
          <w:bCs/>
          <w:b/>
        </w:rPr>
        <w:t xml:space="preserve">Capacité</w:t>
      </w:r>
      <w:r>
        <w:t xml:space="preserve"> </w:t>
      </w:r>
      <w:r>
        <w:t xml:space="preserve">: 204,882 MW installés / 168 MW disponibles (2025) ; mix 79 % hydro, 17 % thermique, 4 % solaire ; part du privé 18,5 % (ailleurs « 28,5 % » — incohérence interne) [1] [V]. Production 2024 : 479 470,6 MWh dont 99,76 % renouvelable ; importations 193 529,6 MWh [1] [V]. Coût de production : 20 c USD/kWh (thermique), 9,5 c USD/kWh (renouvelable) [1] [V].</w:t>
      </w:r>
    </w:p>
    <w:p>
      <w:pPr>
        <w:numPr>
          <w:ilvl w:val="0"/>
          <w:numId w:val="1025"/>
        </w:numPr>
        <w:pStyle w:val="Compact"/>
      </w:pPr>
      <w:r>
        <w:rPr>
          <w:bCs/>
          <w:b/>
        </w:rPr>
        <w:t xml:space="preserve">Fiabilité (MTF 2021)</w:t>
      </w:r>
      <w:r>
        <w:t xml:space="preserve"> </w:t>
      </w:r>
      <w:r>
        <w:t xml:space="preserve">: 20 % des ménages électrifiés ont &gt; 23 h/jour ; 37 % &lt; 8 h ; &gt; 50 % subissent des coupures fréquentes [1] [V].</w:t>
      </w:r>
    </w:p>
    <w:p>
      <w:pPr>
        <w:numPr>
          <w:ilvl w:val="0"/>
          <w:numId w:val="1025"/>
        </w:numPr>
        <w:pStyle w:val="Compact"/>
      </w:pPr>
      <w:r>
        <w:rPr>
          <w:bCs/>
          <w:b/>
        </w:rPr>
        <w:t xml:space="preserve">Cuisson propre</w:t>
      </w:r>
      <w:r>
        <w:t xml:space="preserve"> </w:t>
      </w:r>
      <w:r>
        <w:t xml:space="preserve">: 0,1 % des ménages (foyers propres) ; 89 % foyer trois pierres [1] [V] ; référence du rapport d’avancement : 0,2 % [2] [V].</w:t>
      </w:r>
    </w:p>
    <w:bookmarkEnd w:id="54"/>
    <w:bookmarkStart w:id="55" w:name="cibles-2030"/>
    <w:p>
      <w:pPr>
        <w:pStyle w:val="Heading3"/>
      </w:pPr>
      <w:r>
        <w:t xml:space="preserve">2. Cibles 2030</w:t>
      </w:r>
    </w:p>
    <w:p>
      <w:pPr>
        <w:numPr>
          <w:ilvl w:val="0"/>
          <w:numId w:val="1026"/>
        </w:numPr>
        <w:pStyle w:val="Compact"/>
      </w:pPr>
      <w:r>
        <w:rPr>
          <w:bCs/>
          <w:b/>
        </w:rPr>
        <w:t xml:space="preserve">Électricité</w:t>
      </w:r>
      <w:r>
        <w:t xml:space="preserve"> </w:t>
      </w:r>
      <w:r>
        <w:t xml:space="preserve">:</w:t>
      </w:r>
      <w:r>
        <w:t xml:space="preserve"> </w:t>
      </w:r>
      <w:r>
        <w:rPr>
          <w:bCs/>
          <w:b/>
        </w:rPr>
        <w:t xml:space="preserve">70 %</w:t>
      </w:r>
      <w:r>
        <w:t xml:space="preserve"> </w:t>
      </w:r>
      <w:r>
        <w:t xml:space="preserve">de la population en 2030 (+ 7 points/an vs 0,2 point/an en 2017-2021) [1] [V]. Ventilation du tableau d’investissement : réseau 60 % (1,9 M ménages / 9 M personnes) et hors réseau 40 % (1,2 M ménages / 6 M personnes) [1] [V] ; la stratégie à moindre coût (SAUE, oct. 2024) prévoit 60 % réseau, 28 % solaire autonome, 12 % mini-réseaux [1] [V]. Mini-réseaux : 410 000 ménages (&gt; 2 M d’habitants), cible de 300 sites de ≈ 1 MW ; SHS : 850 000 unités (≈ 4 M d’habitants) [1] [V]. Objectif de progrès du rapport : 7 729 998 personnes [2] [V].</w:t>
      </w:r>
    </w:p>
    <w:p>
      <w:pPr>
        <w:numPr>
          <w:ilvl w:val="0"/>
          <w:numId w:val="1026"/>
        </w:numPr>
        <w:pStyle w:val="Compact"/>
      </w:pPr>
      <w:r>
        <w:rPr>
          <w:bCs/>
          <w:b/>
        </w:rPr>
        <w:t xml:space="preserve">Renouvelables</w:t>
      </w:r>
      <w:r>
        <w:t xml:space="preserve"> </w:t>
      </w:r>
      <w:r>
        <w:t xml:space="preserve">: 83 % →</w:t>
      </w:r>
      <w:r>
        <w:t xml:space="preserve"> </w:t>
      </w:r>
      <w:r>
        <w:rPr>
          <w:bCs/>
          <w:b/>
        </w:rPr>
        <w:t xml:space="preserve">99 %</w:t>
      </w:r>
      <w:r>
        <w:t xml:space="preserve"> </w:t>
      </w:r>
      <w:r>
        <w:t xml:space="preserve">du mix [1] [V] ; capacité 200 MW (2025) → 410 MW en 2030 dont 100 MW d’importations (ou 510 MW de capacité disponible selon §2) [1] [V].</w:t>
      </w:r>
    </w:p>
    <w:p>
      <w:pPr>
        <w:numPr>
          <w:ilvl w:val="0"/>
          <w:numId w:val="1026"/>
        </w:numPr>
        <w:pStyle w:val="Compact"/>
      </w:pPr>
      <w:r>
        <w:rPr>
          <w:bCs/>
          <w:b/>
        </w:rPr>
        <w:t xml:space="preserve">Cuisson propre</w:t>
      </w:r>
      <w:r>
        <w:t xml:space="preserve"> </w:t>
      </w:r>
      <w:r>
        <w:t xml:space="preserve">:</w:t>
      </w:r>
      <w:r>
        <w:t xml:space="preserve"> </w:t>
      </w:r>
      <w:r>
        <w:rPr>
          <w:bCs/>
          <w:b/>
        </w:rPr>
        <w:t xml:space="preserve">40 %</w:t>
      </w:r>
      <w:r>
        <w:t xml:space="preserve"> </w:t>
      </w:r>
      <w:r>
        <w:t xml:space="preserve">en 2030 (+ 5 points/an) [1] [V].</w:t>
      </w:r>
    </w:p>
    <w:p>
      <w:pPr>
        <w:numPr>
          <w:ilvl w:val="0"/>
          <w:numId w:val="1026"/>
        </w:numPr>
        <w:pStyle w:val="Compact"/>
      </w:pPr>
      <w:r>
        <w:rPr>
          <w:bCs/>
          <w:b/>
        </w:rPr>
        <w:t xml:space="preserve">Capitaux privés</w:t>
      </w:r>
      <w:r>
        <w:t xml:space="preserve"> </w:t>
      </w:r>
      <w:r>
        <w:t xml:space="preserve">: 1,54 Md USD (44 %) [1] [V] ; 1 535,6 M USD selon [2] [V].</w:t>
      </w:r>
    </w:p>
    <w:p>
      <w:pPr>
        <w:numPr>
          <w:ilvl w:val="0"/>
          <w:numId w:val="1026"/>
        </w:numPr>
        <w:pStyle w:val="Compact"/>
      </w:pPr>
      <w:r>
        <w:rPr>
          <w:bCs/>
          <w:b/>
        </w:rPr>
        <w:t xml:space="preserve">Autres</w:t>
      </w:r>
      <w:r>
        <w:t xml:space="preserve"> </w:t>
      </w:r>
      <w:r>
        <w:t xml:space="preserve">: femmes dans les postes techniques 4,4 % → 30 % [1] [V] ; recouvrement 75 % →</w:t>
      </w:r>
      <w:r>
        <w:t xml:space="preserve"> </w:t>
      </w:r>
      <w:r>
        <w:rPr>
          <w:bCs/>
          <w:b/>
        </w:rPr>
        <w:t xml:space="preserve">95 %</w:t>
      </w:r>
      <w:r>
        <w:t xml:space="preserve"> </w:t>
      </w:r>
      <w:r>
        <w:t xml:space="preserve">en 2030 [1] [V] ; transport + 704 km (416 km 220 kV, 298 km 110 kV) ; MT 6 578 km ; BT 51 839 km ; 3 785 postes MT/BT [1] [V].</w:t>
      </w:r>
    </w:p>
    <w:bookmarkEnd w:id="55"/>
    <w:bookmarkStart w:id="57" w:name="réformes-promises-cœur-de-lanalyse"/>
    <w:p>
      <w:pPr>
        <w:pStyle w:val="Heading3"/>
      </w:pPr>
      <w:r>
        <w:t xml:space="preserve">3. Réformes promises (cœur de l’analyse)</w:t>
      </w:r>
    </w:p>
    <w:bookmarkStart w:id="56" w:name="tarifs-et-subventions"/>
    <w:p>
      <w:pPr>
        <w:pStyle w:val="Heading4"/>
      </w:pPr>
      <w:r>
        <w:t xml:space="preserve">3.1 Tarifs et subventions</w:t>
      </w:r>
    </w:p>
    <w:p>
      <w:pPr>
        <w:numPr>
          <w:ilvl w:val="0"/>
          <w:numId w:val="1027"/>
        </w:numPr>
        <w:pStyle w:val="Compact"/>
      </w:pPr>
      <w:r>
        <w:rPr>
          <w:bCs/>
          <w:b/>
        </w:rPr>
        <w:t xml:space="preserve">Nouvelle structure tarifaire d’ici décembre 2026</w:t>
      </w:r>
      <w:r>
        <w:t xml:space="preserve"> </w:t>
      </w:r>
      <w:r>
        <w:t xml:space="preserve">reposant sur : (i) tarifs reflétant les coûts d’exploitation pour toutes les catégories pouvant les payer ; (ii)</w:t>
      </w:r>
      <w:r>
        <w:t xml:space="preserve"> </w:t>
      </w:r>
      <w:r>
        <w:rPr>
          <w:bCs/>
          <w:b/>
        </w:rPr>
        <w:t xml:space="preserve">« tarif social » abordable</w:t>
      </w:r>
      <w:r>
        <w:t xml:space="preserve"> </w:t>
      </w:r>
      <w:r>
        <w:t xml:space="preserve">pour les pauvres et vulnérables, défini par le gouvernement ; (iii) tarifs binômes/trinômes (fixe, puissance, énergie) hors tarif social ; (iv) tarification de l’énergie réactive ; (v) facturation nette pour les ressources distribuées [1] [V].</w:t>
      </w:r>
    </w:p>
    <w:p>
      <w:pPr>
        <w:numPr>
          <w:ilvl w:val="0"/>
          <w:numId w:val="1027"/>
        </w:numPr>
        <w:pStyle w:val="Compact"/>
      </w:pPr>
      <w:r>
        <w:rPr>
          <w:bCs/>
          <w:b/>
        </w:rPr>
        <w:t xml:space="preserve">Régime de régulation incitative</w:t>
      </w:r>
      <w:r>
        <w:t xml:space="preserve"> </w:t>
      </w:r>
      <w:r>
        <w:t xml:space="preserve">et méthodologie de détermination/ajustement périodique des revenus requis de la REGIDESO, adoptés par l’AREEN d’ici juin 2026, permettant « le recouvrement permanent des coûts d’exploitation » [1] [V].</w:t>
      </w:r>
    </w:p>
    <w:p>
      <w:pPr>
        <w:numPr>
          <w:ilvl w:val="0"/>
          <w:numId w:val="1027"/>
        </w:numPr>
        <w:pStyle w:val="Compact"/>
      </w:pPr>
      <w:r>
        <w:rPr>
          <w:bCs/>
          <w:b/>
        </w:rPr>
        <w:t xml:space="preserve">Ordonnance sur les règles de fixation des tarifs</w:t>
      </w:r>
      <w:r>
        <w:t xml:space="preserve"> </w:t>
      </w:r>
      <w:r>
        <w:t xml:space="preserve">d’ici juin 2026 ;</w:t>
      </w:r>
      <w:r>
        <w:t xml:space="preserve"> </w:t>
      </w:r>
      <w:r>
        <w:rPr>
          <w:bCs/>
          <w:b/>
        </w:rPr>
        <w:t xml:space="preserve">méthodologie tarifaire mini-réseaux</w:t>
      </w:r>
      <w:r>
        <w:t xml:space="preserve"> </w:t>
      </w:r>
      <w:r>
        <w:t xml:space="preserve">d’ici juin 2026 [1] [V].</w:t>
      </w:r>
    </w:p>
    <w:p>
      <w:pPr>
        <w:numPr>
          <w:ilvl w:val="0"/>
          <w:numId w:val="1027"/>
        </w:numPr>
        <w:pStyle w:val="Compact"/>
      </w:pPr>
      <w:r>
        <w:t xml:space="preserve">Structure tarifaire actuelle :</w:t>
      </w:r>
      <w:r>
        <w:t xml:space="preserve"> </w:t>
      </w:r>
      <w:r>
        <w:rPr>
          <w:bCs/>
          <w:b/>
        </w:rPr>
        <w:t xml:space="preserve">2017</w:t>
      </w:r>
      <w:r>
        <w:t xml:space="preserve">, « en cours d’actualisation » ; « nouvelle structure tarifaire non approuvée par les autorités compétentes » [1] [V]. Coût moyen du kWh : 9,4 c USD [1] [V]. Tarif moyen et taux de couverture des coûts : [?] non donnés.</w:t>
      </w:r>
    </w:p>
    <w:p>
      <w:pPr>
        <w:numPr>
          <w:ilvl w:val="0"/>
          <w:numId w:val="1027"/>
        </w:numPr>
        <w:pStyle w:val="Compact"/>
      </w:pPr>
      <w:r>
        <w:t xml:space="preserve">Tous les actifs du PPP de distribution (propriété de l’État) seront soumis à une</w:t>
      </w:r>
      <w:r>
        <w:t xml:space="preserve"> </w:t>
      </w:r>
      <w:r>
        <w:rPr>
          <w:bCs/>
          <w:b/>
        </w:rPr>
        <w:t xml:space="preserve">tarification reflétant les coûts</w:t>
      </w:r>
      <w:r>
        <w:t xml:space="preserve">, avec remboursement collecté auprès des usagers sur jusqu’à 25 ans [1] [V].</w:t>
      </w:r>
    </w:p>
    <w:p>
      <w:pPr>
        <w:numPr>
          <w:ilvl w:val="0"/>
          <w:numId w:val="1027"/>
        </w:numPr>
        <w:pStyle w:val="Compact"/>
      </w:pPr>
      <w:r>
        <w:rPr>
          <w:bCs/>
          <w:b/>
        </w:rPr>
        <w:t xml:space="preserve">Fonds d’accès universel aux énergies propres</w:t>
      </w:r>
      <w:r>
        <w:t xml:space="preserve"> </w:t>
      </w:r>
      <w:r>
        <w:t xml:space="preserve">(loi révisée sur l’électricité) pour compenser les écarts de viabilité en zone rurale ; fonds FESEC (projet SOLEIL-Nyakiriza) existant [1] [V]. Exonérations de TVA/droits sur solaire hors réseau et cuisson propre certifiés (juin 2026) [1] [V].</w:t>
      </w:r>
    </w:p>
    <w:p>
      <w:pPr>
        <w:numPr>
          <w:ilvl w:val="0"/>
          <w:numId w:val="1027"/>
        </w:numPr>
        <w:pStyle w:val="Compact"/>
      </w:pPr>
      <w:r>
        <w:t xml:space="preserve">Règlement de raccordement « abordable » à actualiser (déc. 2026) [1] [V].</w:t>
      </w:r>
      <w:r>
        <w:t xml:space="preserve"> </w:t>
      </w:r>
      <w:r>
        <w:t xml:space="preserve">#### 3.2 Opérateur</w:t>
      </w:r>
    </w:p>
    <w:p>
      <w:pPr>
        <w:numPr>
          <w:ilvl w:val="0"/>
          <w:numId w:val="1027"/>
        </w:numPr>
        <w:pStyle w:val="Compact"/>
      </w:pPr>
      <w:r>
        <w:rPr>
          <w:bCs/>
          <w:b/>
        </w:rPr>
        <w:t xml:space="preserve">Contrat de performance État–REGIDESO</w:t>
      </w:r>
      <w:r>
        <w:t xml:space="preserve"> </w:t>
      </w:r>
      <w:r>
        <w:t xml:space="preserve">d’ici juin 2026, suivi publié par l’AREEN (déc. 2026, déc. 2027) [1] [V].</w:t>
      </w:r>
    </w:p>
    <w:p>
      <w:pPr>
        <w:numPr>
          <w:ilvl w:val="0"/>
          <w:numId w:val="1027"/>
        </w:numPr>
        <w:pStyle w:val="Compact"/>
      </w:pPr>
      <w:r>
        <w:rPr>
          <w:bCs/>
          <w:b/>
        </w:rPr>
        <w:t xml:space="preserve">Plan d’amélioration des performances (PAP)</w:t>
      </w:r>
      <w:r>
        <w:t xml:space="preserve"> </w:t>
      </w:r>
      <w:r>
        <w:t xml:space="preserve">et</w:t>
      </w:r>
      <w:r>
        <w:t xml:space="preserve"> </w:t>
      </w:r>
      <w:r>
        <w:rPr>
          <w:bCs/>
          <w:b/>
        </w:rPr>
        <w:t xml:space="preserve">plan de redressement financier</w:t>
      </w:r>
      <w:r>
        <w:t xml:space="preserve"> </w:t>
      </w:r>
      <w:r>
        <w:t xml:space="preserve">de la REGIDESO d’ici déc. 2025 : nouvelle organisation, recrutement concurrentiel des directeurs, réingénierie (Oracle), protection des revenus, réhabilitation urgente [1] [V].</w:t>
      </w:r>
    </w:p>
    <w:p>
      <w:pPr>
        <w:numPr>
          <w:ilvl w:val="0"/>
          <w:numId w:val="1027"/>
        </w:numPr>
        <w:pStyle w:val="Compact"/>
      </w:pPr>
      <w:r>
        <w:rPr>
          <w:bCs/>
          <w:b/>
        </w:rPr>
        <w:t xml:space="preserve">Compteurs à prépaiement pour 100 % des clients BT</w:t>
      </w:r>
      <w:r>
        <w:t xml:space="preserve"> </w:t>
      </w:r>
      <w:r>
        <w:t xml:space="preserve">d’ici déc. 2026 (285 000 compteurs prépayés actuellement) [1] [V].</w:t>
      </w:r>
    </w:p>
    <w:p>
      <w:pPr>
        <w:numPr>
          <w:ilvl w:val="0"/>
          <w:numId w:val="1027"/>
        </w:numPr>
        <w:pStyle w:val="Compact"/>
      </w:pPr>
      <w:r>
        <w:rPr>
          <w:bCs/>
          <w:b/>
        </w:rPr>
        <w:t xml:space="preserve">États financiers audités</w:t>
      </w:r>
      <w:r>
        <w:t xml:space="preserve"> </w:t>
      </w:r>
      <w:r>
        <w:t xml:space="preserve">par un auditeur externe indépendant : recrutement pour 3 ans et publication 2020-2023 (déc. 2025), 2024-2025 (juin 2026), 2026 (déc. 2027) [1] [V].</w:t>
      </w:r>
    </w:p>
    <w:p>
      <w:pPr>
        <w:numPr>
          <w:ilvl w:val="0"/>
          <w:numId w:val="1027"/>
        </w:numPr>
        <w:pStyle w:val="Compact"/>
      </w:pPr>
      <w:r>
        <w:t xml:space="preserve">Situation : pertes techniques et commerciales</w:t>
      </w:r>
      <w:r>
        <w:t xml:space="preserve"> </w:t>
      </w:r>
      <w:r>
        <w:rPr>
          <w:bCs/>
          <w:b/>
        </w:rPr>
        <w:t xml:space="preserve">32 %</w:t>
      </w:r>
      <w:r>
        <w:t xml:space="preserve"> </w:t>
      </w:r>
      <w:r>
        <w:t xml:space="preserve">(2024 ; 25 % commerciales + 8 % techniques) ; recouvrement 75 % des montants facturés [1] [V]. Revalorisation salariale du personnel REGIDESO [1] [V].</w:t>
      </w:r>
    </w:p>
    <w:p>
      <w:pPr>
        <w:numPr>
          <w:ilvl w:val="0"/>
          <w:numId w:val="1027"/>
        </w:numPr>
        <w:pStyle w:val="Compact"/>
      </w:pPr>
      <w:r>
        <w:rPr>
          <w:bCs/>
          <w:b/>
        </w:rPr>
        <w:t xml:space="preserve">Avancement</w:t>
      </w:r>
      <w:r>
        <w:t xml:space="preserve"> </w:t>
      </w:r>
      <w:r>
        <w:t xml:space="preserve">: au 31/12/2025, les 10 actions prioritaires sont</w:t>
      </w:r>
      <w:r>
        <w:t xml:space="preserve"> </w:t>
      </w:r>
      <w:r>
        <w:rPr>
          <w:bCs/>
          <w:b/>
        </w:rPr>
        <w:t xml:space="preserve">toutes en retard</w:t>
      </w:r>
      <w:r>
        <w:t xml:space="preserve">, dont l’audit externe, la grille salariale et le recrutement des directeurs de la REGIDESO [2] [V].</w:t>
      </w:r>
      <w:r>
        <w:t xml:space="preserve"> </w:t>
      </w:r>
      <w:r>
        <w:t xml:space="preserve">#### 3.3 Régulation et gouvernance</w:t>
      </w:r>
    </w:p>
    <w:p>
      <w:pPr>
        <w:numPr>
          <w:ilvl w:val="0"/>
          <w:numId w:val="1027"/>
        </w:numPr>
        <w:pStyle w:val="Compact"/>
      </w:pPr>
      <w:r>
        <w:t xml:space="preserve">Décrets d’application de la loi sur l’électricité (réorganisation ABER/AREEN, électrification rurale, fonds d’accès universel, production, exonérations, import/export) d’ici déc. 2025 [1] [V] —</w:t>
      </w:r>
      <w:r>
        <w:t xml:space="preserve"> </w:t>
      </w:r>
      <w:r>
        <w:rPr>
          <w:bCs/>
          <w:b/>
        </w:rPr>
        <w:t xml:space="preserve">en retard</w:t>
      </w:r>
      <w:r>
        <w:t xml:space="preserve"> </w:t>
      </w:r>
      <w:r>
        <w:t xml:space="preserve">[2] [V]. Plan de réforme de l’AREEN (en retard) ; mécanisme de financement de l’AREEN (déc. 2027) ; KPI des entités régulées (déc. 2026) [1][2] [V].</w:t>
      </w:r>
    </w:p>
    <w:p>
      <w:pPr>
        <w:numPr>
          <w:ilvl w:val="0"/>
          <w:numId w:val="1027"/>
        </w:numPr>
        <w:pStyle w:val="Compact"/>
      </w:pPr>
      <w:r>
        <w:t xml:space="preserve">Mise à jour de la politique énergétique nationale (2011) d’ici juin 2026 ; plan directeur production/transport 2024-2040 [1] [V].</w:t>
      </w:r>
    </w:p>
    <w:p>
      <w:pPr>
        <w:numPr>
          <w:ilvl w:val="0"/>
          <w:numId w:val="1027"/>
        </w:numPr>
        <w:pStyle w:val="Compact"/>
      </w:pPr>
      <w:r>
        <w:t xml:space="preserve">Comité de pilotage présidé par le ministre de l’Énergie, rapportant au Président ; UTESP ; réunion mensuelle avec BM et BAD [1] [V].</w:t>
      </w:r>
      <w:r>
        <w:t xml:space="preserve"> </w:t>
      </w:r>
      <w:r>
        <w:t xml:space="preserve">#### 3.4 Participation du privé</w:t>
      </w:r>
    </w:p>
    <w:p>
      <w:pPr>
        <w:numPr>
          <w:ilvl w:val="0"/>
          <w:numId w:val="1027"/>
        </w:numPr>
        <w:pStyle w:val="Compact"/>
      </w:pPr>
      <w:r>
        <w:rPr>
          <w:bCs/>
          <w:b/>
        </w:rPr>
        <w:t xml:space="preserve">PPP de distribution avec Weza Power</w:t>
      </w:r>
      <w:r>
        <w:t xml:space="preserve"> </w:t>
      </w:r>
      <w:r>
        <w:t xml:space="preserve">: signature d’ici déc. 2025 (</w:t>
      </w:r>
      <w:r>
        <w:rPr>
          <w:bCs/>
          <w:b/>
        </w:rPr>
        <w:t xml:space="preserve">en retard</w:t>
      </w:r>
      <w:r>
        <w:t xml:space="preserve"> </w:t>
      </w:r>
      <w:r>
        <w:t xml:space="preserve">[2]) ; objectif 9 M de personnes en 7 ans ; 100 M USD mobilisés, ≈ 40 M USD en discussion ; capital ≥ 60 % (jusqu’à 70 %) de subventions [1] [V]. Schéma de financement PPP : 70 % dons, 15 % prêts concessionnels, 15 % capitaux privés [1] [V].</w:t>
      </w:r>
    </w:p>
    <w:p>
      <w:pPr>
        <w:numPr>
          <w:ilvl w:val="0"/>
          <w:numId w:val="1027"/>
        </w:numPr>
        <w:pStyle w:val="Compact"/>
      </w:pPr>
      <w:r>
        <w:t xml:space="preserve">IPP hydro : Songa (10,65 MW, 47 M USD), Kirasa (10,5 MW, 50 M USD), Mpanda/Hydroneo (10,2 MW, 43 M USD), Tembo (21,5 MW, 68,8 M USD) ; mini-réseaux : 33 sites étudiés [1] [V].</w:t>
      </w:r>
    </w:p>
    <w:p>
      <w:pPr>
        <w:numPr>
          <w:ilvl w:val="0"/>
          <w:numId w:val="1027"/>
        </w:numPr>
        <w:pStyle w:val="Compact"/>
      </w:pPr>
      <w:r>
        <w:rPr>
          <w:bCs/>
          <w:b/>
        </w:rPr>
        <w:t xml:space="preserve">Devises</w:t>
      </w:r>
      <w:r>
        <w:t xml:space="preserve"> </w:t>
      </w:r>
      <w:r>
        <w:t xml:space="preserve">: stratégie de disponibilité en devises (déc. 2025, en retard) ; autorisation pour la REGIDESO et les opérateurs de négocier des devises (juin 2026) ; exemption de la politique de rachat de devises du ministère des Finances [1][2] [V].</w:t>
      </w:r>
    </w:p>
    <w:p>
      <w:pPr>
        <w:numPr>
          <w:ilvl w:val="0"/>
          <w:numId w:val="1027"/>
        </w:numPr>
        <w:pStyle w:val="Compact"/>
      </w:pPr>
      <w:r>
        <w:t xml:space="preserve">Procédure simplifiée pour les projets ≤ 1 MW (en retard) ; mise en concurrence pour le solaire à grande échelle (déc. 2026) ; libre transfert des dividendes (code des investissements) [1][2] [V].</w:t>
      </w:r>
    </w:p>
    <w:p>
      <w:pPr>
        <w:numPr>
          <w:ilvl w:val="0"/>
          <w:numId w:val="1027"/>
        </w:numPr>
        <w:pStyle w:val="Compact"/>
      </w:pPr>
      <w:r>
        <w:t xml:space="preserve">Capitaux privés mobilisés en 2025 : 137,1 M USD [2] [V].</w:t>
      </w:r>
      <w:r>
        <w:t xml:space="preserve"> </w:t>
      </w:r>
      <w:r>
        <w:t xml:space="preserve">#### 3.5 Intégration régionale</w:t>
      </w:r>
    </w:p>
    <w:p>
      <w:pPr>
        <w:numPr>
          <w:ilvl w:val="0"/>
          <w:numId w:val="1027"/>
        </w:numPr>
        <w:pStyle w:val="Compact"/>
      </w:pPr>
      <w:r>
        <w:t xml:space="preserve">Interconnexions 220 kV Kigoma (Rwanda)–Gitega et Kamanyola (RDC)–Bujumbura (BAD/UE, 60 M USD) ; Rubirizi–Zege–Kigoma (Tanzanie) à financer ; Ruzizi III (206 MW dont 68,6 MW pour le Burundi, 905 M USD) [1] [V].</w:t>
      </w:r>
    </w:p>
    <w:p>
      <w:pPr>
        <w:numPr>
          <w:ilvl w:val="0"/>
          <w:numId w:val="1027"/>
        </w:numPr>
        <w:pStyle w:val="Compact"/>
      </w:pPr>
      <w:r>
        <w:t xml:space="preserve">Tarification de transport harmonisée EAPP (déc. 2027) ; transposition du cadre réglementaire EAPP (déc. 2026) ; importations visées de 100 MW (2030) [1] [V]. Énergie échangée en power pool : 0 MWh [1] [V].</w:t>
      </w:r>
      <w:r>
        <w:t xml:space="preserve"> </w:t>
      </w:r>
      <w:r>
        <w:t xml:space="preserve">#### 3.6 Autres</w:t>
      </w:r>
    </w:p>
    <w:p>
      <w:pPr>
        <w:numPr>
          <w:ilvl w:val="0"/>
          <w:numId w:val="1027"/>
        </w:numPr>
        <w:pStyle w:val="Compact"/>
      </w:pPr>
      <w:r>
        <w:t xml:space="preserve">Finance carbone (article 6) pour les cuisinières électriques ; stratégie nationale de cuisson propre (déc. 2025) [1] [V].</w:t>
      </w:r>
    </w:p>
    <w:bookmarkEnd w:id="56"/>
    <w:bookmarkEnd w:id="57"/>
    <w:bookmarkStart w:id="58" w:name="financement"/>
    <w:p>
      <w:pPr>
        <w:pStyle w:val="Heading3"/>
      </w:pPr>
      <w:r>
        <w:t xml:space="preserve">4. Financement</w:t>
      </w:r>
    </w:p>
    <w:p>
      <w:pPr>
        <w:numPr>
          <w:ilvl w:val="0"/>
          <w:numId w:val="1028"/>
        </w:numPr>
        <w:pStyle w:val="Compact"/>
      </w:pPr>
      <w:r>
        <w:rPr>
          <w:bCs/>
          <w:b/>
        </w:rPr>
        <w:t xml:space="preserve">Besoin total</w:t>
      </w:r>
      <w:r>
        <w:t xml:space="preserve"> </w:t>
      </w:r>
      <w:r>
        <w:t xml:space="preserve">:</w:t>
      </w:r>
      <w:r>
        <w:t xml:space="preserve"> </w:t>
      </w:r>
      <w:r>
        <w:rPr>
          <w:bCs/>
          <w:b/>
        </w:rPr>
        <w:t xml:space="preserve">3,49 Md USD</w:t>
      </w:r>
      <w:r>
        <w:t xml:space="preserve"> </w:t>
      </w:r>
      <w:r>
        <w:t xml:space="preserve">— public 1,95 Md (56 %), privé 1,54 Md (44 %) [1] [V]. Déficit : production 700 M ; transport 200 M ; distribution 1,64 Md ; décentralisé 600 M (mini-réseaux 450, SHS 150) ; cuisson propre 350 M USD [1] [V]. Annexe II : besoins 3 400 M USD public / 1 496 M USD privé ; disponible 474,3 / 137,7 M USD — chiffres non réconciliés avec le corps du texte [1] [V].</w:t>
      </w:r>
    </w:p>
    <w:p>
      <w:pPr>
        <w:numPr>
          <w:ilvl w:val="0"/>
          <w:numId w:val="1028"/>
        </w:numPr>
        <w:pStyle w:val="Compact"/>
      </w:pPr>
      <w:r>
        <w:rPr>
          <w:bCs/>
          <w:b/>
        </w:rPr>
        <w:t xml:space="preserve">Partenaires</w:t>
      </w:r>
      <w:r>
        <w:t xml:space="preserve"> </w:t>
      </w:r>
      <w:r>
        <w:t xml:space="preserve">: BM — ASCENT Burundi (283 M USD avec BEI, UE, AFD ; 900 000 personnes via REGIDESO + 330 000 via Weza), projet solaire communautaire (65 M USD), Jiji/Mulembwe (319 M USD, avec BEI, UE, BAD), AT réformes REGIDESO (6 M USD) ; BAD — accès phase 1 (30 M USD),</w:t>
      </w:r>
      <w:r>
        <w:t xml:space="preserve"> </w:t>
      </w:r>
      <w:r>
        <w:rPr>
          <w:bCs/>
          <w:b/>
        </w:rPr>
        <w:t xml:space="preserve">phase 2 (110 M USD, don signé le 24/06/2025, 1 558 collines)</w:t>
      </w:r>
      <w:r>
        <w:t xml:space="preserve"> </w:t>
      </w:r>
      <w:r>
        <w:t xml:space="preserve">; Ruzizi III (905 M USD, multi-bailleurs) [1] [V]. Assistance technique requise : 7,5 M USD d’ici déc. 2027 [1] [V].</w:t>
      </w:r>
    </w:p>
    <w:bookmarkEnd w:id="58"/>
    <w:bookmarkStart w:id="59" w:name="calendrier-et-suivi"/>
    <w:p>
      <w:pPr>
        <w:pStyle w:val="Heading3"/>
      </w:pPr>
      <w:r>
        <w:t xml:space="preserve">5. Calendrier et suivi</w:t>
      </w:r>
    </w:p>
    <w:p>
      <w:pPr>
        <w:numPr>
          <w:ilvl w:val="0"/>
          <w:numId w:val="1029"/>
        </w:numPr>
        <w:pStyle w:val="Compact"/>
      </w:pPr>
      <w:r>
        <w:t xml:space="preserve">Jalons semestriels déc. 2025 → déc. 2027 (voir §3) [1] [V].</w:t>
      </w:r>
    </w:p>
    <w:p>
      <w:pPr>
        <w:numPr>
          <w:ilvl w:val="0"/>
          <w:numId w:val="1029"/>
        </w:numPr>
        <w:pStyle w:val="Compact"/>
      </w:pPr>
      <w:r>
        <w:rPr>
          <w:bCs/>
          <w:b/>
        </w:rPr>
        <w:t xml:space="preserve">Bilan fin 2025</w:t>
      </w:r>
      <w:r>
        <w:t xml:space="preserve"> </w:t>
      </w:r>
      <w:r>
        <w:t xml:space="preserve">: 123 actions (10 prioritaires) — 5 achevées, 91 en cours,</w:t>
      </w:r>
      <w:r>
        <w:t xml:space="preserve"> </w:t>
      </w:r>
      <w:r>
        <w:rPr>
          <w:bCs/>
          <w:b/>
        </w:rPr>
        <w:t xml:space="preserve">27 en retard dont les 10 prioritaires</w:t>
      </w:r>
      <w:r>
        <w:t xml:space="preserve"> </w:t>
      </w:r>
      <w:r>
        <w:t xml:space="preserve">; ≈ 900 000 personnes ayant obtenu l’accès en 2025 ; cuisson propre 0,5 % ; ENR 85 % [2] [V].</w:t>
      </w:r>
    </w:p>
    <w:bookmarkEnd w:id="59"/>
    <w:bookmarkStart w:id="60" w:name="lecture-critique"/>
    <w:p>
      <w:pPr>
        <w:pStyle w:val="Heading3"/>
      </w:pPr>
      <w:r>
        <w:t xml:space="preserve">6. Lecture critique</w:t>
      </w:r>
    </w:p>
    <w:p>
      <w:pPr>
        <w:numPr>
          <w:ilvl w:val="0"/>
          <w:numId w:val="1030"/>
        </w:numPr>
        <w:pStyle w:val="Compact"/>
      </w:pPr>
      <w:r>
        <w:rPr>
          <w:bCs/>
          <w:b/>
        </w:rPr>
        <w:t xml:space="preserve">Réalisme</w:t>
      </w:r>
      <w:r>
        <w:t xml:space="preserve"> </w:t>
      </w:r>
      <w:r>
        <w:t xml:space="preserve">: passer de 25,9 % à 70 % en 5 ans (≈ + 9 points/an, ≈ 7,7 M de personnes) depuis un rythme historique de 0,2 point/an est extrêmement ambitieux [1] [E] ; le chiffre de 900 000 personnes en 2025 [2] reste loin des ≈ 1,5 M/an nécessaires [E]. Cuisson propre 0,5 % → 40 % : irréaliste sans stratégie (encore absente) [E].</w:t>
      </w:r>
    </w:p>
    <w:p>
      <w:pPr>
        <w:numPr>
          <w:ilvl w:val="0"/>
          <w:numId w:val="1030"/>
        </w:numPr>
        <w:pStyle w:val="Compact"/>
      </w:pPr>
      <w:r>
        <w:rPr>
          <w:bCs/>
          <w:b/>
        </w:rPr>
        <w:t xml:space="preserve">Tarifs</w:t>
      </w:r>
      <w:r>
        <w:t xml:space="preserve"> </w:t>
      </w:r>
      <w:r>
        <w:t xml:space="preserve">: l’engagement de</w:t>
      </w:r>
      <w:r>
        <w:t xml:space="preserve"> </w:t>
      </w:r>
      <w:r>
        <w:rPr>
          <w:bCs/>
          <w:b/>
        </w:rPr>
        <w:t xml:space="preserve">structure tarifaire</w:t>
      </w:r>
      <w:r>
        <w:t xml:space="preserve"> </w:t>
      </w:r>
      <w:r>
        <w:t xml:space="preserve">est le plus détaillé (tarif social, binôme, énergie réactive, net billing), mais il vise le recouvrement des</w:t>
      </w:r>
      <w:r>
        <w:t xml:space="preserve"> </w:t>
      </w:r>
      <w:r>
        <w:rPr>
          <w:bCs/>
          <w:b/>
        </w:rPr>
        <w:t xml:space="preserve">coûts d’exploitation</w:t>
      </w:r>
      <w:r>
        <w:t xml:space="preserve"> </w:t>
      </w:r>
      <w:r>
        <w:t xml:space="preserve">seulement, sans trajectoire chiffrée ni date de pleine couverture [E]. Le modèle Weza repose sur une tarification « reflétant les coûts » sur 25 ans : point de tension avec l’abordabilité rurale [E].</w:t>
      </w:r>
    </w:p>
    <w:p>
      <w:pPr>
        <w:numPr>
          <w:ilvl w:val="0"/>
          <w:numId w:val="1030"/>
        </w:numPr>
        <w:pStyle w:val="Compact"/>
      </w:pPr>
      <w:r>
        <w:rPr>
          <w:bCs/>
          <w:b/>
        </w:rPr>
        <w:t xml:space="preserve">Opérateur</w:t>
      </w:r>
      <w:r>
        <w:t xml:space="preserve"> </w:t>
      </w:r>
      <w:r>
        <w:t xml:space="preserve">: chantier de gouvernance de base (audit externe, recrutement des dirigeants, salaires) — tous en retard à fin 2025 [2]. Pertes 32 % sans cible chiffrée de réduction dans le corps du texte (3,5 % en annexe, sens ambigu) [E].</w:t>
      </w:r>
    </w:p>
    <w:p>
      <w:pPr>
        <w:numPr>
          <w:ilvl w:val="0"/>
          <w:numId w:val="1030"/>
        </w:numPr>
        <w:pStyle w:val="Compact"/>
      </w:pPr>
      <w:r>
        <w:rPr>
          <w:bCs/>
          <w:b/>
        </w:rPr>
        <w:t xml:space="preserve">Risques</w:t>
      </w:r>
      <w:r>
        <w:t xml:space="preserve"> </w:t>
      </w:r>
      <w:r>
        <w:t xml:space="preserve">: pénurie de devises (risque n° 1 cité), dépendance aux dons (70 % du PPP), capacité institutionnelle de l’AREEN/ARCP, dépendance hydrologique [E].</w:t>
      </w:r>
    </w:p>
    <w:p>
      <w:pPr>
        <w:numPr>
          <w:ilvl w:val="0"/>
          <w:numId w:val="1030"/>
        </w:numPr>
        <w:pStyle w:val="Compact"/>
      </w:pPr>
      <w:r>
        <w:rPr>
          <w:bCs/>
          <w:b/>
        </w:rPr>
        <w:t xml:space="preserve">Phase 2</w:t>
      </w:r>
      <w:r>
        <w:t xml:space="preserve"> </w:t>
      </w:r>
      <w:r>
        <w:t xml:space="preserve">: comptes REGIDESO audités, contrat de performance, PPP Weza (structure, garanties, tarifs).</w:t>
      </w:r>
      <w:r>
        <w:t xml:space="preserve"> </w:t>
      </w:r>
      <w:r>
        <w:rPr>
          <w:bCs/>
          <w:b/>
        </w:rPr>
        <w:t xml:space="preserve">Phase 3</w:t>
      </w:r>
      <w:r>
        <w:t xml:space="preserve"> </w:t>
      </w:r>
      <w:r>
        <w:t xml:space="preserve">: nouvelle structure tarifaire 2026, tarif social, ordonnance tarifaire.</w:t>
      </w:r>
    </w:p>
    <w:bookmarkEnd w:id="60"/>
    <w:bookmarkStart w:id="61" w:name="inconnus-données-non-trouvées"/>
    <w:p>
      <w:pPr>
        <w:pStyle w:val="Heading3"/>
      </w:pPr>
      <w:r>
        <w:t xml:space="preserve">7. Inconnus / données non trouvées</w:t>
      </w:r>
    </w:p>
    <w:p>
      <w:pPr>
        <w:numPr>
          <w:ilvl w:val="0"/>
          <w:numId w:val="1031"/>
        </w:numPr>
        <w:pStyle w:val="Compact"/>
      </w:pPr>
      <w:r>
        <w:t xml:space="preserve">Tarif moyen actuel et grille 2017 [?].</w:t>
      </w:r>
    </w:p>
    <w:p>
      <w:pPr>
        <w:numPr>
          <w:ilvl w:val="0"/>
          <w:numId w:val="1031"/>
        </w:numPr>
        <w:pStyle w:val="Compact"/>
      </w:pPr>
      <w:r>
        <w:t xml:space="preserve">Montant des subventions/transferts de l’État à la REGIDESO [?].</w:t>
      </w:r>
    </w:p>
    <w:p>
      <w:pPr>
        <w:numPr>
          <w:ilvl w:val="0"/>
          <w:numId w:val="1031"/>
        </w:numPr>
        <w:pStyle w:val="Compact"/>
      </w:pPr>
      <w:r>
        <w:t xml:space="preserve">Cible chiffrée de réduction des pertes [?] (« 3,5 % » en annexe II sans libellé clair).</w:t>
      </w:r>
    </w:p>
    <w:p>
      <w:pPr>
        <w:numPr>
          <w:ilvl w:val="0"/>
          <w:numId w:val="1031"/>
        </w:numPr>
        <w:pStyle w:val="Compact"/>
      </w:pPr>
      <w:r>
        <w:t xml:space="preserve">Statut de la signature du PPP Weza en 2026 [?].</w:t>
      </w:r>
    </w:p>
    <w:bookmarkEnd w:id="61"/>
    <w:bookmarkStart w:id="62" w:name="sources-1"/>
    <w:p>
      <w:pPr>
        <w:pStyle w:val="Heading3"/>
      </w:pPr>
      <w:r>
        <w:t xml:space="preserve">Sources</w:t>
      </w:r>
    </w:p>
    <w:p>
      <w:pPr>
        <w:pStyle w:val="FirstParagraph"/>
      </w:pPr>
      <w:r>
        <w:t xml:space="preserve">[1] Gouvernement du Burundi,</w:t>
      </w:r>
      <w:r>
        <w:t xml:space="preserve"> </w:t>
      </w:r>
      <w:r>
        <w:rPr>
          <w:iCs/>
          <w:i/>
        </w:rPr>
        <w:t xml:space="preserve">Pacte national pour l’énergie « COMPACT » pour la République du Burundi</w:t>
      </w:r>
      <w:r>
        <w:t xml:space="preserve">, Mission 300, sept. 2025. https://www.worldbank.org/content/dam/theworldbankgroupasset/document/2026/m300-energy-compacts/Burundi-National-Energy-Compact-Mission-300.pdf (consulté le 18/10/2026)</w:t>
      </w:r>
      <w:r>
        <w:t xml:space="preserve"> </w:t>
      </w:r>
      <w:r>
        <w:t xml:space="preserve">[2] Gouvernement du Burundi (CDMU) / Mission 300,</w:t>
      </w:r>
      <w:r>
        <w:t xml:space="preserve"> </w:t>
      </w:r>
      <w:r>
        <w:rPr>
          <w:iCs/>
          <w:i/>
        </w:rPr>
        <w:t xml:space="preserve">Mission 300 Compact Progress Report — First Cycle of Data Collection 2025 — Burundi</w:t>
      </w:r>
      <w:r>
        <w:t xml:space="preserve">, mars 2026. https://www.worldbank.org/content/dam/theworldbankgroupasset/document/2026/m300-energy-compacts/progress-reports/burundi_mission-300_compact-progress-report-_q12026.pdf</w:t>
      </w:r>
      <w:r>
        <w:t xml:space="preserve"> </w:t>
      </w:r>
      <w:r>
        <w:t xml:space="preserve">[3] Banque mondiale, page « National Energy Compacts ». https://www.worldbank.org/ext/en/energizingafrica/national-energy-compacts (consultée le 18/10/2026)</w:t>
      </w:r>
    </w:p>
    <w:p>
      <w:r>
        <w:br w:type="page"/>
      </w:r>
    </w:p>
    <w:bookmarkEnd w:id="62"/>
    <w:bookmarkEnd w:id="63"/>
    <w:bookmarkStart w:id="79" w:name="fiche-pacte-national-de-lénergie-bénin"/>
    <w:p>
      <w:pPr>
        <w:pStyle w:val="Heading2"/>
      </w:pPr>
      <w:r>
        <w:t xml:space="preserve">Fiche pacte national de l’énergie — Bénin</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64" w:name="métadonnées-1"/>
    <w:p>
      <w:pPr>
        <w:pStyle w:val="Heading3"/>
      </w:pPr>
      <w:r>
        <w:t xml:space="preserve">0. Métadonnées</w:t>
      </w:r>
    </w:p>
    <w:p>
      <w:pPr>
        <w:numPr>
          <w:ilvl w:val="0"/>
          <w:numId w:val="1032"/>
        </w:numPr>
        <w:pStyle w:val="Compact"/>
      </w:pPr>
      <w:r>
        <w:rPr>
          <w:bCs/>
          <w:b/>
        </w:rPr>
        <w:t xml:space="preserve">Cohorte / date de présentation</w:t>
      </w:r>
      <w:r>
        <w:t xml:space="preserve"> </w:t>
      </w:r>
      <w:r>
        <w:t xml:space="preserve">:</w:t>
      </w:r>
    </w:p>
    <w:p>
      <w:pPr>
        <w:numPr>
          <w:ilvl w:val="1"/>
          <w:numId w:val="1033"/>
        </w:numPr>
        <w:pStyle w:val="Compact"/>
      </w:pPr>
      <w:r>
        <w:t xml:space="preserve">la page « National Energy Compacts » de la Banque mondiale date le pacte de</w:t>
      </w:r>
      <w:r>
        <w:t xml:space="preserve"> </w:t>
      </w:r>
      <w:r>
        <w:rPr>
          <w:bCs/>
          <w:b/>
        </w:rPr>
        <w:t xml:space="preserve">« September 2025 »</w:t>
      </w:r>
      <w:r>
        <w:t xml:space="preserve"> </w:t>
      </w:r>
      <w:r>
        <w:t xml:space="preserve">[2] [V], ce qui le place hors de la première cohorte de Dar es Salaam (janvier 2025) ;</w:t>
      </w:r>
    </w:p>
    <w:p>
      <w:pPr>
        <w:numPr>
          <w:ilvl w:val="1"/>
          <w:numId w:val="1033"/>
        </w:numPr>
        <w:pStyle w:val="Compact"/>
      </w:pPr>
      <w:r>
        <w:t xml:space="preserve">le calendrier interne du pacte prévoit la finalisation au T3 2025 et la validation politique par le gouvernement au T4 2025 [1, Tab. 6] [V] ;</w:t>
      </w:r>
    </w:p>
    <w:p>
      <w:pPr>
        <w:numPr>
          <w:ilvl w:val="1"/>
          <w:numId w:val="1033"/>
        </w:numPr>
        <w:pStyle w:val="Compact"/>
      </w:pPr>
      <w:r>
        <w:t xml:space="preserve">l’événement exact de présentation n’est pas identifié → [?].</w:t>
      </w:r>
    </w:p>
    <w:p>
      <w:pPr>
        <w:numPr>
          <w:ilvl w:val="0"/>
          <w:numId w:val="1032"/>
        </w:numPr>
        <w:pStyle w:val="Compact"/>
      </w:pPr>
      <w:r>
        <w:rPr>
          <w:bCs/>
          <w:b/>
        </w:rPr>
        <w:t xml:space="preserve">Document consulté</w:t>
      </w:r>
      <w:r>
        <w:t xml:space="preserve"> </w:t>
      </w:r>
      <w:r>
        <w:t xml:space="preserve">: « Pacte National de l’Énergie pour la République du Bénin », en français, 89 pages, sans date sur la couverture (métadonnées du PDF : 23/09/2025). Les pages portent la mention « Official Use Only » [1].</w:t>
      </w:r>
    </w:p>
    <w:p>
      <w:pPr>
        <w:numPr>
          <w:ilvl w:val="1"/>
          <w:numId w:val="1034"/>
        </w:numPr>
        <w:pStyle w:val="Compact"/>
      </w:pPr>
      <w:r>
        <w:t xml:space="preserve">Aucun rapport d’avancement n’est publié (page de la Banque mondiale vérifiée le 18/10/2026) [2] [V].</w:t>
      </w:r>
    </w:p>
    <w:p>
      <w:pPr>
        <w:numPr>
          <w:ilvl w:val="0"/>
          <w:numId w:val="1032"/>
        </w:numPr>
        <w:pStyle w:val="Compact"/>
      </w:pPr>
      <w:r>
        <w:rPr>
          <w:bCs/>
          <w:b/>
        </w:rPr>
        <w:t xml:space="preserve">Accès au texte intégral</w:t>
      </w:r>
      <w:r>
        <w:t xml:space="preserve"> </w:t>
      </w:r>
      <w:r>
        <w:t xml:space="preserve">:</w:t>
      </w:r>
      <w:r>
        <w:t xml:space="preserve"> </w:t>
      </w:r>
      <w:r>
        <w:rPr>
          <w:bCs/>
          <w:b/>
        </w:rPr>
        <w:t xml:space="preserve">oui</w:t>
      </w:r>
      <w:r>
        <w:t xml:space="preserve">.</w:t>
      </w:r>
    </w:p>
    <w:p>
      <w:pPr>
        <w:numPr>
          <w:ilvl w:val="0"/>
          <w:numId w:val="1032"/>
        </w:numPr>
        <w:pStyle w:val="Compact"/>
      </w:pPr>
      <w:r>
        <w:rPr>
          <w:bCs/>
          <w:b/>
        </w:rPr>
        <w:t xml:space="preserve">Opérateurs</w:t>
      </w:r>
      <w:r>
        <w:t xml:space="preserve"> </w:t>
      </w:r>
      <w:r>
        <w:t xml:space="preserve">[1, Pilier V] [V] :</w:t>
      </w:r>
    </w:p>
    <w:p>
      <w:pPr>
        <w:numPr>
          <w:ilvl w:val="1"/>
          <w:numId w:val="1035"/>
        </w:numPr>
        <w:pStyle w:val="Compact"/>
      </w:pPr>
      <w:r>
        <w:rPr>
          <w:bCs/>
          <w:b/>
        </w:rPr>
        <w:t xml:space="preserve">SBPE</w:t>
      </w:r>
      <w:r>
        <w:t xml:space="preserve"> </w:t>
      </w:r>
      <w:r>
        <w:t xml:space="preserve">(Société Béninoise de Production d’Électricité) : production et approvisionnement ;</w:t>
      </w:r>
    </w:p>
    <w:p>
      <w:pPr>
        <w:numPr>
          <w:ilvl w:val="1"/>
          <w:numId w:val="1035"/>
        </w:numPr>
        <w:pStyle w:val="Compact"/>
      </w:pPr>
      <w:r>
        <w:rPr>
          <w:bCs/>
          <w:b/>
        </w:rPr>
        <w:t xml:space="preserve">CEB</w:t>
      </w:r>
      <w:r>
        <w:t xml:space="preserve"> </w:t>
      </w:r>
      <w:r>
        <w:t xml:space="preserve">(Communauté Électrique du Bénin, bi-nationale avec le Togo) : gestionnaire du réseau de transport depuis 2019 ;</w:t>
      </w:r>
    </w:p>
    <w:p>
      <w:pPr>
        <w:numPr>
          <w:ilvl w:val="1"/>
          <w:numId w:val="1035"/>
        </w:numPr>
        <w:pStyle w:val="Compact"/>
      </w:pPr>
      <w:r>
        <w:rPr>
          <w:bCs/>
          <w:b/>
        </w:rPr>
        <w:t xml:space="preserve">SBEE</w:t>
      </w:r>
      <w:r>
        <w:t xml:space="preserve"> </w:t>
      </w:r>
      <w:r>
        <w:t xml:space="preserve">(Société Béninoise d’Énergie Électrique) : distribution et commercialisation. Sa gestion est</w:t>
      </w:r>
      <w:r>
        <w:t xml:space="preserve"> </w:t>
      </w:r>
      <w:r>
        <w:rPr>
          <w:bCs/>
          <w:b/>
        </w:rPr>
        <w:t xml:space="preserve">déléguée au Groupe Eranove depuis janvier 2024</w:t>
      </w:r>
      <w:r>
        <w:t xml:space="preserve">, après une première délégation à Manitoba Hydro International (2016, 4 ans) ;</w:t>
      </w:r>
    </w:p>
    <w:p>
      <w:pPr>
        <w:numPr>
          <w:ilvl w:val="1"/>
          <w:numId w:val="1035"/>
        </w:numPr>
        <w:pStyle w:val="Compact"/>
      </w:pPr>
      <w:r>
        <w:t xml:space="preserve">CONTRELEC : contrôle des installations intérieures.</w:t>
      </w:r>
    </w:p>
    <w:p>
      <w:pPr>
        <w:numPr>
          <w:ilvl w:val="0"/>
          <w:numId w:val="1032"/>
        </w:numPr>
        <w:pStyle w:val="Compact"/>
      </w:pPr>
      <w:r>
        <w:rPr>
          <w:bCs/>
          <w:b/>
        </w:rPr>
        <w:t xml:space="preserve">Régulateur</w:t>
      </w:r>
      <w:r>
        <w:t xml:space="preserve"> </w:t>
      </w:r>
      <w:r>
        <w:t xml:space="preserve">: ARE (Autorité de Régulation de l’Électricité), créée par le décret n° 2009-182 [1] [V].</w:t>
      </w:r>
    </w:p>
    <w:bookmarkEnd w:id="64"/>
    <w:bookmarkStart w:id="65" w:name="situation-de-départ-selon-le-pacte-1"/>
    <w:p>
      <w:pPr>
        <w:pStyle w:val="Heading3"/>
      </w:pPr>
      <w:r>
        <w:t xml:space="preserve">1. Situation de départ (selon le pacte)</w:t>
      </w:r>
    </w:p>
    <w:p>
      <w:pPr>
        <w:numPr>
          <w:ilvl w:val="0"/>
          <w:numId w:val="1036"/>
        </w:numPr>
        <w:pStyle w:val="Compact"/>
      </w:pPr>
      <w:r>
        <w:rPr>
          <w:bCs/>
          <w:b/>
        </w:rPr>
        <w:t xml:space="preserve">Taux d’accès</w:t>
      </w:r>
      <w:r>
        <w:t xml:space="preserve"> </w:t>
      </w:r>
      <w:r>
        <w:t xml:space="preserve">:</w:t>
      </w:r>
      <w:r>
        <w:t xml:space="preserve"> </w:t>
      </w:r>
      <w:r>
        <w:rPr>
          <w:bCs/>
          <w:b/>
        </w:rPr>
        <w:t xml:space="preserve">42,57 % fin 2024</w:t>
      </w:r>
      <w:r>
        <w:t xml:space="preserve">, soit 1 052 786 ménages ou environ 6 M d’habitants. Il était de 32,4 % en 2016 [1, Tab. 2] [V].</w:t>
      </w:r>
    </w:p>
    <w:p>
      <w:pPr>
        <w:numPr>
          <w:ilvl w:val="1"/>
          <w:numId w:val="1037"/>
        </w:numPr>
        <w:pStyle w:val="Compact"/>
      </w:pPr>
      <w:r>
        <w:t xml:space="preserve">Rural 13,1 %, urbain 71,2 % (2024) [1, §4] [V] ;</w:t>
      </w:r>
    </w:p>
    <w:p>
      <w:pPr>
        <w:numPr>
          <w:ilvl w:val="1"/>
          <w:numId w:val="1037"/>
        </w:numPr>
        <w:pStyle w:val="Compact"/>
      </w:pPr>
      <w:r>
        <w:t xml:space="preserve">48,4 % des unités administratives électrifiées [1, §4] [V] ;</w:t>
      </w:r>
    </w:p>
    <w:p>
      <w:pPr>
        <w:numPr>
          <w:ilvl w:val="1"/>
          <w:numId w:val="1037"/>
        </w:numPr>
        <w:pStyle w:val="Compact"/>
      </w:pPr>
      <w:r>
        <w:t xml:space="preserve">un autre passage donne 40,5 % en 2023 [1, §4] [V].</w:t>
      </w:r>
    </w:p>
    <w:p>
      <w:pPr>
        <w:numPr>
          <w:ilvl w:val="0"/>
          <w:numId w:val="1036"/>
        </w:numPr>
        <w:pStyle w:val="Compact"/>
      </w:pPr>
      <w:r>
        <w:rPr>
          <w:bCs/>
          <w:b/>
        </w:rPr>
        <w:t xml:space="preserve">Population</w:t>
      </w:r>
      <w:r>
        <w:t xml:space="preserve"> </w:t>
      </w:r>
      <w:r>
        <w:t xml:space="preserve">: 13,73 M d’habitants et 2,47 M de ménages en 2024 [1, §4] [V]. La population sans accès n’est pas chiffrée directement. Calcul : environ 1,42 M de ménages sans accès (2,47 M − 1,05 M) [E].</w:t>
      </w:r>
    </w:p>
    <w:p>
      <w:pPr>
        <w:numPr>
          <w:ilvl w:val="0"/>
          <w:numId w:val="1036"/>
        </w:numPr>
        <w:pStyle w:val="Compact"/>
      </w:pPr>
      <w:r>
        <w:rPr>
          <w:bCs/>
          <w:b/>
        </w:rPr>
        <w:t xml:space="preserve">Capacité et mix</w:t>
      </w:r>
      <w:r>
        <w:t xml:space="preserve"> </w:t>
      </w:r>
      <w:r>
        <w:t xml:space="preserve">:</w:t>
      </w:r>
    </w:p>
    <w:p>
      <w:pPr>
        <w:numPr>
          <w:ilvl w:val="1"/>
          <w:numId w:val="1038"/>
        </w:numPr>
        <w:pStyle w:val="Compact"/>
      </w:pPr>
      <w:r>
        <w:rPr>
          <w:bCs/>
          <w:b/>
        </w:rPr>
        <w:t xml:space="preserve">239,8 MW installés en 2024, dont 199,8 MW disponibles</w:t>
      </w:r>
      <w:r>
        <w:t xml:space="preserve"> </w:t>
      </w:r>
      <w:r>
        <w:t xml:space="preserve">(69 % thermique, 16 % hydro, 15 % solaire) [1, §4.1 et note 51] [V] ;</w:t>
      </w:r>
    </w:p>
    <w:p>
      <w:pPr>
        <w:numPr>
          <w:ilvl w:val="1"/>
          <w:numId w:val="1038"/>
        </w:numPr>
        <w:pStyle w:val="Compact"/>
      </w:pPr>
      <w:r>
        <w:t xml:space="preserve">les EnR représentent 62,3 MW sur 199,8 MW, soit 31 % en capacité, mais</w:t>
      </w:r>
      <w:r>
        <w:t xml:space="preserve"> </w:t>
      </w:r>
      <w:r>
        <w:rPr>
          <w:bCs/>
          <w:b/>
        </w:rPr>
        <w:t xml:space="preserve">16 % de la production</w:t>
      </w:r>
      <w:r>
        <w:t xml:space="preserve"> </w:t>
      </w:r>
      <w:r>
        <w:t xml:space="preserve">(2024) [1, Tab. 4] [V] ;</w:t>
      </w:r>
    </w:p>
    <w:p>
      <w:pPr>
        <w:numPr>
          <w:ilvl w:val="1"/>
          <w:numId w:val="1038"/>
        </w:numPr>
        <w:pStyle w:val="Compact"/>
      </w:pPr>
      <w:r>
        <w:t xml:space="preserve">production nationale : 940 189 MWh. Importations 2024 : 1 425 644 MWh, soit plus que la production nationale, avec une croissance de 27,60 % par an sur 2021-2024 [1, Ann. III] [V]. Lecture de « 1 425 64489 » : 1 425 644 + appel de note 89 [E].</w:t>
      </w:r>
    </w:p>
    <w:p>
      <w:pPr>
        <w:numPr>
          <w:ilvl w:val="1"/>
          <w:numId w:val="1038"/>
        </w:numPr>
        <w:pStyle w:val="Compact"/>
      </w:pPr>
      <w:r>
        <w:t xml:space="preserve">Les approvisionnements en gaz (Gazoduc de l’Afrique de l’Ouest, GAO) baissent de 12 % par an sur 2021-2024. La consommation de fioul lourd (HFO) croît de 77 % par an [1, §4.1] [V].</w:t>
      </w:r>
    </w:p>
    <w:p>
      <w:pPr>
        <w:numPr>
          <w:ilvl w:val="0"/>
          <w:numId w:val="1036"/>
        </w:numPr>
        <w:pStyle w:val="Compact"/>
      </w:pPr>
      <w:r>
        <w:rPr>
          <w:bCs/>
          <w:b/>
        </w:rPr>
        <w:t xml:space="preserve">Cuisson propre</w:t>
      </w:r>
      <w:r>
        <w:t xml:space="preserve"> </w:t>
      </w:r>
      <w:r>
        <w:t xml:space="preserve">: 10,5 % des ménages (2021, SNCP) [1, Tab. 2] [V].</w:t>
      </w:r>
    </w:p>
    <w:bookmarkEnd w:id="65"/>
    <w:bookmarkStart w:id="66" w:name="cibles-2030-1"/>
    <w:p>
      <w:pPr>
        <w:pStyle w:val="Heading3"/>
      </w:pPr>
      <w:r>
        <w:t xml:space="preserve">2. Cibles 2030</w:t>
      </w:r>
    </w:p>
    <w:p>
      <w:pPr>
        <w:numPr>
          <w:ilvl w:val="0"/>
          <w:numId w:val="1039"/>
        </w:numPr>
        <w:pStyle w:val="Compact"/>
      </w:pPr>
      <w:r>
        <w:rPr>
          <w:bCs/>
          <w:b/>
        </w:rPr>
        <w:t xml:space="preserve">Accès électricité</w:t>
      </w:r>
      <w:r>
        <w:t xml:space="preserve"> </w:t>
      </w:r>
      <w:r>
        <w:t xml:space="preserve">:</w:t>
      </w:r>
      <w:r>
        <w:t xml:space="preserve"> </w:t>
      </w:r>
      <w:r>
        <w:rPr>
          <w:bCs/>
          <w:b/>
        </w:rPr>
        <w:t xml:space="preserve">incohérence interne</w:t>
      </w:r>
      <w:r>
        <w:t xml:space="preserve">.</w:t>
      </w:r>
    </w:p>
    <w:p>
      <w:pPr>
        <w:numPr>
          <w:ilvl w:val="1"/>
          <w:numId w:val="1040"/>
        </w:numPr>
        <w:pStyle w:val="Compact"/>
      </w:pPr>
      <w:r>
        <w:t xml:space="preserve">Le préambule annonce « 100 % d’accès à l’électricité » d’ici 2030 [1, Préambule] [V].</w:t>
      </w:r>
    </w:p>
    <w:p>
      <w:pPr>
        <w:numPr>
          <w:ilvl w:val="1"/>
          <w:numId w:val="1040"/>
        </w:numPr>
        <w:pStyle w:val="Compact"/>
      </w:pPr>
      <w:r>
        <w:t xml:space="preserve">La déclaration d’engagement et les tableaux retiennent</w:t>
      </w:r>
      <w:r>
        <w:t xml:space="preserve"> </w:t>
      </w:r>
      <w:r>
        <w:rPr>
          <w:bCs/>
          <w:b/>
        </w:rPr>
        <w:t xml:space="preserve">« au moins 70 % »</w:t>
      </w:r>
      <w:r>
        <w:t xml:space="preserve"> </w:t>
      </w:r>
      <w:r>
        <w:t xml:space="preserve">des ménages en 2030, soit environ</w:t>
      </w:r>
      <w:r>
        <w:t xml:space="preserve"> </w:t>
      </w:r>
      <w:r>
        <w:rPr>
          <w:bCs/>
          <w:b/>
        </w:rPr>
        <w:t xml:space="preserve">928 000 nouveaux ménages</w:t>
      </w:r>
      <w:r>
        <w:t xml:space="preserve">, environ 155 000 par an [1, §1 et Tab. 2] [V].</w:t>
      </w:r>
    </w:p>
    <w:p>
      <w:pPr>
        <w:numPr>
          <w:ilvl w:val="1"/>
          <w:numId w:val="1040"/>
        </w:numPr>
        <w:pStyle w:val="Compact"/>
      </w:pPr>
      <w:r>
        <w:t xml:space="preserve">Rythme historique : 51 952 ménages par an sur 2016-2024 [1, Tab. 2] [V].</w:t>
      </w:r>
    </w:p>
    <w:p>
      <w:pPr>
        <w:numPr>
          <w:ilvl w:val="1"/>
          <w:numId w:val="1040"/>
        </w:numPr>
        <w:pStyle w:val="Compact"/>
      </w:pPr>
      <w:r>
        <w:t xml:space="preserve">Répartition du Tableau 3 : environ 777 228 ménages par le réseau, 90 000 par mini-réseaux, 61 000 par kits sur 2025-2030. La lecture du tableau est éclatée → [V] pour le total de 928 228, [?] pour la ventilation exacte.</w:t>
      </w:r>
    </w:p>
    <w:p>
      <w:pPr>
        <w:numPr>
          <w:ilvl w:val="0"/>
          <w:numId w:val="1039"/>
        </w:numPr>
        <w:pStyle w:val="Compact"/>
      </w:pPr>
      <w:r>
        <w:rPr>
          <w:bCs/>
          <w:b/>
        </w:rPr>
        <w:t xml:space="preserve">Renouvelables</w:t>
      </w:r>
      <w:r>
        <w:t xml:space="preserve"> </w:t>
      </w:r>
      <w:r>
        <w:t xml:space="preserve">:</w:t>
      </w:r>
      <w:r>
        <w:t xml:space="preserve"> </w:t>
      </w:r>
      <w:r>
        <w:rPr>
          <w:bCs/>
          <w:b/>
        </w:rPr>
        <w:t xml:space="preserve">30 %</w:t>
      </w:r>
      <w:r>
        <w:t xml:space="preserve"> </w:t>
      </w:r>
      <w:r>
        <w:t xml:space="preserve">du mix de production en 2030, contre 16 % en 2024. En capacité : 417 MW sur 794 MW, soit 53 % [1, Tab. 4] [V].</w:t>
      </w:r>
    </w:p>
    <w:p>
      <w:pPr>
        <w:numPr>
          <w:ilvl w:val="0"/>
          <w:numId w:val="1039"/>
        </w:numPr>
        <w:pStyle w:val="Compact"/>
      </w:pPr>
      <w:r>
        <w:rPr>
          <w:bCs/>
          <w:b/>
        </w:rPr>
        <w:t xml:space="preserve">Cuisson propre</w:t>
      </w:r>
      <w:r>
        <w:t xml:space="preserve"> </w:t>
      </w:r>
      <w:r>
        <w:t xml:space="preserve">: 50 % des ménages utilisant des combustibles modernes, soit 1 285 000 ménages (257 000 par an à partir de 2026) ; 43 % équipés de foyers améliorés, soit 809 043 ménages [1, §1 et Tab. 2] [V].</w:t>
      </w:r>
    </w:p>
    <w:p>
      <w:pPr>
        <w:numPr>
          <w:ilvl w:val="0"/>
          <w:numId w:val="1039"/>
        </w:numPr>
        <w:pStyle w:val="Compact"/>
      </w:pPr>
      <w:r>
        <w:rPr>
          <w:bCs/>
          <w:b/>
        </w:rPr>
        <w:t xml:space="preserve">Capitaux privés</w:t>
      </w:r>
      <w:r>
        <w:t xml:space="preserve"> </w:t>
      </w:r>
      <w:r>
        <w:t xml:space="preserve">:</w:t>
      </w:r>
      <w:r>
        <w:t xml:space="preserve"> </w:t>
      </w:r>
      <w:r>
        <w:rPr>
          <w:bCs/>
          <w:b/>
        </w:rPr>
        <w:t xml:space="preserve">938,39 M EUR (616 Md FCFA)</w:t>
      </w:r>
      <w:r>
        <w:t xml:space="preserve">, contre une référence de 167,66 M EUR [1, Tab. 4] [V].</w:t>
      </w:r>
    </w:p>
    <w:p>
      <w:pPr>
        <w:numPr>
          <w:ilvl w:val="0"/>
          <w:numId w:val="1039"/>
        </w:numPr>
        <w:pStyle w:val="Compact"/>
      </w:pPr>
      <w:r>
        <w:rPr>
          <w:bCs/>
          <w:b/>
        </w:rPr>
        <w:t xml:space="preserve">Pertes</w:t>
      </w:r>
      <w:r>
        <w:t xml:space="preserve"> </w:t>
      </w:r>
      <w:r>
        <w:t xml:space="preserve">:</w:t>
      </w:r>
      <w:r>
        <w:t xml:space="preserve"> </w:t>
      </w:r>
      <w:r>
        <w:rPr>
          <w:bCs/>
          <w:b/>
        </w:rPr>
        <w:t xml:space="preserve">15 % en 2030, contre 24,62 % en 2024</w:t>
      </w:r>
      <w:r>
        <w:t xml:space="preserve"> </w:t>
      </w:r>
      <w:r>
        <w:t xml:space="preserve">[1, §1 Pilier V] [V]. Un autre passage donne 24,7 % pour 2024 [1, §4.1] [V].</w:t>
      </w:r>
    </w:p>
    <w:bookmarkEnd w:id="66"/>
    <w:bookmarkStart w:id="73" w:name="réformes-promises"/>
    <w:p>
      <w:pPr>
        <w:pStyle w:val="Heading3"/>
      </w:pPr>
      <w:r>
        <w:t xml:space="preserve">3. Réformes promises</w:t>
      </w:r>
    </w:p>
    <w:bookmarkStart w:id="67" w:name="tarifs-et-subventions-1"/>
    <w:p>
      <w:pPr>
        <w:pStyle w:val="Heading4"/>
      </w:pPr>
      <w:r>
        <w:t xml:space="preserve">3.1 Tarifs et subventions</w:t>
      </w:r>
    </w:p>
    <w:p>
      <w:pPr>
        <w:numPr>
          <w:ilvl w:val="0"/>
          <w:numId w:val="1041"/>
        </w:numPr>
        <w:pStyle w:val="Compact"/>
      </w:pPr>
      <w:r>
        <w:rPr>
          <w:bCs/>
          <w:b/>
        </w:rPr>
        <w:t xml:space="preserve">Aucun engagement d’ajustement tarifaire.</w:t>
      </w:r>
      <w:r>
        <w:t xml:space="preserve"> </w:t>
      </w:r>
      <w:r>
        <w:t xml:space="preserve">Le dernier ajustement remonte au</w:t>
      </w:r>
      <w:r>
        <w:t xml:space="preserve"> </w:t>
      </w:r>
      <w:r>
        <w:rPr>
          <w:bCs/>
          <w:b/>
        </w:rPr>
        <w:t xml:space="preserve">décret n° 2020-328 du 24/12/2020</w:t>
      </w:r>
      <w:r>
        <w:t xml:space="preserve">, qui fixait les prix de vente de la SBEE pour 2020 et 2021 [1, Ann. I, Pilier V] [V].</w:t>
      </w:r>
    </w:p>
    <w:p>
      <w:pPr>
        <w:numPr>
          <w:ilvl w:val="0"/>
          <w:numId w:val="1041"/>
        </w:numPr>
        <w:pStyle w:val="Compact"/>
      </w:pPr>
      <w:r>
        <w:t xml:space="preserve">La méthodologie tarifaire de l’ARE est le règlement n° 2021-001/CNR/ARE du 23/07/2021 [1] [V].</w:t>
      </w:r>
    </w:p>
    <w:p>
      <w:pPr>
        <w:numPr>
          <w:ilvl w:val="0"/>
          <w:numId w:val="1041"/>
        </w:numPr>
        <w:pStyle w:val="Compact"/>
      </w:pPr>
      <w:r>
        <w:t xml:space="preserve">Pour l’indicateur « recouvrer au moins 100 % des coûts d’exploitation », le pacte répond</w:t>
      </w:r>
      <w:r>
        <w:t xml:space="preserve"> </w:t>
      </w:r>
      <w:r>
        <w:rPr>
          <w:bCs/>
          <w:b/>
        </w:rPr>
        <w:t xml:space="preserve">« Oui »</w:t>
      </w:r>
      <w:r>
        <w:t xml:space="preserve"> </w:t>
      </w:r>
      <w:r>
        <w:t xml:space="preserve">[1, Tab. 5] [V]. Il n’y a ni donnée de coût de revient, ni montant de subvention, ni tarif moyen : les cases de l’annexe III sont vides [1, Ann. III] [V].</w:t>
      </w:r>
    </w:p>
    <w:p>
      <w:pPr>
        <w:numPr>
          <w:ilvl w:val="0"/>
          <w:numId w:val="1041"/>
        </w:numPr>
        <w:pStyle w:val="Compact"/>
      </w:pPr>
      <w:r>
        <w:t xml:space="preserve">Le pacte reconnaît que « le système de tarification rigide limite la capacité [du] secteur privé à investir » [1, Pilier IV] [V].</w:t>
      </w:r>
    </w:p>
    <w:p>
      <w:pPr>
        <w:numPr>
          <w:ilvl w:val="0"/>
          <w:numId w:val="1041"/>
        </w:numPr>
        <w:pStyle w:val="Compact"/>
      </w:pPr>
      <w:r>
        <w:rPr>
          <w:bCs/>
          <w:b/>
        </w:rPr>
        <w:t xml:space="preserve">Tarifs d’achat aux IPP</w:t>
      </w:r>
      <w:r>
        <w:t xml:space="preserve"> </w:t>
      </w:r>
      <w:r>
        <w:t xml:space="preserve">(T4 2026) [1, Tab. 5] [V] :</w:t>
      </w:r>
    </w:p>
    <w:p>
      <w:pPr>
        <w:numPr>
          <w:ilvl w:val="1"/>
          <w:numId w:val="1042"/>
        </w:numPr>
        <w:pStyle w:val="Compact"/>
      </w:pPr>
      <w:r>
        <w:t xml:space="preserve">PPA à long terme validés par l’ARE ;</w:t>
      </w:r>
    </w:p>
    <w:p>
      <w:pPr>
        <w:numPr>
          <w:ilvl w:val="1"/>
          <w:numId w:val="1042"/>
        </w:numPr>
        <w:pStyle w:val="Compact"/>
      </w:pPr>
      <w:r>
        <w:rPr>
          <w:bCs/>
          <w:b/>
        </w:rPr>
        <w:t xml:space="preserve">guide tarifaire officiel</w:t>
      </w:r>
      <w:r>
        <w:t xml:space="preserve"> </w:t>
      </w:r>
      <w:r>
        <w:t xml:space="preserve">;</w:t>
      </w:r>
    </w:p>
    <w:p>
      <w:pPr>
        <w:numPr>
          <w:ilvl w:val="1"/>
          <w:numId w:val="1042"/>
        </w:numPr>
        <w:pStyle w:val="Compact"/>
      </w:pPr>
      <w:r>
        <w:t xml:space="preserve">consultations tarifaires et publication des décisions tarifaires ;</w:t>
      </w:r>
    </w:p>
    <w:p>
      <w:pPr>
        <w:numPr>
          <w:ilvl w:val="1"/>
          <w:numId w:val="1042"/>
        </w:numPr>
        <w:pStyle w:val="Compact"/>
      </w:pPr>
      <w:r>
        <w:rPr>
          <w:bCs/>
          <w:b/>
        </w:rPr>
        <w:t xml:space="preserve">clause take-or-pay dans tous les nouveaux PPA</w:t>
      </w:r>
      <w:r>
        <w:t xml:space="preserve"> </w:t>
      </w:r>
      <w:r>
        <w:t xml:space="preserve">;</w:t>
      </w:r>
    </w:p>
    <w:p>
      <w:pPr>
        <w:numPr>
          <w:ilvl w:val="1"/>
          <w:numId w:val="1042"/>
        </w:numPr>
        <w:pStyle w:val="Compact"/>
      </w:pPr>
      <w:r>
        <w:t xml:space="preserve">compte séquestre alimenté par des avances de l’État ;</w:t>
      </w:r>
    </w:p>
    <w:p>
      <w:pPr>
        <w:numPr>
          <w:ilvl w:val="1"/>
          <w:numId w:val="1042"/>
        </w:numPr>
        <w:pStyle w:val="Compact"/>
      </w:pPr>
      <w:r>
        <w:t xml:space="preserve">mécanisme FERER de sécurisation des revenus des IPP en cas de retard de paiement de la SBPE.</w:t>
      </w:r>
    </w:p>
    <w:p>
      <w:pPr>
        <w:numPr>
          <w:ilvl w:val="0"/>
          <w:numId w:val="1041"/>
        </w:numPr>
        <w:pStyle w:val="Compact"/>
      </w:pPr>
      <w:r>
        <w:rPr>
          <w:bCs/>
          <w:b/>
        </w:rPr>
        <w:t xml:space="preserve">FERER</w:t>
      </w:r>
      <w:r>
        <w:t xml:space="preserve"> </w:t>
      </w:r>
      <w:r>
        <w:t xml:space="preserve">(Fonds d’Électrification Rurale et des Énergies Renouvelables) [1, Tab. 5] [V] :</w:t>
      </w:r>
    </w:p>
    <w:p>
      <w:pPr>
        <w:numPr>
          <w:ilvl w:val="1"/>
          <w:numId w:val="1043"/>
        </w:numPr>
        <w:pStyle w:val="Compact"/>
      </w:pPr>
      <w:r>
        <w:t xml:space="preserve">étude sur un relèvement du prélèvement de</w:t>
      </w:r>
      <w:r>
        <w:t xml:space="preserve"> </w:t>
      </w:r>
      <w:r>
        <w:rPr>
          <w:bCs/>
          <w:b/>
        </w:rPr>
        <w:t xml:space="preserve">3 FCFA/kWh à 6 FCFA/kWh</w:t>
      </w:r>
      <w:r>
        <w:t xml:space="preserve"> </w:t>
      </w:r>
      <w:r>
        <w:t xml:space="preserve">(T2 2026) ;</w:t>
      </w:r>
    </w:p>
    <w:p>
      <w:pPr>
        <w:numPr>
          <w:ilvl w:val="1"/>
          <w:numId w:val="1043"/>
        </w:numPr>
        <w:pStyle w:val="Compact"/>
      </w:pPr>
      <w:r>
        <w:t xml:space="preserve">subventions de</w:t>
      </w:r>
      <w:r>
        <w:t xml:space="preserve"> </w:t>
      </w:r>
      <w:r>
        <w:rPr>
          <w:bCs/>
          <w:b/>
        </w:rPr>
        <w:t xml:space="preserve">50 % pour les mini-réseaux</w:t>
      </w:r>
      <w:r>
        <w:t xml:space="preserve"> </w:t>
      </w:r>
      <w:r>
        <w:t xml:space="preserve">et</w:t>
      </w:r>
      <w:r>
        <w:t xml:space="preserve"> </w:t>
      </w:r>
      <w:r>
        <w:rPr>
          <w:bCs/>
          <w:b/>
        </w:rPr>
        <w:t xml:space="preserve">35 % pour les kits solaires</w:t>
      </w:r>
      <w:r>
        <w:t xml:space="preserve">.</w:t>
      </w:r>
    </w:p>
    <w:p>
      <w:pPr>
        <w:numPr>
          <w:ilvl w:val="0"/>
          <w:numId w:val="1041"/>
        </w:numPr>
        <w:pStyle w:val="Compact"/>
      </w:pPr>
      <w:r>
        <w:t xml:space="preserve">Hors-réseau : le pacte prévoit des « leviers nécessaires pour rendre le tarif de l’électricité plus abordable en milieu hors réseau » [1, Pilier III] [V].</w:t>
      </w:r>
    </w:p>
    <w:p>
      <w:pPr>
        <w:numPr>
          <w:ilvl w:val="0"/>
          <w:numId w:val="1041"/>
        </w:numPr>
        <w:pStyle w:val="Compact"/>
      </w:pPr>
      <w:r>
        <w:t xml:space="preserve">Gaz butane :</w:t>
      </w:r>
      <w:r>
        <w:t xml:space="preserve"> </w:t>
      </w:r>
      <w:r>
        <w:rPr>
          <w:bCs/>
          <w:b/>
        </w:rPr>
        <w:t xml:space="preserve">réforme de mai 2025 instituant un « prix social »</w:t>
      </w:r>
      <w:r>
        <w:t xml:space="preserve">. La propriété des bouteilles est attribuée à DPB SA et les bouteilles deviennent standardisées [1, Ann. I, cuisson propre] [V].</w:t>
      </w:r>
    </w:p>
    <w:p>
      <w:pPr>
        <w:numPr>
          <w:ilvl w:val="0"/>
          <w:numId w:val="1041"/>
        </w:numPr>
        <w:pStyle w:val="Compact"/>
      </w:pPr>
      <w:r>
        <w:t xml:space="preserve">Tranche sociale : non mentionnée explicitement → [?].</w:t>
      </w:r>
    </w:p>
    <w:p>
      <w:pPr>
        <w:numPr>
          <w:ilvl w:val="0"/>
          <w:numId w:val="1041"/>
        </w:numPr>
        <w:pStyle w:val="Compact"/>
      </w:pPr>
      <w:r>
        <w:rPr>
          <w:bCs/>
          <w:b/>
        </w:rPr>
        <w:t xml:space="preserve">Annexe IV (besoins d’assistance technique)</w:t>
      </w:r>
      <w:r>
        <w:t xml:space="preserve"> </w:t>
      </w:r>
      <w:r>
        <w:t xml:space="preserve">: « Étude sur le modèle tarifaire adapté aux coûts du secteur de l’électricité » [1] [V]. Cela suggère que la couverture des coûts n’est pas acquise [E].</w:t>
      </w:r>
    </w:p>
    <w:bookmarkEnd w:id="67"/>
    <w:bookmarkStart w:id="68" w:name="opérateur"/>
    <w:p>
      <w:pPr>
        <w:pStyle w:val="Heading4"/>
      </w:pPr>
      <w:r>
        <w:t xml:space="preserve">3.2 Opérateur</w:t>
      </w:r>
    </w:p>
    <w:p>
      <w:pPr>
        <w:numPr>
          <w:ilvl w:val="0"/>
          <w:numId w:val="1044"/>
        </w:numPr>
        <w:pStyle w:val="Compact"/>
      </w:pPr>
      <w:r>
        <w:rPr>
          <w:bCs/>
          <w:b/>
        </w:rPr>
        <w:t xml:space="preserve">Contrats de performance annuels</w:t>
      </w:r>
      <w:r>
        <w:t xml:space="preserve"> </w:t>
      </w:r>
      <w:r>
        <w:t xml:space="preserve">individualisés signés par la SBPE, la SBEE et CONTRELEC d’ici le T4 2026. Une étude préalable sur le plan de performance est prévue au T2 2026 [1, Tab. 5] [V].</w:t>
      </w:r>
    </w:p>
    <w:p>
      <w:pPr>
        <w:numPr>
          <w:ilvl w:val="0"/>
          <w:numId w:val="1044"/>
        </w:numPr>
        <w:pStyle w:val="Compact"/>
      </w:pPr>
      <w:r>
        <w:t xml:space="preserve">Gestion déléguée de la SBEE à Eranove depuis janvier 2024, « avec une orientation plus commerciale » [1, Pilier V] [V]. Le pacte ne détaille ni la durée ni les indicateurs du contrat → [?].</w:t>
      </w:r>
    </w:p>
    <w:p>
      <w:pPr>
        <w:numPr>
          <w:ilvl w:val="0"/>
          <w:numId w:val="1044"/>
        </w:numPr>
        <w:pStyle w:val="Compact"/>
      </w:pPr>
      <w:r>
        <w:rPr>
          <w:bCs/>
          <w:b/>
        </w:rPr>
        <w:t xml:space="preserve">Pertes</w:t>
      </w:r>
      <w:r>
        <w:t xml:space="preserve"> </w:t>
      </w:r>
      <w:r>
        <w:t xml:space="preserve">:</w:t>
      </w:r>
    </w:p>
    <w:p>
      <w:pPr>
        <w:numPr>
          <w:ilvl w:val="1"/>
          <w:numId w:val="1045"/>
        </w:numPr>
        <w:pStyle w:val="Compact"/>
      </w:pPr>
      <w:r>
        <w:t xml:space="preserve">pertes totales de 22,01 % à 24,82 % sur 2018-2024 ;</w:t>
      </w:r>
    </w:p>
    <w:p>
      <w:pPr>
        <w:numPr>
          <w:ilvl w:val="1"/>
          <w:numId w:val="1045"/>
        </w:numPr>
        <w:pStyle w:val="Compact"/>
      </w:pPr>
      <w:r>
        <w:rPr>
          <w:bCs/>
          <w:b/>
        </w:rPr>
        <w:t xml:space="preserve">pertes non techniques de 12,10 % à 13,65 %</w:t>
      </w:r>
      <w:r>
        <w:t xml:space="preserve"> </w:t>
      </w:r>
      <w:r>
        <w:t xml:space="preserve">(pertes commerciales évaluées à 55-57 % des pertes totales selon l’étude GIZ/WAPP de 2020) ;</w:t>
      </w:r>
    </w:p>
    <w:p>
      <w:pPr>
        <w:numPr>
          <w:ilvl w:val="1"/>
          <w:numId w:val="1045"/>
        </w:numPr>
        <w:pStyle w:val="Compact"/>
      </w:pPr>
      <w:r>
        <w:t xml:space="preserve">cibles : pertes non techniques ramenées à 5-7 % et pertes techniques à environ 5 % [1, Ann. I et §4.1] [V].</w:t>
      </w:r>
    </w:p>
    <w:p>
      <w:pPr>
        <w:numPr>
          <w:ilvl w:val="0"/>
          <w:numId w:val="1044"/>
        </w:numPr>
        <w:pStyle w:val="Compact"/>
      </w:pPr>
      <w:r>
        <w:rPr>
          <w:bCs/>
          <w:b/>
        </w:rPr>
        <w:t xml:space="preserve">Compteurs</w:t>
      </w:r>
      <w:r>
        <w:t xml:space="preserve"> </w:t>
      </w:r>
      <w:r>
        <w:t xml:space="preserve">: prépaiement exclusif pour les nouveaux abonnés, y compris les institutions publiques ; remplacement progressif des anciens compteurs ; compteurs intelligents pour 100 % des nouveaux abonnés en zone pilote [1, Tab. 5] [V].</w:t>
      </w:r>
    </w:p>
    <w:p>
      <w:pPr>
        <w:numPr>
          <w:ilvl w:val="0"/>
          <w:numId w:val="1044"/>
        </w:numPr>
        <w:pStyle w:val="Compact"/>
      </w:pPr>
      <w:r>
        <w:t xml:space="preserve">Taux de recouvrement visé : ≥ 95 % dans les zones digitalisées [1, Tab. 5] [V].</w:t>
      </w:r>
    </w:p>
    <w:p>
      <w:pPr>
        <w:numPr>
          <w:ilvl w:val="0"/>
          <w:numId w:val="1044"/>
        </w:numPr>
        <w:pStyle w:val="Compact"/>
      </w:pPr>
      <w:r>
        <w:t xml:space="preserve">Lutte contre la fraude : cadre légal renforcé au T3 2026, sanctions graduées [1] [V]. Deux contrôles par client et par an [1] [V].</w:t>
      </w:r>
    </w:p>
    <w:p>
      <w:pPr>
        <w:numPr>
          <w:ilvl w:val="0"/>
          <w:numId w:val="1044"/>
        </w:numPr>
        <w:pStyle w:val="Compact"/>
      </w:pPr>
      <w:r>
        <w:t xml:space="preserve">Publication des états financiers certifiés de la SBEE, de la SBPE et de CONTRELEC au T1 2026 [1, Tab. 6] [V].</w:t>
      </w:r>
    </w:p>
    <w:p>
      <w:pPr>
        <w:numPr>
          <w:ilvl w:val="0"/>
          <w:numId w:val="1044"/>
        </w:numPr>
        <w:pStyle w:val="Compact"/>
      </w:pPr>
      <w:r>
        <w:t xml:space="preserve">Abonnés BT : 765 288 (2022), 835 904 (2023),</w:t>
      </w:r>
      <w:r>
        <w:t xml:space="preserve"> </w:t>
      </w:r>
      <w:r>
        <w:rPr>
          <w:bCs/>
          <w:b/>
        </w:rPr>
        <w:t xml:space="preserve">913 685 (2024)</w:t>
      </w:r>
      <w:r>
        <w:t xml:space="preserve"> </w:t>
      </w:r>
      <w:r>
        <w:t xml:space="preserve">[1, Ann. III] [V].</w:t>
      </w:r>
    </w:p>
    <w:p>
      <w:pPr>
        <w:numPr>
          <w:ilvl w:val="0"/>
          <w:numId w:val="1044"/>
        </w:numPr>
        <w:pStyle w:val="Compact"/>
      </w:pPr>
      <w:r>
        <w:t xml:space="preserve">Temps moyen de coupure : 5 h 00 en 2017, 0 h 41 en 2023 [1, Ann. III] [V].</w:t>
      </w:r>
    </w:p>
    <w:p>
      <w:pPr>
        <w:numPr>
          <w:ilvl w:val="0"/>
          <w:numId w:val="1044"/>
        </w:numPr>
        <w:pStyle w:val="Compact"/>
      </w:pPr>
      <w:r>
        <w:t xml:space="preserve">Les dettes et arriérés de la SBEE ne sont pas renseignés [?].</w:t>
      </w:r>
    </w:p>
    <w:bookmarkEnd w:id="68"/>
    <w:bookmarkStart w:id="69" w:name="régulation-et-gouvernance"/>
    <w:p>
      <w:pPr>
        <w:pStyle w:val="Heading4"/>
      </w:pPr>
      <w:r>
        <w:t xml:space="preserve">3.3 Régulation et gouvernance</w:t>
      </w:r>
    </w:p>
    <w:p>
      <w:pPr>
        <w:numPr>
          <w:ilvl w:val="0"/>
          <w:numId w:val="1046"/>
        </w:numPr>
        <w:pStyle w:val="Compact"/>
      </w:pPr>
      <w:r>
        <w:rPr>
          <w:bCs/>
          <w:b/>
        </w:rPr>
        <w:t xml:space="preserve">Comité de pilotage</w:t>
      </w:r>
      <w:r>
        <w:t xml:space="preserve"> </w:t>
      </w:r>
      <w:r>
        <w:t xml:space="preserve">présidé par le</w:t>
      </w:r>
      <w:r>
        <w:t xml:space="preserve"> </w:t>
      </w:r>
      <w:r>
        <w:rPr>
          <w:bCs/>
          <w:b/>
        </w:rPr>
        <w:t xml:space="preserve">ministre de l’Économie et des Finances</w:t>
      </w:r>
      <w:r>
        <w:t xml:space="preserve">, avec une cellule de suivi opérationnelle et des réunions semestrielles. Installation au T2 2026 [1, §3.2] [V].</w:t>
      </w:r>
    </w:p>
    <w:p>
      <w:pPr>
        <w:numPr>
          <w:ilvl w:val="0"/>
          <w:numId w:val="1046"/>
        </w:numPr>
        <w:pStyle w:val="Compact"/>
      </w:pPr>
      <w:r>
        <w:t xml:space="preserve">Actualisation triennale du Plan Directeur de l’Électricité (PDE) et de la Stratégie Nationale d’Électrification (SNE) au T2 2026 [1] [V].</w:t>
      </w:r>
    </w:p>
    <w:p>
      <w:pPr>
        <w:numPr>
          <w:ilvl w:val="0"/>
          <w:numId w:val="1046"/>
        </w:numPr>
        <w:pStyle w:val="Compact"/>
      </w:pPr>
      <w:r>
        <w:t xml:space="preserve">Décret sur les catégories de lignes et arrêté sur la commercialisation au T2 2026 [1] [V].</w:t>
      </w:r>
    </w:p>
    <w:p>
      <w:pPr>
        <w:numPr>
          <w:ilvl w:val="0"/>
          <w:numId w:val="1046"/>
        </w:numPr>
        <w:pStyle w:val="Compact"/>
      </w:pPr>
      <w:r>
        <w:t xml:space="preserve">Renforcement de l’autonomie de l’ARE [1] [V].</w:t>
      </w:r>
    </w:p>
    <w:p>
      <w:pPr>
        <w:numPr>
          <w:ilvl w:val="0"/>
          <w:numId w:val="1046"/>
        </w:numPr>
        <w:pStyle w:val="Compact"/>
      </w:pPr>
      <w:r>
        <w:t xml:space="preserve">Externalisation de la passation des marchés des sociétés d’électricité au T3 2026 [1] [V].</w:t>
      </w:r>
    </w:p>
    <w:bookmarkEnd w:id="69"/>
    <w:bookmarkStart w:id="70" w:name="participation-du-privé"/>
    <w:p>
      <w:pPr>
        <w:pStyle w:val="Heading4"/>
      </w:pPr>
      <w:r>
        <w:t xml:space="preserve">3.4 Participation du privé</w:t>
      </w:r>
    </w:p>
    <w:p>
      <w:pPr>
        <w:numPr>
          <w:ilvl w:val="0"/>
          <w:numId w:val="1047"/>
        </w:numPr>
        <w:pStyle w:val="Compact"/>
      </w:pPr>
      <w:r>
        <w:t xml:space="preserve">Code de l’électricité (loi n° 2020-05) ; loi PPP n° 2024-30 ; décret hors-réseau n° 2022-474 [1] [V].</w:t>
      </w:r>
    </w:p>
    <w:p>
      <w:pPr>
        <w:numPr>
          <w:ilvl w:val="0"/>
          <w:numId w:val="1047"/>
        </w:numPr>
        <w:pStyle w:val="Compact"/>
      </w:pPr>
      <w:r>
        <w:t xml:space="preserve">Décret sur les incitations aux EnR et opérationnalisation du FERER d’ici le 1er semestre 2026 [1, Pilier IV] [V].</w:t>
      </w:r>
    </w:p>
    <w:p>
      <w:pPr>
        <w:numPr>
          <w:ilvl w:val="0"/>
          <w:numId w:val="1047"/>
        </w:numPr>
        <w:pStyle w:val="Compact"/>
      </w:pPr>
      <w:r>
        <w:t xml:space="preserve">Plateforme numérique d’octroi des concessions d’électrification rurale au T2 2026 ; étude sur les périmètres de concession [1] [V].</w:t>
      </w:r>
    </w:p>
    <w:p>
      <w:pPr>
        <w:numPr>
          <w:ilvl w:val="0"/>
          <w:numId w:val="1047"/>
        </w:numPr>
        <w:pStyle w:val="Compact"/>
      </w:pPr>
      <w:r>
        <w:rPr>
          <w:bCs/>
          <w:b/>
        </w:rPr>
        <w:t xml:space="preserve">Exonérations fiscales</w:t>
      </w:r>
      <w:r>
        <w:t xml:space="preserve"> </w:t>
      </w:r>
      <w:r>
        <w:t xml:space="preserve">(équipements solaires, GPL, foyers) intégrées à la loi de finances 2026 (T4 2025) [1, Tab. 5] [V].</w:t>
      </w:r>
    </w:p>
    <w:p>
      <w:pPr>
        <w:numPr>
          <w:ilvl w:val="0"/>
          <w:numId w:val="1047"/>
        </w:numPr>
        <w:pStyle w:val="Compact"/>
      </w:pPr>
      <w:r>
        <w:t xml:space="preserve">Protocole d’évaluation accélérée des projets IPP, avec un délai cible de 60 jours [1] [V].</w:t>
      </w:r>
    </w:p>
    <w:p>
      <w:pPr>
        <w:numPr>
          <w:ilvl w:val="0"/>
          <w:numId w:val="1047"/>
        </w:numPr>
        <w:pStyle w:val="Compact"/>
      </w:pPr>
      <w:r>
        <w:t xml:space="preserve">Hors-réseau : environ une dizaine de conventions privées sur 2022-2024, 45 localités, des offres spontanées [1, Pilier IV] [V].</w:t>
      </w:r>
    </w:p>
    <w:bookmarkEnd w:id="70"/>
    <w:bookmarkStart w:id="71" w:name="intégration-régionale"/>
    <w:p>
      <w:pPr>
        <w:pStyle w:val="Heading4"/>
      </w:pPr>
      <w:r>
        <w:t xml:space="preserve">3.5 Intégration régionale</w:t>
      </w:r>
    </w:p>
    <w:p>
      <w:pPr>
        <w:numPr>
          <w:ilvl w:val="0"/>
          <w:numId w:val="1048"/>
        </w:numPr>
        <w:pStyle w:val="Compact"/>
      </w:pPr>
      <w:r>
        <w:t xml:space="preserve">Le Bénin abrite le siège du WAPP et son Centre d’Information et de Coordination (CIC) [1] [V].</w:t>
      </w:r>
    </w:p>
    <w:p>
      <w:pPr>
        <w:numPr>
          <w:ilvl w:val="0"/>
          <w:numId w:val="1048"/>
        </w:numPr>
        <w:pStyle w:val="Compact"/>
      </w:pPr>
      <w:r>
        <w:t xml:space="preserve">Projets : centrale à cycle combiné de 450 MW à Maria Gléta ; centrale PV régionale de 150 MWc à Malanville ; dorsales Nord et médiane ; doublement de la ligne Sakété–Ikedja ; seconde ligne 330 kV Adjégounlè–Onigbolo [1, Tab. 5] [V].</w:t>
      </w:r>
    </w:p>
    <w:p>
      <w:pPr>
        <w:numPr>
          <w:ilvl w:val="0"/>
          <w:numId w:val="1048"/>
        </w:numPr>
        <w:pStyle w:val="Compact"/>
      </w:pPr>
      <w:r>
        <w:t xml:space="preserve">Gaz : préfinancement pour des contrats fermes (T4 2025) ; terminal flottant de regazéification (FSRU) au T4 2027 ; alternative au GAO [1] [V].</w:t>
      </w:r>
    </w:p>
    <w:p>
      <w:pPr>
        <w:numPr>
          <w:ilvl w:val="0"/>
          <w:numId w:val="1048"/>
        </w:numPr>
        <w:pStyle w:val="Compact"/>
      </w:pPr>
      <w:r>
        <w:t xml:space="preserve">Day-ahead market du WAPP et tarification harmonisée de l’ARREC [1] [V].</w:t>
      </w:r>
    </w:p>
    <w:bookmarkEnd w:id="71"/>
    <w:bookmarkStart w:id="72" w:name="autres"/>
    <w:p>
      <w:pPr>
        <w:pStyle w:val="Heading4"/>
      </w:pPr>
      <w:r>
        <w:t xml:space="preserve">3.6 Autres</w:t>
      </w:r>
    </w:p>
    <w:p>
      <w:pPr>
        <w:numPr>
          <w:ilvl w:val="0"/>
          <w:numId w:val="1049"/>
        </w:numPr>
        <w:pStyle w:val="Compact"/>
      </w:pPr>
      <w:r>
        <w:t xml:space="preserve">Digitalisation et smart grid : pilote au T4 2026 [1] [V].</w:t>
      </w:r>
    </w:p>
    <w:p>
      <w:pPr>
        <w:numPr>
          <w:ilvl w:val="0"/>
          <w:numId w:val="1049"/>
        </w:numPr>
        <w:pStyle w:val="Compact"/>
      </w:pPr>
      <w:r>
        <w:t xml:space="preserve">Stockage : 5 MW à Illoulofin et 5 MW à la GDIZ (zone industrielle de Glo-Djigbé) [1] [V].</w:t>
      </w:r>
    </w:p>
    <w:p>
      <w:pPr>
        <w:numPr>
          <w:ilvl w:val="0"/>
          <w:numId w:val="1049"/>
        </w:numPr>
        <w:pStyle w:val="Compact"/>
      </w:pPr>
      <w:r>
        <w:t xml:space="preserve">Emploi, genre, résilience climatique, registres de risques [1, §3.4] [V].</w:t>
      </w:r>
    </w:p>
    <w:p>
      <w:pPr>
        <w:numPr>
          <w:ilvl w:val="0"/>
          <w:numId w:val="1049"/>
        </w:numPr>
        <w:pStyle w:val="Compact"/>
      </w:pPr>
      <w:r>
        <w:t xml:space="preserve">Foncier : commission multisectorielle de lotissement des localités à électrifier (T1 2026) [1] [V].</w:t>
      </w:r>
    </w:p>
    <w:p>
      <w:pPr>
        <w:numPr>
          <w:ilvl w:val="0"/>
          <w:numId w:val="1049"/>
        </w:numPr>
        <w:pStyle w:val="Compact"/>
      </w:pPr>
      <w:r>
        <w:t xml:space="preserve">24 cabinets privés agréés pour les installations intérieures, avec préfinancement FERER de 130 000 installations par an [1] [V].</w:t>
      </w:r>
    </w:p>
    <w:bookmarkEnd w:id="72"/>
    <w:bookmarkEnd w:id="73"/>
    <w:bookmarkStart w:id="74" w:name="financement-1"/>
    <w:p>
      <w:pPr>
        <w:pStyle w:val="Heading3"/>
      </w:pPr>
      <w:r>
        <w:t xml:space="preserve">4. Financement</w:t>
      </w:r>
    </w:p>
    <w:p>
      <w:pPr>
        <w:numPr>
          <w:ilvl w:val="0"/>
          <w:numId w:val="1050"/>
        </w:numPr>
      </w:pPr>
      <w:r>
        <w:rPr>
          <w:bCs/>
          <w:b/>
        </w:rPr>
        <w:t xml:space="preserve">Besoin total à mobiliser sur 2025-2030</w:t>
      </w:r>
      <w:r>
        <w:t xml:space="preserve"> </w:t>
      </w:r>
      <w:r>
        <w:t xml:space="preserve">:</w:t>
      </w:r>
      <w:r>
        <w:t xml:space="preserve"> </w:t>
      </w:r>
      <w:r>
        <w:rPr>
          <w:bCs/>
          <w:b/>
        </w:rPr>
        <w:t xml:space="preserve">2 362,47 M EUR (1 549,78 Md FCFA)</w:t>
      </w:r>
      <w:r>
        <w:t xml:space="preserve">, dont</w:t>
      </w:r>
      <w:r>
        <w:t xml:space="preserve"> </w:t>
      </w:r>
      <w:r>
        <w:rPr>
          <w:bCs/>
          <w:b/>
        </w:rPr>
        <w:t xml:space="preserve">1 424,08 M EUR publics</w:t>
      </w:r>
      <w:r>
        <w:t xml:space="preserve"> </w:t>
      </w:r>
      <w:r>
        <w:t xml:space="preserve">et</w:t>
      </w:r>
      <w:r>
        <w:t xml:space="preserve"> </w:t>
      </w:r>
      <w:r>
        <w:rPr>
          <w:bCs/>
          <w:b/>
        </w:rPr>
        <w:t xml:space="preserve">938,39 M EUR privés</w:t>
      </w:r>
      <w:r>
        <w:t xml:space="preserve">. Montants déjà mobilisés : 1 551,56 M EUR (1 017,82 Md FCFA) [1, Tab. 1] [V].</w:t>
      </w:r>
    </w:p>
    <w:p>
      <w:pPr>
        <w:numPr>
          <w:ilvl w:val="0"/>
          <w:numId w:val="1050"/>
        </w:numPr>
      </w:pPr>
      <w:r>
        <w:t xml:space="preserve">Par segment, à mobiliser (M EUR) [1, Tab. 1] [V] :</w:t>
      </w:r>
    </w:p>
    <w:tbl>
      <w:tblPr>
        <w:tblStyle w:val="Table"/>
        <w:tblW w:type="auto" w:w="0"/>
        <w:tblLook w:firstRow="1" w:lastRow="0" w:firstColumn="0" w:lastColumn="0" w:noHBand="0" w:noVBand="0" w:val="0020"/>
        <w:jc w:val="start"/>
        <w:tblInd w:w="720" w:type="dxa"/>
      </w:tblPr>
      <w:tblGrid>
        <w:gridCol w:w="6561"/>
        <w:gridCol w:w="3603"/>
        <w:gridCol w:w="2202"/>
        <w:gridCol w:w="2202"/>
      </w:tblGrid>
      <w:tr>
        <w:trPr>
          <w:tblHeader w:val="true"/>
        </w:trPr>
        <w:tc>
          <w:tcPr>
            <w:tcW w:w="6561" w:type="dxa"/>
          </w:tcPr>
          <w:tcPr/>
          <w:p>
            <w:pPr>
              <w:pStyle w:val="Compact"/>
              <w:jc w:val="left"/>
            </w:pPr>
            <w:r>
              <w:t xml:space="preserve">Segment</w:t>
            </w:r>
          </w:p>
        </w:tc>
        <w:tc>
          <w:tcPr>
            <w:tcW w:w="3603" w:type="dxa"/>
          </w:tcPr>
          <w:tcPr/>
          <w:p>
            <w:pPr>
              <w:pStyle w:val="Compact"/>
              <w:jc w:val="left"/>
            </w:pPr>
            <w:r>
              <w:t xml:space="preserve">Total</w:t>
            </w:r>
          </w:p>
        </w:tc>
        <w:tc>
          <w:tcPr>
            <w:tcW w:w="2202" w:type="dxa"/>
          </w:tcPr>
          <w:tcPr/>
          <w:p>
            <w:pPr>
              <w:pStyle w:val="Compact"/>
              <w:jc w:val="left"/>
            </w:pPr>
            <w:r>
              <w:t xml:space="preserve">Public</w:t>
            </w:r>
          </w:p>
        </w:tc>
        <w:tc>
          <w:tcPr>
            <w:tcW w:w="2202" w:type="dxa"/>
          </w:tcPr>
          <w:tcPr/>
          <w:p>
            <w:pPr>
              <w:pStyle w:val="Compact"/>
              <w:jc w:val="left"/>
            </w:pPr>
            <w:r>
              <w:t xml:space="preserve">Privé</w:t>
            </w:r>
          </w:p>
        </w:tc>
      </w:tr>
      <w:tr>
        <w:tc>
          <w:tcPr>
            <w:tcW w:w="6561" w:type="dxa"/>
          </w:tcPr>
          <w:tcPr/>
          <w:p>
            <w:pPr>
              <w:pStyle w:val="Compact"/>
              <w:jc w:val="left"/>
            </w:pPr>
            <w:r>
              <w:t xml:space="preserve">Production</w:t>
            </w:r>
          </w:p>
        </w:tc>
        <w:tc>
          <w:tcPr>
            <w:tcW w:w="3603" w:type="dxa"/>
          </w:tcPr>
          <w:tcPr/>
          <w:p>
            <w:pPr>
              <w:pStyle w:val="Compact"/>
              <w:jc w:val="left"/>
            </w:pPr>
            <w:r>
              <w:t xml:space="preserve">816,31</w:t>
            </w:r>
          </w:p>
        </w:tc>
        <w:tc>
          <w:tcPr>
            <w:tcW w:w="2202" w:type="dxa"/>
          </w:tcPr>
          <w:tcPr/>
          <w:p>
            <w:pPr>
              <w:pStyle w:val="Compact"/>
              <w:jc w:val="left"/>
            </w:pPr>
            <w:r>
              <w:t xml:space="preserve">192,90</w:t>
            </w:r>
          </w:p>
        </w:tc>
        <w:tc>
          <w:tcPr>
            <w:tcW w:w="2202" w:type="dxa"/>
          </w:tcPr>
          <w:tcPr/>
          <w:p>
            <w:pPr>
              <w:pStyle w:val="Compact"/>
              <w:jc w:val="left"/>
            </w:pPr>
            <w:r>
              <w:t xml:space="preserve">623,41</w:t>
            </w:r>
          </w:p>
        </w:tc>
      </w:tr>
      <w:tr>
        <w:tc>
          <w:tcPr>
            <w:tcW w:w="6561" w:type="dxa"/>
          </w:tcPr>
          <w:tcPr/>
          <w:p>
            <w:pPr>
              <w:pStyle w:val="Compact"/>
              <w:jc w:val="left"/>
            </w:pPr>
            <w:r>
              <w:t xml:space="preserve">Transport</w:t>
            </w:r>
          </w:p>
        </w:tc>
        <w:tc>
          <w:tcPr>
            <w:tcW w:w="3603" w:type="dxa"/>
          </w:tcPr>
          <w:tcPr/>
          <w:p>
            <w:pPr>
              <w:pStyle w:val="Compact"/>
              <w:jc w:val="left"/>
            </w:pPr>
            <w:r>
              <w:t xml:space="preserve">371,78</w:t>
            </w:r>
          </w:p>
        </w:tc>
        <w:tc>
          <w:tcPr>
            <w:tcW w:w="2202" w:type="dxa"/>
          </w:tcPr>
          <w:tcPr/>
          <w:p>
            <w:pPr>
              <w:pStyle w:val="Compact"/>
            </w:pPr>
          </w:p>
        </w:tc>
        <w:tc>
          <w:tcPr>
            <w:tcW w:w="2202" w:type="dxa"/>
          </w:tcPr>
          <w:tcPr/>
          <w:p>
            <w:pPr>
              <w:pStyle w:val="Compact"/>
            </w:pPr>
          </w:p>
        </w:tc>
      </w:tr>
      <w:tr>
        <w:tc>
          <w:tcPr>
            <w:tcW w:w="6561" w:type="dxa"/>
          </w:tcPr>
          <w:tcPr/>
          <w:p>
            <w:pPr>
              <w:pStyle w:val="Compact"/>
              <w:jc w:val="left"/>
            </w:pPr>
            <w:r>
              <w:t xml:space="preserve">Distribution</w:t>
            </w:r>
          </w:p>
        </w:tc>
        <w:tc>
          <w:tcPr>
            <w:tcW w:w="3603" w:type="dxa"/>
          </w:tcPr>
          <w:tcPr/>
          <w:p>
            <w:pPr>
              <w:pStyle w:val="Compact"/>
              <w:jc w:val="left"/>
            </w:pPr>
            <w:r>
              <w:t xml:space="preserve">865,60</w:t>
            </w:r>
          </w:p>
        </w:tc>
        <w:tc>
          <w:tcPr>
            <w:tcW w:w="2202" w:type="dxa"/>
          </w:tcPr>
          <w:tcPr/>
          <w:p>
            <w:pPr>
              <w:pStyle w:val="Compact"/>
              <w:jc w:val="left"/>
            </w:pPr>
            <w:r>
              <w:t xml:space="preserve">648,39</w:t>
            </w:r>
          </w:p>
        </w:tc>
        <w:tc>
          <w:tcPr>
            <w:tcW w:w="2202" w:type="dxa"/>
          </w:tcPr>
          <w:tcPr/>
          <w:p>
            <w:pPr>
              <w:pStyle w:val="Compact"/>
              <w:jc w:val="left"/>
            </w:pPr>
            <w:r>
              <w:t xml:space="preserve">217,21</w:t>
            </w:r>
          </w:p>
        </w:tc>
      </w:tr>
      <w:tr>
        <w:tc>
          <w:tcPr>
            <w:tcW w:w="6561" w:type="dxa"/>
          </w:tcPr>
          <w:tcPr/>
          <w:p>
            <w:pPr>
              <w:pStyle w:val="Compact"/>
              <w:jc w:val="left"/>
            </w:pPr>
            <w:r>
              <w:t xml:space="preserve">Cuisson propre</w:t>
            </w:r>
          </w:p>
        </w:tc>
        <w:tc>
          <w:tcPr>
            <w:tcW w:w="3603" w:type="dxa"/>
          </w:tcPr>
          <w:tcPr/>
          <w:p>
            <w:pPr>
              <w:pStyle w:val="Compact"/>
              <w:jc w:val="left"/>
            </w:pPr>
            <w:r>
              <w:t xml:space="preserve">77,36</w:t>
            </w:r>
          </w:p>
        </w:tc>
        <w:tc>
          <w:tcPr>
            <w:tcW w:w="2202" w:type="dxa"/>
          </w:tcPr>
          <w:tcPr/>
          <w:p>
            <w:pPr>
              <w:pStyle w:val="Compact"/>
            </w:pPr>
          </w:p>
        </w:tc>
        <w:tc>
          <w:tcPr>
            <w:tcW w:w="2202" w:type="dxa"/>
          </w:tcPr>
          <w:tcPr/>
          <w:p>
            <w:pPr>
              <w:pStyle w:val="Compact"/>
            </w:pPr>
          </w:p>
        </w:tc>
      </w:tr>
      <w:tr>
        <w:tc>
          <w:tcPr>
            <w:tcW w:w="6561" w:type="dxa"/>
          </w:tcPr>
          <w:tcPr/>
          <w:p>
            <w:pPr>
              <w:pStyle w:val="Compact"/>
              <w:jc w:val="left"/>
            </w:pPr>
            <w:r>
              <w:t xml:space="preserve">Mini-réseaux</w:t>
            </w:r>
          </w:p>
        </w:tc>
        <w:tc>
          <w:tcPr>
            <w:tcW w:w="3603" w:type="dxa"/>
          </w:tcPr>
          <w:tcPr/>
          <w:p>
            <w:pPr>
              <w:pStyle w:val="Compact"/>
              <w:jc w:val="left"/>
            </w:pPr>
            <w:r>
              <w:t xml:space="preserve">151,54</w:t>
            </w:r>
          </w:p>
        </w:tc>
        <w:tc>
          <w:tcPr>
            <w:tcW w:w="2202" w:type="dxa"/>
          </w:tcPr>
          <w:tcPr/>
          <w:p>
            <w:pPr>
              <w:pStyle w:val="Compact"/>
            </w:pPr>
          </w:p>
        </w:tc>
        <w:tc>
          <w:tcPr>
            <w:tcW w:w="2202" w:type="dxa"/>
          </w:tcPr>
          <w:tcPr/>
          <w:p>
            <w:pPr>
              <w:pStyle w:val="Compact"/>
            </w:pPr>
          </w:p>
        </w:tc>
      </w:tr>
      <w:tr>
        <w:tc>
          <w:tcPr>
            <w:tcW w:w="6561" w:type="dxa"/>
          </w:tcPr>
          <w:tcPr/>
          <w:p>
            <w:pPr>
              <w:pStyle w:val="Compact"/>
              <w:jc w:val="left"/>
            </w:pPr>
            <w:r>
              <w:t xml:space="preserve">Kits solaires</w:t>
            </w:r>
          </w:p>
        </w:tc>
        <w:tc>
          <w:tcPr>
            <w:tcW w:w="3603" w:type="dxa"/>
          </w:tcPr>
          <w:tcPr/>
          <w:p>
            <w:pPr>
              <w:pStyle w:val="Compact"/>
              <w:jc w:val="left"/>
            </w:pPr>
            <w:r>
              <w:t xml:space="preserve">33,62</w:t>
            </w:r>
          </w:p>
        </w:tc>
        <w:tc>
          <w:tcPr>
            <w:tcW w:w="2202" w:type="dxa"/>
          </w:tcPr>
          <w:tcPr/>
          <w:p>
            <w:pPr>
              <w:pStyle w:val="Compact"/>
            </w:pPr>
          </w:p>
        </w:tc>
        <w:tc>
          <w:tcPr>
            <w:tcW w:w="2202" w:type="dxa"/>
          </w:tcPr>
          <w:tcPr/>
          <w:p>
            <w:pPr>
              <w:pStyle w:val="Compact"/>
            </w:pPr>
          </w:p>
        </w:tc>
      </w:tr>
      <w:tr>
        <w:tc>
          <w:tcPr>
            <w:tcW w:w="6561" w:type="dxa"/>
          </w:tcPr>
          <w:tcPr/>
          <w:p>
            <w:pPr>
              <w:pStyle w:val="Compact"/>
              <w:jc w:val="left"/>
            </w:pPr>
            <w:r>
              <w:t xml:space="preserve">Projets transversaux</w:t>
            </w:r>
          </w:p>
        </w:tc>
        <w:tc>
          <w:tcPr>
            <w:tcW w:w="3603" w:type="dxa"/>
          </w:tcPr>
          <w:tcPr/>
          <w:p>
            <w:pPr>
              <w:pStyle w:val="Compact"/>
              <w:jc w:val="left"/>
            </w:pPr>
            <w:r>
              <w:t xml:space="preserve">22,87</w:t>
            </w:r>
          </w:p>
        </w:tc>
        <w:tc>
          <w:tcPr>
            <w:tcW w:w="2202" w:type="dxa"/>
          </w:tcPr>
          <w:tcPr/>
          <w:p>
            <w:pPr>
              <w:pStyle w:val="Compact"/>
            </w:pPr>
          </w:p>
        </w:tc>
        <w:tc>
          <w:tcPr>
            <w:tcW w:w="2202" w:type="dxa"/>
          </w:tcPr>
          <w:tcPr/>
          <w:p>
            <w:pPr>
              <w:pStyle w:val="Compact"/>
            </w:pPr>
          </w:p>
        </w:tc>
      </w:tr>
      <w:tr>
        <w:tc>
          <w:tcPr>
            <w:tcW w:w="6561" w:type="dxa"/>
          </w:tcPr>
          <w:tcPr/>
          <w:p>
            <w:pPr>
              <w:pStyle w:val="Compact"/>
              <w:jc w:val="left"/>
            </w:pPr>
            <w:r>
              <w:t xml:space="preserve">Assistance technique</w:t>
            </w:r>
          </w:p>
        </w:tc>
        <w:tc>
          <w:tcPr>
            <w:tcW w:w="3603" w:type="dxa"/>
          </w:tcPr>
          <w:tcPr/>
          <w:p>
            <w:pPr>
              <w:pStyle w:val="Compact"/>
              <w:jc w:val="left"/>
            </w:pPr>
            <w:r>
              <w:t xml:space="preserve">23,39</w:t>
            </w:r>
          </w:p>
        </w:tc>
        <w:tc>
          <w:tcPr>
            <w:tcW w:w="2202" w:type="dxa"/>
          </w:tcPr>
          <w:tcPr/>
          <w:p>
            <w:pPr>
              <w:pStyle w:val="Compact"/>
            </w:pPr>
          </w:p>
        </w:tc>
        <w:tc>
          <w:tcPr>
            <w:tcW w:w="2202" w:type="dxa"/>
          </w:tcPr>
          <w:tcPr/>
          <w:p>
            <w:pPr>
              <w:pStyle w:val="Compact"/>
            </w:pPr>
          </w:p>
        </w:tc>
      </w:tr>
    </w:tbl>
    <w:p>
      <w:pPr>
        <w:numPr>
          <w:ilvl w:val="0"/>
          <w:numId w:val="1050"/>
        </w:numPr>
      </w:pPr>
      <w:r>
        <w:rPr>
          <w:bCs/>
          <w:b/>
        </w:rPr>
        <w:t xml:space="preserve">Engagements cités</w:t>
      </w:r>
      <w:r>
        <w:t xml:space="preserve"> </w:t>
      </w:r>
      <w:r>
        <w:t xml:space="preserve">(annexe II) :</w:t>
      </w:r>
    </w:p>
    <w:p>
      <w:pPr>
        <w:numPr>
          <w:ilvl w:val="1"/>
          <w:numId w:val="1051"/>
        </w:numPr>
        <w:pStyle w:val="Compact"/>
      </w:pPr>
      <w:r>
        <w:t xml:space="preserve">BAD : PERU phase 2 (mars 2025 – déc. 2030), 157,21 M EUR, dont</w:t>
      </w:r>
      <w:r>
        <w:t xml:space="preserve"> </w:t>
      </w:r>
      <w:r>
        <w:rPr>
          <w:bCs/>
          <w:b/>
        </w:rPr>
        <w:t xml:space="preserve">107,35 M EUR BAD</w:t>
      </w:r>
      <w:r>
        <w:t xml:space="preserve">, pour 84 524 raccordements ; PRESREDI (BAD/AFD) [1] [V] ;</w:t>
      </w:r>
    </w:p>
    <w:p>
      <w:pPr>
        <w:numPr>
          <w:ilvl w:val="1"/>
          <w:numId w:val="1051"/>
        </w:numPr>
        <w:pStyle w:val="Compact"/>
      </w:pPr>
      <w:r>
        <w:t xml:space="preserve">Banque mondiale : projet P2AE (IDA/BIRD, nov. 2021 – déc. 2026) [1] [V]. Montant non extrait proprement [?].</w:t>
      </w:r>
    </w:p>
    <w:p>
      <w:pPr>
        <w:numPr>
          <w:ilvl w:val="1"/>
          <w:numId w:val="1051"/>
        </w:numPr>
        <w:pStyle w:val="Compact"/>
      </w:pPr>
      <w:r>
        <w:t xml:space="preserve">Autres : AFD, UE, BID, BIDC, MCA [1].</w:t>
      </w:r>
    </w:p>
    <w:bookmarkEnd w:id="74"/>
    <w:bookmarkStart w:id="75" w:name="calendrier-et-suivi-1"/>
    <w:p>
      <w:pPr>
        <w:pStyle w:val="Heading3"/>
      </w:pPr>
      <w:r>
        <w:t xml:space="preserve">5. Calendrier et suivi</w:t>
      </w:r>
    </w:p>
    <w:p>
      <w:pPr>
        <w:numPr>
          <w:ilvl w:val="0"/>
          <w:numId w:val="1052"/>
        </w:numPr>
        <w:pStyle w:val="Compact"/>
      </w:pPr>
      <w:r>
        <w:t xml:space="preserve">Feuille de route en 5 phases [1, Tab. 6] [V] :</w:t>
      </w:r>
    </w:p>
    <w:p>
      <w:pPr>
        <w:numPr>
          <w:ilvl w:val="1"/>
          <w:numId w:val="1053"/>
        </w:numPr>
        <w:pStyle w:val="Compact"/>
      </w:pPr>
      <w:r>
        <w:t xml:space="preserve">cadrage (T3-T4 2025) ;</w:t>
      </w:r>
    </w:p>
    <w:p>
      <w:pPr>
        <w:numPr>
          <w:ilvl w:val="1"/>
          <w:numId w:val="1053"/>
        </w:numPr>
        <w:pStyle w:val="Compact"/>
      </w:pPr>
      <w:r>
        <w:t xml:space="preserve">structuration des programmes (T1-T2 2026) ;</w:t>
      </w:r>
    </w:p>
    <w:p>
      <w:pPr>
        <w:numPr>
          <w:ilvl w:val="1"/>
          <w:numId w:val="1053"/>
        </w:numPr>
        <w:pStyle w:val="Compact"/>
      </w:pPr>
      <w:r>
        <w:t xml:space="preserve">contractualisation (T3-T4 2026) ;</w:t>
      </w:r>
    </w:p>
    <w:p>
      <w:pPr>
        <w:numPr>
          <w:ilvl w:val="1"/>
          <w:numId w:val="1053"/>
        </w:numPr>
        <w:pStyle w:val="Compact"/>
      </w:pPr>
      <w:r>
        <w:t xml:space="preserve">mise en œuvre (2027-2029) ;</w:t>
      </w:r>
    </w:p>
    <w:p>
      <w:pPr>
        <w:numPr>
          <w:ilvl w:val="1"/>
          <w:numId w:val="1053"/>
        </w:numPr>
        <w:pStyle w:val="Compact"/>
      </w:pPr>
      <w:r>
        <w:t xml:space="preserve">pérennisation (2029-2030).</w:t>
      </w:r>
    </w:p>
    <w:p>
      <w:pPr>
        <w:numPr>
          <w:ilvl w:val="0"/>
          <w:numId w:val="1052"/>
        </w:numPr>
        <w:pStyle w:val="Compact"/>
      </w:pPr>
      <w:r>
        <w:t xml:space="preserve">Rapport intégré de suivi semestriel [1, §3.4] [V].</w:t>
      </w:r>
    </w:p>
    <w:p>
      <w:pPr>
        <w:numPr>
          <w:ilvl w:val="0"/>
          <w:numId w:val="1052"/>
        </w:numPr>
        <w:pStyle w:val="Compact"/>
      </w:pPr>
      <w:r>
        <w:rPr>
          <w:bCs/>
          <w:b/>
        </w:rPr>
        <w:t xml:space="preserve">Aucun rapport d’avancement Mission 300 publié</w:t>
      </w:r>
      <w:r>
        <w:t xml:space="preserve"> </w:t>
      </w:r>
      <w:r>
        <w:t xml:space="preserve">à la date de consultation [2] [V].</w:t>
      </w:r>
    </w:p>
    <w:bookmarkEnd w:id="75"/>
    <w:bookmarkStart w:id="76" w:name="lecture-critique-analyse-de-lauteur"/>
    <w:p>
      <w:pPr>
        <w:pStyle w:val="Heading3"/>
      </w:pPr>
      <w:r>
        <w:t xml:space="preserve">6. Lecture critique (analyse de l’auteur)</w:t>
      </w:r>
    </w:p>
    <w:p>
      <w:pPr>
        <w:numPr>
          <w:ilvl w:val="0"/>
          <w:numId w:val="1054"/>
        </w:numPr>
        <w:pStyle w:val="Compact"/>
      </w:pPr>
      <w:r>
        <w:rPr>
          <w:bCs/>
          <w:b/>
        </w:rPr>
        <w:t xml:space="preserve">Réalisme</w:t>
      </w:r>
      <w:r>
        <w:t xml:space="preserve"> </w:t>
      </w:r>
      <w:r>
        <w:t xml:space="preserve">:</w:t>
      </w:r>
    </w:p>
    <w:p>
      <w:pPr>
        <w:numPr>
          <w:ilvl w:val="1"/>
          <w:numId w:val="1055"/>
        </w:numPr>
        <w:pStyle w:val="Compact"/>
      </w:pPr>
      <w:r>
        <w:t xml:space="preserve">viser 155 000 ménages par an, contre 51 952 par an historiquement, revient à</w:t>
      </w:r>
      <w:r>
        <w:t xml:space="preserve"> </w:t>
      </w:r>
      <w:r>
        <w:rPr>
          <w:bCs/>
          <w:b/>
        </w:rPr>
        <w:t xml:space="preserve">tripler le rythme</w:t>
      </w:r>
      <w:r>
        <w:t xml:space="preserve"> </w:t>
      </w:r>
      <w:r>
        <w:t xml:space="preserve">[1] [E] ;</w:t>
      </w:r>
    </w:p>
    <w:p>
      <w:pPr>
        <w:numPr>
          <w:ilvl w:val="1"/>
          <w:numId w:val="1055"/>
        </w:numPr>
        <w:pStyle w:val="Compact"/>
      </w:pPr>
      <w:r>
        <w:t xml:space="preserve">l’écart entre « 100 % » (préambule) et « 70 % » (engagement) doit être signalé : la cible opposable est 70 % [E] ;</w:t>
      </w:r>
    </w:p>
    <w:p>
      <w:pPr>
        <w:numPr>
          <w:ilvl w:val="1"/>
          <w:numId w:val="1055"/>
        </w:numPr>
        <w:pStyle w:val="Compact"/>
      </w:pPr>
      <w:r>
        <w:t xml:space="preserve">la cible de 30 % de renouvelables reste prudente au regard de l’objectif de 53 % en capacité [E].</w:t>
      </w:r>
    </w:p>
    <w:p>
      <w:pPr>
        <w:numPr>
          <w:ilvl w:val="0"/>
          <w:numId w:val="1054"/>
        </w:numPr>
        <w:pStyle w:val="Compact"/>
      </w:pPr>
      <w:r>
        <w:rPr>
          <w:bCs/>
          <w:b/>
        </w:rPr>
        <w:t xml:space="preserve">Engagements tarifaires</w:t>
      </w:r>
      <w:r>
        <w:t xml:space="preserve"> </w:t>
      </w:r>
      <w:r>
        <w:t xml:space="preserve">:</w:t>
      </w:r>
      <w:r>
        <w:t xml:space="preserve"> </w:t>
      </w:r>
      <w:r>
        <w:rPr>
          <w:bCs/>
          <w:b/>
        </w:rPr>
        <w:t xml:space="preserve">quasi absents côté consommateur</w:t>
      </w:r>
      <w:r>
        <w:t xml:space="preserve">. Aucun ajustement depuis le décret de 2020, l’indicateur de recouvrement est déclaré « Oui » sans données, et une étude tarifaire figure dans les besoins d’assistance technique. En revanche, côté offre, les engagements sont</w:t>
      </w:r>
      <w:r>
        <w:t xml:space="preserve"> </w:t>
      </w:r>
      <w:r>
        <w:rPr>
          <w:bCs/>
          <w:b/>
        </w:rPr>
        <w:t xml:space="preserve">précis</w:t>
      </w:r>
      <w:r>
        <w:t xml:space="preserve"> </w:t>
      </w:r>
      <w:r>
        <w:t xml:space="preserve">: guide tarifaire, take-or-pay, compte séquestre, doublement du prélèvement FERER, taux de subvention de 50 % et 35 %. C’est le pacte le plus détaillé du lot sur la sécurisation des IPP.</w:t>
      </w:r>
    </w:p>
    <w:p>
      <w:pPr>
        <w:numPr>
          <w:ilvl w:val="0"/>
          <w:numId w:val="1054"/>
        </w:numPr>
        <w:pStyle w:val="Compact"/>
      </w:pPr>
      <w:r>
        <w:rPr>
          <w:bCs/>
          <w:b/>
        </w:rPr>
        <w:t xml:space="preserve">Risques</w:t>
      </w:r>
      <w:r>
        <w:t xml:space="preserve"> </w:t>
      </w:r>
      <w:r>
        <w:t xml:space="preserve">:</w:t>
      </w:r>
    </w:p>
    <w:p>
      <w:pPr>
        <w:numPr>
          <w:ilvl w:val="1"/>
          <w:numId w:val="1056"/>
        </w:numPr>
        <w:pStyle w:val="Compact"/>
      </w:pPr>
      <w:r>
        <w:t xml:space="preserve">dépendance aux importations (plus de 60 % de l’offre) et au gaz du GAO ;</w:t>
      </w:r>
    </w:p>
    <w:p>
      <w:pPr>
        <w:numPr>
          <w:ilvl w:val="1"/>
          <w:numId w:val="1056"/>
        </w:numPr>
        <w:pStyle w:val="Compact"/>
      </w:pPr>
      <w:r>
        <w:t xml:space="preserve">montée du HFO ;</w:t>
      </w:r>
    </w:p>
    <w:p>
      <w:pPr>
        <w:numPr>
          <w:ilvl w:val="1"/>
          <w:numId w:val="1056"/>
        </w:numPr>
        <w:pStyle w:val="Compact"/>
      </w:pPr>
      <w:r>
        <w:t xml:space="preserve">take-or-pay généralisé, qui crée un passif contingent pour l’État [E] ;</w:t>
      </w:r>
    </w:p>
    <w:p>
      <w:pPr>
        <w:numPr>
          <w:ilvl w:val="1"/>
          <w:numId w:val="1056"/>
        </w:numPr>
        <w:pStyle w:val="Compact"/>
      </w:pPr>
      <w:r>
        <w:t xml:space="preserve">ambition de rythme d’accès ;</w:t>
      </w:r>
    </w:p>
    <w:p>
      <w:pPr>
        <w:numPr>
          <w:ilvl w:val="1"/>
          <w:numId w:val="1056"/>
        </w:numPr>
        <w:pStyle w:val="Compact"/>
      </w:pPr>
      <w:r>
        <w:t xml:space="preserve">absence de données financières des opérateurs dans le pacte.</w:t>
      </w:r>
    </w:p>
    <w:p>
      <w:pPr>
        <w:numPr>
          <w:ilvl w:val="0"/>
          <w:numId w:val="1054"/>
        </w:numPr>
        <w:pStyle w:val="Compact"/>
      </w:pPr>
      <w:r>
        <w:rPr>
          <w:bCs/>
          <w:b/>
        </w:rPr>
        <w:t xml:space="preserve">Phase 2 (opérateur)</w:t>
      </w:r>
      <w:r>
        <w:t xml:space="preserve"> </w:t>
      </w:r>
      <w:r>
        <w:t xml:space="preserve">: contrat de gestion déléguée SBEE–Eranove (indicateurs, rémunération, durée) ; contrats de performance de 2026 ; comptes certifiés de la SBEE et de la SBPE ; dettes croisées SBEE/SBPE/CEB.</w:t>
      </w:r>
    </w:p>
    <w:p>
      <w:pPr>
        <w:numPr>
          <w:ilvl w:val="0"/>
          <w:numId w:val="1054"/>
        </w:numPr>
        <w:pStyle w:val="Compact"/>
      </w:pPr>
      <w:r>
        <w:rPr>
          <w:bCs/>
          <w:b/>
        </w:rPr>
        <w:t xml:space="preserve">Phase 3 (tarifs)</w:t>
      </w:r>
      <w:r>
        <w:t xml:space="preserve"> </w:t>
      </w:r>
      <w:r>
        <w:t xml:space="preserve">: grille de 2020 toujours en vigueur ? coût de revient face au tarif moyen ; subventions implicites (HFO) ; prélèvement FERER ; prix social du butane de 2025.</w:t>
      </w:r>
    </w:p>
    <w:bookmarkEnd w:id="76"/>
    <w:bookmarkStart w:id="77" w:name="inconnus-données-non-trouvées-1"/>
    <w:p>
      <w:pPr>
        <w:pStyle w:val="Heading3"/>
      </w:pPr>
      <w:r>
        <w:t xml:space="preserve">7. Inconnus / données non trouvées</w:t>
      </w:r>
    </w:p>
    <w:p>
      <w:pPr>
        <w:numPr>
          <w:ilvl w:val="0"/>
          <w:numId w:val="1057"/>
        </w:numPr>
        <w:pStyle w:val="Compact"/>
      </w:pPr>
      <w:r>
        <w:t xml:space="preserve">Tarif moyen, coût de revient, montant des subventions, dettes et créances (cases vides de l’annexe III) [?].</w:t>
      </w:r>
    </w:p>
    <w:p>
      <w:pPr>
        <w:numPr>
          <w:ilvl w:val="0"/>
          <w:numId w:val="1057"/>
        </w:numPr>
        <w:pStyle w:val="Compact"/>
      </w:pPr>
      <w:r>
        <w:t xml:space="preserve">Date et cadre exacts de la présentation du pacte (septembre 2025 selon la page de la Banque mondiale) [?].</w:t>
      </w:r>
    </w:p>
    <w:p>
      <w:pPr>
        <w:numPr>
          <w:ilvl w:val="0"/>
          <w:numId w:val="1057"/>
        </w:numPr>
        <w:pStyle w:val="Compact"/>
      </w:pPr>
      <w:r>
        <w:t xml:space="preserve">Montant du P2AE (Banque mondiale) [?].</w:t>
      </w:r>
    </w:p>
    <w:p>
      <w:pPr>
        <w:numPr>
          <w:ilvl w:val="0"/>
          <w:numId w:val="1057"/>
        </w:numPr>
        <w:pStyle w:val="Compact"/>
      </w:pPr>
      <w:r>
        <w:t xml:space="preserve">Ventilation exacte des 928 228 ménages par mode d’accès [?].</w:t>
      </w:r>
    </w:p>
    <w:p>
      <w:pPr>
        <w:numPr>
          <w:ilvl w:val="0"/>
          <w:numId w:val="1057"/>
        </w:numPr>
        <w:pStyle w:val="Compact"/>
      </w:pPr>
      <w:r>
        <w:t xml:space="preserve">Termes du contrat Eranove [?].</w:t>
      </w:r>
    </w:p>
    <w:bookmarkEnd w:id="77"/>
    <w:bookmarkStart w:id="78" w:name="sources-2"/>
    <w:p>
      <w:pPr>
        <w:pStyle w:val="Heading3"/>
      </w:pPr>
      <w:r>
        <w:t xml:space="preserve">Sources</w:t>
      </w:r>
    </w:p>
    <w:p>
      <w:pPr>
        <w:pStyle w:val="FirstParagraph"/>
      </w:pPr>
      <w:r>
        <w:t xml:space="preserve">[1] Gouvernement du Bénin, « Pacte National de l’Énergie pour la République du Bénin », s.d. (PDF du 23/09/2025), 89 p. (FR). https://www.worldbank.org/content/dam/theworldbankgroupasset/document/2026/m300-energy-compacts/Benin-National-Energy-Compact-Mission-300.pdf</w:t>
      </w:r>
      <w:r>
        <w:t xml:space="preserve"> </w:t>
      </w:r>
      <w:r>
        <w:t xml:space="preserve">[2] Banque mondiale, page « National Energy Compacts », https://www.worldbank.org/ext/en/energizingafrica/national-energy-compacts, consultée le 18/10/2026.</w:t>
      </w:r>
    </w:p>
    <w:p>
      <w:r>
        <w:br w:type="page"/>
      </w:r>
    </w:p>
    <w:bookmarkEnd w:id="78"/>
    <w:bookmarkEnd w:id="79"/>
    <w:bookmarkStart w:id="95" w:name="X5765fb8df45386e2500c4ffbc5958b0e2b1d0f9"/>
    <w:p>
      <w:pPr>
        <w:pStyle w:val="Heading2"/>
      </w:pPr>
      <w:r>
        <w:t xml:space="preserve">Fiche pacte national de l’énergie — Burkina Faso</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80" w:name="métadonnées-2"/>
    <w:p>
      <w:pPr>
        <w:pStyle w:val="Heading3"/>
      </w:pPr>
      <w:r>
        <w:t xml:space="preserve">0. Métadonnées</w:t>
      </w:r>
    </w:p>
    <w:p>
      <w:pPr>
        <w:numPr>
          <w:ilvl w:val="0"/>
          <w:numId w:val="1058"/>
        </w:numPr>
        <w:pStyle w:val="Compact"/>
      </w:pPr>
      <w:r>
        <w:rPr>
          <w:bCs/>
          <w:b/>
        </w:rPr>
        <w:t xml:space="preserve">Cohorte / date de présentation</w:t>
      </w:r>
      <w:r>
        <w:t xml:space="preserve"> </w:t>
      </w:r>
      <w:r>
        <w:t xml:space="preserve">: la page de la Banque mondiale date le pacte de</w:t>
      </w:r>
      <w:r>
        <w:t xml:space="preserve"> </w:t>
      </w:r>
      <w:r>
        <w:rPr>
          <w:bCs/>
          <w:b/>
        </w:rPr>
        <w:t xml:space="preserve">« June 2026 »</w:t>
      </w:r>
      <w:r>
        <w:t xml:space="preserve"> </w:t>
      </w:r>
      <w:r>
        <w:t xml:space="preserve">[2] [V]. C’est le pacte le plus récent des sept. L’événement de présentation n’est pas identifié → [?].</w:t>
      </w:r>
    </w:p>
    <w:p>
      <w:pPr>
        <w:numPr>
          <w:ilvl w:val="0"/>
          <w:numId w:val="1058"/>
        </w:numPr>
        <w:pStyle w:val="Compact"/>
      </w:pPr>
      <w:r>
        <w:rPr>
          <w:bCs/>
          <w:b/>
        </w:rPr>
        <w:t xml:space="preserve">Document consulté</w:t>
      </w:r>
      <w:r>
        <w:t xml:space="preserve"> </w:t>
      </w:r>
      <w:r>
        <w:t xml:space="preserve">: « Pacte National de l’Énergie pour le Burkina Faso 2026-2030 », en français, 45 pages, non daté (métadonnées du PDF : 17/06/2026) [1]. Le document mentionne une mise à jour du plan directeur « réalisé[e] en septembre 2025 » [1, §7.2] [V]. Aucun rapport d’avancement n’est publié [2] [V].</w:t>
      </w:r>
    </w:p>
    <w:p>
      <w:pPr>
        <w:numPr>
          <w:ilvl w:val="0"/>
          <w:numId w:val="1058"/>
        </w:numPr>
        <w:pStyle w:val="Compact"/>
      </w:pPr>
      <w:r>
        <w:rPr>
          <w:bCs/>
          <w:b/>
        </w:rPr>
        <w:t xml:space="preserve">Accès au texte intégral</w:t>
      </w:r>
      <w:r>
        <w:t xml:space="preserve"> </w:t>
      </w:r>
      <w:r>
        <w:t xml:space="preserve">:</w:t>
      </w:r>
      <w:r>
        <w:t xml:space="preserve"> </w:t>
      </w:r>
      <w:r>
        <w:rPr>
          <w:bCs/>
          <w:b/>
        </w:rPr>
        <w:t xml:space="preserve">oui</w:t>
      </w:r>
      <w:r>
        <w:t xml:space="preserve">.</w:t>
      </w:r>
    </w:p>
    <w:p>
      <w:pPr>
        <w:numPr>
          <w:ilvl w:val="0"/>
          <w:numId w:val="1058"/>
        </w:numPr>
        <w:pStyle w:val="Compact"/>
      </w:pPr>
      <w:r>
        <w:rPr>
          <w:bCs/>
          <w:b/>
        </w:rPr>
        <w:t xml:space="preserve">Contexte</w:t>
      </w:r>
      <w:r>
        <w:t xml:space="preserve"> </w:t>
      </w:r>
      <w:r>
        <w:t xml:space="preserve">: pays membre de l’AES ; contraintes sécuritaires citées à plusieurs reprises [1] [V].</w:t>
      </w:r>
    </w:p>
    <w:p>
      <w:pPr>
        <w:numPr>
          <w:ilvl w:val="0"/>
          <w:numId w:val="1058"/>
        </w:numPr>
        <w:pStyle w:val="Compact"/>
      </w:pPr>
      <w:r>
        <w:rPr>
          <w:bCs/>
          <w:b/>
        </w:rPr>
        <w:t xml:space="preserve">Opérateurs</w:t>
      </w:r>
      <w:r>
        <w:t xml:space="preserve"> </w:t>
      </w:r>
      <w:r>
        <w:t xml:space="preserve">:</w:t>
      </w:r>
    </w:p>
    <w:p>
      <w:pPr>
        <w:numPr>
          <w:ilvl w:val="1"/>
          <w:numId w:val="1059"/>
        </w:numPr>
        <w:pStyle w:val="Compact"/>
      </w:pPr>
      <w:r>
        <w:rPr>
          <w:bCs/>
          <w:b/>
        </w:rPr>
        <w:t xml:space="preserve">SONABEL</w:t>
      </w:r>
      <w:r>
        <w:t xml:space="preserve"> </w:t>
      </w:r>
      <w:r>
        <w:t xml:space="preserve">(Société Nationale d’Électricité du Burkina) : production, distribution et commercialisation, gestion exclusive du transport et des interconnexions [1, §7.1] [V] ;</w:t>
      </w:r>
    </w:p>
    <w:p>
      <w:pPr>
        <w:numPr>
          <w:ilvl w:val="1"/>
          <w:numId w:val="1059"/>
        </w:numPr>
        <w:pStyle w:val="Compact"/>
      </w:pPr>
      <w:r>
        <w:rPr>
          <w:bCs/>
          <w:b/>
        </w:rPr>
        <w:t xml:space="preserve">Agence Faso Veenem</w:t>
      </w:r>
      <w:r>
        <w:t xml:space="preserve"> </w:t>
      </w:r>
      <w:r>
        <w:t xml:space="preserve">: électrification rurale, énergies renouvelables, efficacité énergétique. Le document utilise aussi les sigles ABER et ANEREE [1] [V] ;</w:t>
      </w:r>
    </w:p>
    <w:p>
      <w:pPr>
        <w:numPr>
          <w:ilvl w:val="1"/>
          <w:numId w:val="1059"/>
        </w:numPr>
        <w:pStyle w:val="Compact"/>
      </w:pPr>
      <w:r>
        <w:t xml:space="preserve">SONABHY : hydrocarbures [1] [V].</w:t>
      </w:r>
    </w:p>
    <w:p>
      <w:pPr>
        <w:numPr>
          <w:ilvl w:val="0"/>
          <w:numId w:val="1058"/>
        </w:numPr>
        <w:pStyle w:val="Compact"/>
      </w:pPr>
      <w:r>
        <w:rPr>
          <w:bCs/>
          <w:b/>
        </w:rPr>
        <w:t xml:space="preserve">Régulateur</w:t>
      </w:r>
      <w:r>
        <w:t xml:space="preserve"> </w:t>
      </w:r>
      <w:r>
        <w:t xml:space="preserve">: ARSE (Autorité de Régulation du Secteur de l’Énergie) [1] [V].</w:t>
      </w:r>
    </w:p>
    <w:bookmarkEnd w:id="80"/>
    <w:bookmarkStart w:id="81" w:name="situation-de-départ-selon-le-pacte-2"/>
    <w:p>
      <w:pPr>
        <w:pStyle w:val="Heading3"/>
      </w:pPr>
      <w:r>
        <w:t xml:space="preserve">1. Situation de départ (selon le pacte)</w:t>
      </w:r>
    </w:p>
    <w:p>
      <w:pPr>
        <w:numPr>
          <w:ilvl w:val="0"/>
          <w:numId w:val="1060"/>
        </w:numPr>
        <w:pStyle w:val="Compact"/>
      </w:pPr>
      <w:r>
        <w:rPr>
          <w:bCs/>
          <w:b/>
        </w:rPr>
        <w:t xml:space="preserve">Taux d’électrification</w:t>
      </w:r>
      <w:r>
        <w:t xml:space="preserve"> </w:t>
      </w:r>
      <w:r>
        <w:t xml:space="preserve">:</w:t>
      </w:r>
      <w:r>
        <w:t xml:space="preserve"> </w:t>
      </w:r>
      <w:r>
        <w:rPr>
          <w:bCs/>
          <w:b/>
        </w:rPr>
        <w:t xml:space="preserve">national 34,20 % en 2024</w:t>
      </w:r>
      <w:r>
        <w:t xml:space="preserve"> </w:t>
      </w:r>
      <w:r>
        <w:t xml:space="preserve">(25,24 % en 2022, 26,29 % en 2023) ;</w:t>
      </w:r>
      <w:r>
        <w:t xml:space="preserve"> </w:t>
      </w:r>
      <w:r>
        <w:rPr>
          <w:bCs/>
          <w:b/>
        </w:rPr>
        <w:t xml:space="preserve">urbain 87,83 %</w:t>
      </w:r>
      <w:r>
        <w:t xml:space="preserve"> </w:t>
      </w:r>
      <w:r>
        <w:t xml:space="preserve">;</w:t>
      </w:r>
      <w:r>
        <w:t xml:space="preserve"> </w:t>
      </w:r>
      <w:r>
        <w:rPr>
          <w:bCs/>
          <w:b/>
        </w:rPr>
        <w:t xml:space="preserve">rural 10,21 %</w:t>
      </w:r>
      <w:r>
        <w:t xml:space="preserve"> </w:t>
      </w:r>
      <w:r>
        <w:t xml:space="preserve">(5,49 % en 2022) [1, Tab. 4 et §7.1] [V]. Taux de couverture : 53,33 % en 2024 [1] [V].</w:t>
      </w:r>
    </w:p>
    <w:p>
      <w:pPr>
        <w:numPr>
          <w:ilvl w:val="0"/>
          <w:numId w:val="1060"/>
        </w:numPr>
        <w:pStyle w:val="Compact"/>
      </w:pPr>
      <w:r>
        <w:rPr>
          <w:bCs/>
          <w:b/>
        </w:rPr>
        <w:t xml:space="preserve">Population</w:t>
      </w:r>
      <w:r>
        <w:t xml:space="preserve"> </w:t>
      </w:r>
      <w:r>
        <w:t xml:space="preserve">: 20 505 155 habitants en 2019 (RGPH). Le chiffre est imprimé « 20 505 1551 », avec un appel de note collé [1, §7.1] [V/E]. Population sans accès : non chiffrée directement [?].</w:t>
      </w:r>
    </w:p>
    <w:p>
      <w:pPr>
        <w:numPr>
          <w:ilvl w:val="0"/>
          <w:numId w:val="1060"/>
        </w:numPr>
        <w:pStyle w:val="Compact"/>
      </w:pPr>
      <w:r>
        <w:rPr>
          <w:bCs/>
          <w:b/>
        </w:rPr>
        <w:t xml:space="preserve">Capacité et mix (2024)</w:t>
      </w:r>
      <w:r>
        <w:t xml:space="preserve"> </w:t>
      </w:r>
      <w:r>
        <w:t xml:space="preserve">[1, §7.2 et Ann. 1] [V] :</w:t>
      </w:r>
    </w:p>
    <w:p>
      <w:pPr>
        <w:numPr>
          <w:ilvl w:val="1"/>
          <w:numId w:val="1061"/>
        </w:numPr>
        <w:pStyle w:val="Compact"/>
      </w:pPr>
      <w:r>
        <w:t xml:space="preserve">thermique 415,95 MW, hydro 34,6 MW,</w:t>
      </w:r>
      <w:r>
        <w:t xml:space="preserve"> </w:t>
      </w:r>
      <w:r>
        <w:rPr>
          <w:bCs/>
          <w:b/>
        </w:rPr>
        <w:t xml:space="preserve">solaire 228,03 MWc</w:t>
      </w:r>
      <w:r>
        <w:t xml:space="preserve">, importations contractuelles 214 MW ;</w:t>
      </w:r>
    </w:p>
    <w:p>
      <w:pPr>
        <w:numPr>
          <w:ilvl w:val="1"/>
          <w:numId w:val="1061"/>
        </w:numPr>
        <w:pStyle w:val="Compact"/>
      </w:pPr>
      <w:r>
        <w:t xml:space="preserve">disponible à la pointe hors solaire : 182 MW ;</w:t>
      </w:r>
    </w:p>
    <w:p>
      <w:pPr>
        <w:numPr>
          <w:ilvl w:val="1"/>
          <w:numId w:val="1061"/>
        </w:numPr>
        <w:pStyle w:val="Compact"/>
      </w:pPr>
      <w:r>
        <w:t xml:space="preserve">énergie disponible : 2 776,9 GWh, dont production nationale de 1 419,1 GWh et</w:t>
      </w:r>
      <w:r>
        <w:t xml:space="preserve"> </w:t>
      </w:r>
      <w:r>
        <w:rPr>
          <w:bCs/>
          <w:b/>
        </w:rPr>
        <w:t xml:space="preserve">importations de 1 357,8 GWh (48,89 %)</w:t>
      </w:r>
      <w:r>
        <w:t xml:space="preserve"> </w:t>
      </w:r>
      <w:r>
        <w:t xml:space="preserve">depuis la Côte d’Ivoire, le Ghana et le Togo ;</w:t>
      </w:r>
    </w:p>
    <w:p>
      <w:pPr>
        <w:numPr>
          <w:ilvl w:val="1"/>
          <w:numId w:val="1061"/>
        </w:numPr>
        <w:pStyle w:val="Compact"/>
      </w:pPr>
      <w:r>
        <w:t xml:space="preserve">mix énergétique : thermique 35,67 %, solaire 11,90 %, hydro 3,52 %.</w:t>
      </w:r>
    </w:p>
    <w:p>
      <w:pPr>
        <w:numPr>
          <w:ilvl w:val="1"/>
          <w:numId w:val="1061"/>
        </w:numPr>
        <w:pStyle w:val="Compact"/>
      </w:pPr>
      <w:r>
        <w:t xml:space="preserve">Taux de dépendance en puissance : 55 % [1, §1] [V].</w:t>
      </w:r>
    </w:p>
    <w:p>
      <w:pPr>
        <w:numPr>
          <w:ilvl w:val="0"/>
          <w:numId w:val="1060"/>
        </w:numPr>
        <w:pStyle w:val="Compact"/>
      </w:pPr>
      <w:r>
        <w:rPr>
          <w:bCs/>
          <w:b/>
        </w:rPr>
        <w:t xml:space="preserve">Cuisson propre</w:t>
      </w:r>
      <w:r>
        <w:t xml:space="preserve"> </w:t>
      </w:r>
      <w:r>
        <w:t xml:space="preserve">: 10,6 % de la population (2023) [1, §1] [V].</w:t>
      </w:r>
    </w:p>
    <w:bookmarkEnd w:id="81"/>
    <w:bookmarkStart w:id="82" w:name="cibles-2030-2"/>
    <w:p>
      <w:pPr>
        <w:pStyle w:val="Heading3"/>
      </w:pPr>
      <w:r>
        <w:t xml:space="preserve">2. Cibles 2030</w:t>
      </w:r>
    </w:p>
    <w:p>
      <w:pPr>
        <w:numPr>
          <w:ilvl w:val="0"/>
          <w:numId w:val="1062"/>
        </w:numPr>
        <w:pStyle w:val="Compact"/>
      </w:pPr>
      <w:r>
        <w:rPr>
          <w:bCs/>
          <w:b/>
        </w:rPr>
        <w:t xml:space="preserve">Accès électricité</w:t>
      </w:r>
      <w:r>
        <w:t xml:space="preserve"> </w:t>
      </w:r>
      <w:r>
        <w:t xml:space="preserve">:</w:t>
      </w:r>
    </w:p>
    <w:p>
      <w:pPr>
        <w:numPr>
          <w:ilvl w:val="1"/>
          <w:numId w:val="1063"/>
        </w:numPr>
        <w:pStyle w:val="Compact"/>
      </w:pPr>
      <w:r>
        <w:t xml:space="preserve">urbain</w:t>
      </w:r>
      <w:r>
        <w:t xml:space="preserve"> </w:t>
      </w:r>
      <w:r>
        <w:rPr>
          <w:bCs/>
          <w:b/>
        </w:rPr>
        <w:t xml:space="preserve">100 %</w:t>
      </w:r>
      <w:r>
        <w:t xml:space="preserve"> </w:t>
      </w:r>
      <w:r>
        <w:t xml:space="preserve">; rural</w:t>
      </w:r>
      <w:r>
        <w:t xml:space="preserve"> </w:t>
      </w:r>
      <w:r>
        <w:rPr>
          <w:bCs/>
          <w:b/>
        </w:rPr>
        <w:t xml:space="preserve">70,73 %</w:t>
      </w:r>
      <w:r>
        <w:t xml:space="preserve"> </w:t>
      </w:r>
      <w:r>
        <w:t xml:space="preserve">; national</w:t>
      </w:r>
      <w:r>
        <w:t xml:space="preserve"> </w:t>
      </w:r>
      <w:r>
        <w:rPr>
          <w:bCs/>
          <w:b/>
        </w:rPr>
        <w:t xml:space="preserve">90 %</w:t>
      </w:r>
      <w:r>
        <w:t xml:space="preserve"> </w:t>
      </w:r>
      <w:r>
        <w:t xml:space="preserve">[1, §1 et Tab. 5] [V] ;</w:t>
      </w:r>
    </w:p>
    <w:p>
      <w:pPr>
        <w:numPr>
          <w:ilvl w:val="1"/>
          <w:numId w:val="1063"/>
        </w:numPr>
        <w:pStyle w:val="Compact"/>
      </w:pPr>
      <w:r>
        <w:rPr>
          <w:bCs/>
          <w:b/>
        </w:rPr>
        <w:t xml:space="preserve">17,9 M de nouvelles personnes</w:t>
      </w:r>
      <w:r>
        <w:t xml:space="preserve">, dont 6,7 M en ville et 11,1 M en milieu rural [1, Résumé] [V] ;</w:t>
      </w:r>
    </w:p>
    <w:p>
      <w:pPr>
        <w:numPr>
          <w:ilvl w:val="1"/>
          <w:numId w:val="1063"/>
        </w:numPr>
        <w:pStyle w:val="Compact"/>
      </w:pPr>
      <w:r>
        <w:t xml:space="preserve">en milieu rural : 70 % via le réseau (7,77 M), 25 % via des mini-réseaux (2,77 M), 5 % via des systèmes solaires (0,55 M) [1, §1.3] [V] ;</w:t>
      </w:r>
    </w:p>
    <w:p>
      <w:pPr>
        <w:numPr>
          <w:ilvl w:val="1"/>
          <w:numId w:val="1063"/>
        </w:numPr>
        <w:pStyle w:val="Compact"/>
      </w:pPr>
      <w:r>
        <w:t xml:space="preserve">jalon intermédiaire de la SNER (Stratégie Nationale d’Électrification Rurale) : 50 % de taux rural en 2028 [1, §7.2] [V].</w:t>
      </w:r>
    </w:p>
    <w:p>
      <w:pPr>
        <w:numPr>
          <w:ilvl w:val="0"/>
          <w:numId w:val="1062"/>
        </w:numPr>
        <w:pStyle w:val="Compact"/>
      </w:pPr>
      <w:r>
        <w:rPr>
          <w:bCs/>
          <w:b/>
        </w:rPr>
        <w:t xml:space="preserve">Renouvelables</w:t>
      </w:r>
      <w:r>
        <w:t xml:space="preserve"> </w:t>
      </w:r>
      <w:r>
        <w:t xml:space="preserve">: capacité solaire portée de 228 MWc à</w:t>
      </w:r>
      <w:r>
        <w:t xml:space="preserve"> </w:t>
      </w:r>
      <w:r>
        <w:rPr>
          <w:bCs/>
          <w:b/>
        </w:rPr>
        <w:t xml:space="preserve">887 MWc</w:t>
      </w:r>
      <w:r>
        <w:t xml:space="preserve"> </w:t>
      </w:r>
      <w:r>
        <w:t xml:space="preserve">[1, §1] [V]. Aucune cible en part du mix [?].</w:t>
      </w:r>
    </w:p>
    <w:p>
      <w:pPr>
        <w:numPr>
          <w:ilvl w:val="0"/>
          <w:numId w:val="1062"/>
        </w:numPr>
        <w:pStyle w:val="Compact"/>
      </w:pPr>
      <w:r>
        <w:rPr>
          <w:bCs/>
          <w:b/>
        </w:rPr>
        <w:t xml:space="preserve">Thermique</w:t>
      </w:r>
      <w:r>
        <w:t xml:space="preserve"> </w:t>
      </w:r>
      <w:r>
        <w:t xml:space="preserve">: de 415 MW à</w:t>
      </w:r>
      <w:r>
        <w:t xml:space="preserve"> </w:t>
      </w:r>
      <w:r>
        <w:rPr>
          <w:bCs/>
          <w:b/>
        </w:rPr>
        <w:t xml:space="preserve">2 018 MW</w:t>
      </w:r>
      <w:r>
        <w:t xml:space="preserve"> </w:t>
      </w:r>
      <w:r>
        <w:t xml:space="preserve">[1, Tab. 7] [V]. Besoin estimé de 2 643 MW et 20 200 GWh en 2030 selon la mise à jour du plan directeur de septembre 2025 [1, §7.2] [V].</w:t>
      </w:r>
    </w:p>
    <w:p>
      <w:pPr>
        <w:numPr>
          <w:ilvl w:val="0"/>
          <w:numId w:val="1062"/>
        </w:numPr>
        <w:pStyle w:val="Compact"/>
      </w:pPr>
      <w:r>
        <w:rPr>
          <w:bCs/>
          <w:b/>
        </w:rPr>
        <w:t xml:space="preserve">Indépendance</w:t>
      </w:r>
      <w:r>
        <w:t xml:space="preserve"> </w:t>
      </w:r>
      <w:r>
        <w:t xml:space="preserve">: taux de dépendance en puissance ramené de 55 % à</w:t>
      </w:r>
      <w:r>
        <w:t xml:space="preserve"> </w:t>
      </w:r>
      <w:r>
        <w:rPr>
          <w:bCs/>
          <w:b/>
        </w:rPr>
        <w:t xml:space="preserve">0 %</w:t>
      </w:r>
      <w:r>
        <w:t xml:space="preserve"> </w:t>
      </w:r>
      <w:r>
        <w:t xml:space="preserve">;</w:t>
      </w:r>
      <w:r>
        <w:t xml:space="preserve"> </w:t>
      </w:r>
      <w:r>
        <w:rPr>
          <w:bCs/>
          <w:b/>
        </w:rPr>
        <w:t xml:space="preserve">raffinerie de 160 000 barils/jour</w:t>
      </w:r>
      <w:r>
        <w:t xml:space="preserve"> </w:t>
      </w:r>
      <w:r>
        <w:t xml:space="preserve">[1, §1] [V].</w:t>
      </w:r>
    </w:p>
    <w:p>
      <w:pPr>
        <w:numPr>
          <w:ilvl w:val="0"/>
          <w:numId w:val="1062"/>
        </w:numPr>
        <w:pStyle w:val="Compact"/>
      </w:pPr>
      <w:r>
        <w:rPr>
          <w:bCs/>
          <w:b/>
        </w:rPr>
        <w:t xml:space="preserve">Cuisson propre</w:t>
      </w:r>
      <w:r>
        <w:t xml:space="preserve"> </w:t>
      </w:r>
      <w:r>
        <w:t xml:space="preserve">: 50 % de la population [1, §1] [V].</w:t>
      </w:r>
    </w:p>
    <w:p>
      <w:pPr>
        <w:numPr>
          <w:ilvl w:val="0"/>
          <w:numId w:val="1062"/>
        </w:numPr>
        <w:pStyle w:val="Compact"/>
      </w:pPr>
      <w:r>
        <w:rPr>
          <w:bCs/>
          <w:b/>
        </w:rPr>
        <w:t xml:space="preserve">Capitaux privés</w:t>
      </w:r>
      <w:r>
        <w:t xml:space="preserve"> </w:t>
      </w:r>
      <w:r>
        <w:t xml:space="preserve">: de 202 666 666 666 FCFA (2020-2024, soit 337,77 M USD) à « près [de] 3 399 368 191 000 FCFA » en 2030 [1, §1] [V]. Le Tableau 6 écrit « 3 399 368 191 FCFA », mais le tableau 3 est exprimé en milliers de FCFA : la valeur est donc d’environ 3,4 billions de FCFA, soit 5,67 Md USD selon le tableau 3 [E].</w:t>
      </w:r>
    </w:p>
    <w:p>
      <w:pPr>
        <w:numPr>
          <w:ilvl w:val="0"/>
          <w:numId w:val="1062"/>
        </w:numPr>
        <w:pStyle w:val="Compact"/>
      </w:pPr>
      <w:r>
        <w:rPr>
          <w:bCs/>
          <w:b/>
        </w:rPr>
        <w:t xml:space="preserve">Pertes</w:t>
      </w:r>
      <w:r>
        <w:t xml:space="preserve"> </w:t>
      </w:r>
      <w:r>
        <w:t xml:space="preserve">[1, Ann. 1 et Ann. 3] [V] :</w:t>
      </w:r>
    </w:p>
    <w:p>
      <w:pPr>
        <w:numPr>
          <w:ilvl w:val="1"/>
          <w:numId w:val="1064"/>
        </w:numPr>
        <w:pStyle w:val="Compact"/>
      </w:pPr>
      <w:r>
        <w:t xml:space="preserve">pertes globales de la SONABEL : de 15,06 % (2024) à</w:t>
      </w:r>
      <w:r>
        <w:t xml:space="preserve"> </w:t>
      </w:r>
      <w:r>
        <w:rPr>
          <w:bCs/>
          <w:b/>
        </w:rPr>
        <w:t xml:space="preserve">12 % (2026-2027)</w:t>
      </w:r>
      <w:r>
        <w:t xml:space="preserve"> </w:t>
      </w:r>
      <w:r>
        <w:t xml:space="preserve">;</w:t>
      </w:r>
    </w:p>
    <w:p>
      <w:pPr>
        <w:numPr>
          <w:ilvl w:val="1"/>
          <w:numId w:val="1064"/>
        </w:numPr>
        <w:pStyle w:val="Compact"/>
      </w:pPr>
      <w:r>
        <w:t xml:space="preserve">pertes de distribution : de 11,06 % (2022) à</w:t>
      </w:r>
      <w:r>
        <w:t xml:space="preserve"> </w:t>
      </w:r>
      <w:r>
        <w:rPr>
          <w:bCs/>
          <w:b/>
        </w:rPr>
        <w:t xml:space="preserve">9 % (2027)</w:t>
      </w:r>
      <w:r>
        <w:t xml:space="preserve"> </w:t>
      </w:r>
      <w:r>
        <w:t xml:space="preserve">;</w:t>
      </w:r>
    </w:p>
    <w:p>
      <w:pPr>
        <w:numPr>
          <w:ilvl w:val="1"/>
          <w:numId w:val="1064"/>
        </w:numPr>
        <w:pStyle w:val="Compact"/>
      </w:pPr>
      <w:r>
        <w:t xml:space="preserve">pertes commerciales et de collecte : moins de 5 %.</w:t>
      </w:r>
    </w:p>
    <w:p>
      <w:pPr>
        <w:numPr>
          <w:ilvl w:val="0"/>
          <w:numId w:val="1062"/>
        </w:numPr>
        <w:pStyle w:val="Compact"/>
      </w:pPr>
      <w:r>
        <w:rPr>
          <w:bCs/>
          <w:b/>
        </w:rPr>
        <w:t xml:space="preserve">Compteurs</w:t>
      </w:r>
      <w:r>
        <w:t xml:space="preserve"> </w:t>
      </w:r>
      <w:r>
        <w:t xml:space="preserve">: plus de 2 000 000 de compteurs intelligents communicants [1, §VI.3] [V].</w:t>
      </w:r>
    </w:p>
    <w:bookmarkEnd w:id="82"/>
    <w:bookmarkStart w:id="89" w:name="réformes-promises-1"/>
    <w:p>
      <w:pPr>
        <w:pStyle w:val="Heading3"/>
      </w:pPr>
      <w:r>
        <w:t xml:space="preserve">3. Réformes promises</w:t>
      </w:r>
    </w:p>
    <w:bookmarkStart w:id="83" w:name="tarifs-et-subventions-2"/>
    <w:p>
      <w:pPr>
        <w:pStyle w:val="Heading4"/>
      </w:pPr>
      <w:r>
        <w:t xml:space="preserve">3.1 Tarifs et subventions</w:t>
      </w:r>
    </w:p>
    <w:p>
      <w:pPr>
        <w:numPr>
          <w:ilvl w:val="0"/>
          <w:numId w:val="1065"/>
        </w:numPr>
        <w:pStyle w:val="Compact"/>
      </w:pPr>
      <w:r>
        <w:rPr>
          <w:bCs/>
          <w:b/>
        </w:rPr>
        <w:t xml:space="preserve">Étude sur les tarifs de vente « selon une trajectoire visant la couverture des coûts opérationnels d’ici 2030 »</w:t>
      </w:r>
      <w:r>
        <w:t xml:space="preserve"> </w:t>
      </w:r>
      <w:r>
        <w:t xml:space="preserve">[1, Tab. 10, Pilier IV] [V]. Aucune date n’est fixée pour l’étude.</w:t>
      </w:r>
    </w:p>
    <w:p>
      <w:pPr>
        <w:numPr>
          <w:ilvl w:val="0"/>
          <w:numId w:val="1065"/>
        </w:numPr>
        <w:pStyle w:val="Compact"/>
      </w:pPr>
      <w:r>
        <w:t xml:space="preserve">Le pacte cite « la nécessité d’une réforme tarifaire pour tendre vers le prix réel » [1, Pilier V] [V].</w:t>
      </w:r>
    </w:p>
    <w:p>
      <w:pPr>
        <w:numPr>
          <w:ilvl w:val="0"/>
          <w:numId w:val="1065"/>
        </w:numPr>
        <w:pStyle w:val="Compact"/>
      </w:pPr>
      <w:r>
        <w:rPr>
          <w:bCs/>
          <w:b/>
        </w:rPr>
        <w:t xml:space="preserve">Nouvelle grille tarifaire entrée en vigueur en octobre 2023</w:t>
      </w:r>
      <w:r>
        <w:t xml:space="preserve">, « qui dégrève la subvention dans certains segments de la clientèle » [1, Pilier V] [V]. Il s’agit de l’arrêté interministériel n° 2023-382 du 29/09/2023 [1, Ann. 5] [V].</w:t>
      </w:r>
    </w:p>
    <w:p>
      <w:pPr>
        <w:numPr>
          <w:ilvl w:val="0"/>
          <w:numId w:val="1065"/>
        </w:numPr>
        <w:pStyle w:val="Compact"/>
      </w:pPr>
      <w:r>
        <w:rPr>
          <w:bCs/>
          <w:b/>
        </w:rPr>
        <w:t xml:space="preserve">Tarifs ruraux</w:t>
      </w:r>
      <w:r>
        <w:t xml:space="preserve"> </w:t>
      </w:r>
      <w:r>
        <w:t xml:space="preserve">: deux arrêtés interministériels signés le</w:t>
      </w:r>
      <w:r>
        <w:t xml:space="preserve"> </w:t>
      </w:r>
      <w:r>
        <w:rPr>
          <w:bCs/>
          <w:b/>
        </w:rPr>
        <w:t xml:space="preserve">30/01/2025</w:t>
      </w:r>
      <w:r>
        <w:t xml:space="preserve"> </w:t>
      </w:r>
      <w:r>
        <w:t xml:space="preserve">[1, Ann. 2] [V] :</w:t>
      </w:r>
    </w:p>
    <w:p>
      <w:pPr>
        <w:numPr>
          <w:ilvl w:val="1"/>
          <w:numId w:val="1066"/>
        </w:numPr>
        <w:pStyle w:val="Compact"/>
      </w:pPr>
      <w:r>
        <w:t xml:space="preserve">consommateurs finaux (arrêté n° 2024-025/0034) :</w:t>
      </w:r>
      <w:r>
        <w:t xml:space="preserve"> </w:t>
      </w:r>
      <w:r>
        <w:rPr>
          <w:bCs/>
          <w:b/>
        </w:rPr>
        <w:t xml:space="preserve">tranche sociale à 75 FCFA/kWh</w:t>
      </w:r>
      <w:r>
        <w:t xml:space="preserve">, tarification progressive,</w:t>
      </w:r>
      <w:r>
        <w:t xml:space="preserve"> </w:t>
      </w:r>
      <w:r>
        <w:rPr>
          <w:bCs/>
          <w:b/>
        </w:rPr>
        <w:t xml:space="preserve">160 FCFA/kWh</w:t>
      </w:r>
      <w:r>
        <w:t xml:space="preserve"> </w:t>
      </w:r>
      <w:r>
        <w:t xml:space="preserve">pour les clients à forte capacité contributive, tarif horaire en MT ;</w:t>
      </w:r>
    </w:p>
    <w:p>
      <w:pPr>
        <w:numPr>
          <w:ilvl w:val="1"/>
          <w:numId w:val="1066"/>
        </w:numPr>
        <w:pStyle w:val="Compact"/>
      </w:pPr>
      <w:r>
        <w:rPr>
          <w:bCs/>
          <w:b/>
        </w:rPr>
        <w:t xml:space="preserve">tarif de gros SONABEL vers les gestionnaires ruraux : 75 FCFA/kWh</w:t>
      </w:r>
      <w:r>
        <w:t xml:space="preserve"> </w:t>
      </w:r>
      <w:r>
        <w:t xml:space="preserve">(arrêté n° 2024-025/0033).</w:t>
      </w:r>
    </w:p>
    <w:p>
      <w:pPr>
        <w:numPr>
          <w:ilvl w:val="1"/>
          <w:numId w:val="1066"/>
        </w:numPr>
        <w:pStyle w:val="Compact"/>
      </w:pPr>
      <w:r>
        <w:t xml:space="preserve">Feuille de route vers la réflectivité des coûts : base d’actifs régulés, hybridation solaire,</w:t>
      </w:r>
      <w:r>
        <w:t xml:space="preserve"> </w:t>
      </w:r>
      <w:r>
        <w:rPr>
          <w:bCs/>
          <w:b/>
        </w:rPr>
        <w:t xml:space="preserve">régulation incitative avec formule d’indexation</w:t>
      </w:r>
      <w:r>
        <w:t xml:space="preserve">.</w:t>
      </w:r>
    </w:p>
    <w:p>
      <w:pPr>
        <w:numPr>
          <w:ilvl w:val="0"/>
          <w:numId w:val="1065"/>
        </w:numPr>
        <w:pStyle w:val="Compact"/>
      </w:pPr>
      <w:r>
        <w:rPr>
          <w:bCs/>
          <w:b/>
        </w:rPr>
        <w:t xml:space="preserve">Subventions à la SONABEL</w:t>
      </w:r>
      <w:r>
        <w:t xml:space="preserve"> </w:t>
      </w:r>
      <w:r>
        <w:t xml:space="preserve">:</w:t>
      </w:r>
      <w:r>
        <w:t xml:space="preserve"> </w:t>
      </w:r>
      <w:r>
        <w:rPr>
          <w:bCs/>
          <w:b/>
        </w:rPr>
        <w:t xml:space="preserve">120,37 M USD (2022), 142,53 M USD (2023), 133,66 M USD (2024)</w:t>
      </w:r>
      <w:r>
        <w:t xml:space="preserve"> </w:t>
      </w:r>
      <w:r>
        <w:t xml:space="preserve">[1, Ann. 1] [V].</w:t>
      </w:r>
    </w:p>
    <w:p>
      <w:pPr>
        <w:numPr>
          <w:ilvl w:val="0"/>
          <w:numId w:val="1065"/>
        </w:numPr>
        <w:pStyle w:val="Compact"/>
      </w:pPr>
      <w:r>
        <w:t xml:space="preserve">Coût de revient du kWh en 2024, subvention aux combustibles comprise :</w:t>
      </w:r>
      <w:r>
        <w:t xml:space="preserve"> </w:t>
      </w:r>
      <w:r>
        <w:rPr>
          <w:bCs/>
          <w:b/>
        </w:rPr>
        <w:t xml:space="preserve">132,15 FCFA (21,97 c$/kWh)</w:t>
      </w:r>
      <w:r>
        <w:t xml:space="preserve"> </w:t>
      </w:r>
      <w:r>
        <w:t xml:space="preserve">[1, §7.2] [V]. Coûts de production (2022) : thermique 105 FCFA subventionné, solaire 15 FCFA, hydro 39 FCFA [1, Ann. 1] [V]. Importations : 64 FCFA/kWh, soit 0,107 USD [1, Ann. 1] [V].</w:t>
      </w:r>
    </w:p>
    <w:p>
      <w:pPr>
        <w:numPr>
          <w:ilvl w:val="0"/>
          <w:numId w:val="1065"/>
        </w:numPr>
        <w:pStyle w:val="Compact"/>
      </w:pPr>
      <w:r>
        <w:t xml:space="preserve">Obstacle reconnu : « l’uniformisation nationale du coût du kWh qui ne permet pas le recouvrement intégral des coûts » [1, Pilier IV] [V].</w:t>
      </w:r>
    </w:p>
    <w:p>
      <w:pPr>
        <w:numPr>
          <w:ilvl w:val="0"/>
          <w:numId w:val="1065"/>
        </w:numPr>
        <w:pStyle w:val="Compact"/>
      </w:pPr>
      <w:r>
        <w:t xml:space="preserve">Engagement : un « régime tarifaire équitable tenant compte des couches vulnérables tout en limitant le recours aux subventions » [1, Pilier IV] [V].</w:t>
      </w:r>
    </w:p>
    <w:p>
      <w:pPr>
        <w:numPr>
          <w:ilvl w:val="0"/>
          <w:numId w:val="1065"/>
        </w:numPr>
        <w:pStyle w:val="Compact"/>
      </w:pPr>
      <w:r>
        <w:rPr>
          <w:bCs/>
          <w:b/>
        </w:rPr>
        <w:t xml:space="preserve">Tarifs préférentiels pour les miniers et gros consommateurs</w:t>
      </w:r>
      <w:r>
        <w:t xml:space="preserve"> </w:t>
      </w:r>
      <w:r>
        <w:t xml:space="preserve">en échange du financement d’infrastructures (arrêté n° 2023-472 du 20/11/2023) [1, Pilier II] [V].</w:t>
      </w:r>
    </w:p>
    <w:p>
      <w:pPr>
        <w:numPr>
          <w:ilvl w:val="0"/>
          <w:numId w:val="1065"/>
        </w:numPr>
        <w:pStyle w:val="Compact"/>
      </w:pPr>
      <w:r>
        <w:t xml:space="preserve">Tarif de rachat de l’autoproduction et contrats-types de compensation à déterminer [1, Tab. 8] [V].</w:t>
      </w:r>
    </w:p>
    <w:p>
      <w:pPr>
        <w:numPr>
          <w:ilvl w:val="0"/>
          <w:numId w:val="1065"/>
        </w:numPr>
        <w:pStyle w:val="Compact"/>
      </w:pPr>
      <w:r>
        <w:t xml:space="preserve">Subventions aux raccordements et paiement échelonné en milieu rural [1, Pilier III] [V].</w:t>
      </w:r>
    </w:p>
    <w:p>
      <w:pPr>
        <w:numPr>
          <w:ilvl w:val="0"/>
          <w:numId w:val="1065"/>
        </w:numPr>
        <w:pStyle w:val="Compact"/>
      </w:pPr>
      <w:r>
        <w:t xml:space="preserve">Tarif moyen pour l’utilisateur final :</w:t>
      </w:r>
      <w:r>
        <w:t xml:space="preserve"> </w:t>
      </w:r>
      <w:r>
        <w:rPr>
          <w:bCs/>
          <w:b/>
        </w:rPr>
        <w:t xml:space="preserve">non fourni</w:t>
      </w:r>
      <w:r>
        <w:t xml:space="preserve"> </w:t>
      </w:r>
      <w:r>
        <w:t xml:space="preserve">[?].</w:t>
      </w:r>
    </w:p>
    <w:bookmarkEnd w:id="83"/>
    <w:bookmarkStart w:id="84" w:name="opérateur-1"/>
    <w:p>
      <w:pPr>
        <w:pStyle w:val="Heading4"/>
      </w:pPr>
      <w:r>
        <w:t xml:space="preserve">3.2 Opérateur</w:t>
      </w:r>
    </w:p>
    <w:p>
      <w:pPr>
        <w:numPr>
          <w:ilvl w:val="0"/>
          <w:numId w:val="1067"/>
        </w:numPr>
        <w:pStyle w:val="Compact"/>
      </w:pPr>
      <w:r>
        <w:rPr>
          <w:bCs/>
          <w:b/>
        </w:rPr>
        <w:t xml:space="preserve">Séparation comptable</w:t>
      </w:r>
      <w:r>
        <w:t xml:space="preserve"> </w:t>
      </w:r>
      <w:r>
        <w:t xml:space="preserve">production / transport / distribution-commercialisation « en fin 2025 » [1, Tab. 11] [V]. Objectif : recouvrer 100 % des coûts d’exploitation [1, §1.5] [V].</w:t>
      </w:r>
    </w:p>
    <w:p>
      <w:pPr>
        <w:numPr>
          <w:ilvl w:val="0"/>
          <w:numId w:val="1067"/>
        </w:numPr>
        <w:pStyle w:val="Compact"/>
      </w:pPr>
      <w:r>
        <w:t xml:space="preserve">Renforcement de l’audit des états financiers (IGF, ASCE/LC, Cour des comptes) [1] [V].</w:t>
      </w:r>
    </w:p>
    <w:p>
      <w:pPr>
        <w:numPr>
          <w:ilvl w:val="0"/>
          <w:numId w:val="1067"/>
        </w:numPr>
        <w:pStyle w:val="Compact"/>
      </w:pPr>
      <w:r>
        <w:t xml:space="preserve">Finances de la SONABEL [1, Pilier V et Ann. 1] [V] :</w:t>
      </w:r>
    </w:p>
    <w:p>
      <w:pPr>
        <w:numPr>
          <w:ilvl w:val="1"/>
          <w:numId w:val="1068"/>
        </w:numPr>
        <w:pStyle w:val="Compact"/>
      </w:pPr>
      <w:r>
        <w:t xml:space="preserve">chiffre d’affaires : 94 Md FCFA (2010),</w:t>
      </w:r>
      <w:r>
        <w:t xml:space="preserve"> </w:t>
      </w:r>
      <w:r>
        <w:rPr>
          <w:bCs/>
          <w:b/>
        </w:rPr>
        <w:t xml:space="preserve">285 Md FCFA (2024)</w:t>
      </w:r>
      <w:r>
        <w:t xml:space="preserve"> </w:t>
      </w:r>
      <w:r>
        <w:t xml:space="preserve">;</w:t>
      </w:r>
    </w:p>
    <w:p>
      <w:pPr>
        <w:numPr>
          <w:ilvl w:val="1"/>
          <w:numId w:val="1068"/>
        </w:numPr>
        <w:pStyle w:val="Compact"/>
      </w:pPr>
      <w:r>
        <w:t xml:space="preserve">résultat net moyen sur 2016-2024 : 6,6 Md FCFA ;</w:t>
      </w:r>
    </w:p>
    <w:p>
      <w:pPr>
        <w:numPr>
          <w:ilvl w:val="1"/>
          <w:numId w:val="1068"/>
        </w:numPr>
        <w:pStyle w:val="Compact"/>
      </w:pPr>
      <w:r>
        <w:t xml:space="preserve">marge nette : 4,24 % (2024) ;</w:t>
      </w:r>
    </w:p>
    <w:p>
      <w:pPr>
        <w:numPr>
          <w:ilvl w:val="1"/>
          <w:numId w:val="1068"/>
        </w:numPr>
        <w:pStyle w:val="Compact"/>
      </w:pPr>
      <w:r>
        <w:rPr>
          <w:bCs/>
          <w:b/>
        </w:rPr>
        <w:t xml:space="preserve">dettes financières : 438,08 M USD</w:t>
      </w:r>
      <w:r>
        <w:t xml:space="preserve"> </w:t>
      </w:r>
      <w:r>
        <w:t xml:space="preserve">; dettes fournisseurs : 174,75 M USD (2024) ;</w:t>
      </w:r>
    </w:p>
    <w:p>
      <w:pPr>
        <w:numPr>
          <w:ilvl w:val="1"/>
          <w:numId w:val="1068"/>
        </w:numPr>
        <w:pStyle w:val="Compact"/>
      </w:pPr>
      <w:r>
        <w:t xml:space="preserve">créances sur l’État : 41,66 M USD ; créances sur les particuliers : 489,38 M USD (2024).</w:t>
      </w:r>
    </w:p>
    <w:p>
      <w:pPr>
        <w:numPr>
          <w:ilvl w:val="0"/>
          <w:numId w:val="1067"/>
        </w:numPr>
        <w:pStyle w:val="Compact"/>
      </w:pPr>
      <w:r>
        <w:t xml:space="preserve">L’équilibre depuis 2016 repose sur un protocole tripartite État / SONABEL / SONABHY fixant le prix des combustibles livrés « de manière à obtenir un résultat net bénéficiaire » [1, Pilier V] [V]. Il s’agit d’une</w:t>
      </w:r>
      <w:r>
        <w:t xml:space="preserve"> </w:t>
      </w:r>
      <w:r>
        <w:rPr>
          <w:bCs/>
          <w:b/>
        </w:rPr>
        <w:t xml:space="preserve">subvention implicite</w:t>
      </w:r>
      <w:r>
        <w:t xml:space="preserve"> </w:t>
      </w:r>
      <w:r>
        <w:t xml:space="preserve">[E].</w:t>
      </w:r>
    </w:p>
    <w:p>
      <w:pPr>
        <w:numPr>
          <w:ilvl w:val="0"/>
          <w:numId w:val="1067"/>
        </w:numPr>
        <w:pStyle w:val="Compact"/>
      </w:pPr>
      <w:r>
        <w:t xml:space="preserve">Clients : 1 140 446, dont</w:t>
      </w:r>
      <w:r>
        <w:t xml:space="preserve"> </w:t>
      </w:r>
      <w:r>
        <w:rPr>
          <w:bCs/>
          <w:b/>
        </w:rPr>
        <w:t xml:space="preserve">881 151 prépayés</w:t>
      </w:r>
      <w:r>
        <w:t xml:space="preserve"> </w:t>
      </w:r>
      <w:r>
        <w:t xml:space="preserve">(2024) [1, Ann. 1] [V].</w:t>
      </w:r>
    </w:p>
    <w:p>
      <w:pPr>
        <w:numPr>
          <w:ilvl w:val="0"/>
          <w:numId w:val="1067"/>
        </w:numPr>
        <w:pStyle w:val="Compact"/>
      </w:pPr>
      <w:r>
        <w:t xml:space="preserve">Planning de déploiement des compteurs intelligents : 10 % (2025), 25 % (2026), 50 % (2027), 75 % (2028), 100 % (2029) [1, Ann. 1] [V].</w:t>
      </w:r>
    </w:p>
    <w:p>
      <w:pPr>
        <w:numPr>
          <w:ilvl w:val="0"/>
          <w:numId w:val="1067"/>
        </w:numPr>
        <w:pStyle w:val="Compact"/>
      </w:pPr>
      <w:r>
        <w:t xml:space="preserve">Qualité de service :</w:t>
      </w:r>
      <w:r>
        <w:t xml:space="preserve"> </w:t>
      </w:r>
      <w:r>
        <w:rPr>
          <w:bCs/>
          <w:b/>
        </w:rPr>
        <w:t xml:space="preserve">SAIFI de 358 et SAIDI de 146 h en 2024</w:t>
      </w:r>
      <w:r>
        <w:t xml:space="preserve">, contre 88 et 87 h en 2023. Ces chiffres traduisent la crise d’approvisionnement de 2024 [1, Ann. 1 et §7.2] [V].</w:t>
      </w:r>
    </w:p>
    <w:p>
      <w:pPr>
        <w:numPr>
          <w:ilvl w:val="0"/>
          <w:numId w:val="1067"/>
        </w:numPr>
        <w:pStyle w:val="Compact"/>
      </w:pPr>
      <w:r>
        <w:t xml:space="preserve">Programme pertes : coût de 104,996 Md FCFA sur 5 ans, VAN de 52,3 Md FCFA, TRI de 12,24 % [1, Ann. 3] [V].</w:t>
      </w:r>
    </w:p>
    <w:p>
      <w:pPr>
        <w:numPr>
          <w:ilvl w:val="0"/>
          <w:numId w:val="1067"/>
        </w:numPr>
        <w:pStyle w:val="Compact"/>
      </w:pPr>
      <w:r>
        <w:t xml:space="preserve">Aucun contrat de performance explicite ; pas de gestion déléguée.</w:t>
      </w:r>
    </w:p>
    <w:bookmarkEnd w:id="84"/>
    <w:bookmarkStart w:id="85" w:name="régulation-et-gouvernance-1"/>
    <w:p>
      <w:pPr>
        <w:pStyle w:val="Heading4"/>
      </w:pPr>
      <w:r>
        <w:t xml:space="preserve">3.3 Régulation et gouvernance</w:t>
      </w:r>
    </w:p>
    <w:p>
      <w:pPr>
        <w:numPr>
          <w:ilvl w:val="0"/>
          <w:numId w:val="1069"/>
        </w:numPr>
        <w:pStyle w:val="Compact"/>
      </w:pPr>
      <w:r>
        <w:t xml:space="preserve">Mise à jour annuelle du plan directeur 2022-2040, avec un plan pluriannuel d’investissement [1, §1.1] [V].</w:t>
      </w:r>
    </w:p>
    <w:p>
      <w:pPr>
        <w:numPr>
          <w:ilvl w:val="0"/>
          <w:numId w:val="1069"/>
        </w:numPr>
        <w:pStyle w:val="Compact"/>
      </w:pPr>
      <w:r>
        <w:t xml:space="preserve">Réglementation sur le stockage ; plateforme SIG ; suivi-évaluation MTF [1, Tab. 7] [V].</w:t>
      </w:r>
    </w:p>
    <w:p>
      <w:pPr>
        <w:numPr>
          <w:ilvl w:val="0"/>
          <w:numId w:val="1069"/>
        </w:numPr>
        <w:pStyle w:val="Compact"/>
      </w:pPr>
      <w:r>
        <w:t xml:space="preserve">Renforcement de l’ARSE en régulation économique et tarifaire. Le besoin d’assistance technique pour l’ARSE est chiffré à 1 285 000 USD [1] [V].</w:t>
      </w:r>
    </w:p>
    <w:p>
      <w:pPr>
        <w:numPr>
          <w:ilvl w:val="0"/>
          <w:numId w:val="1069"/>
        </w:numPr>
        <w:pStyle w:val="Compact"/>
      </w:pPr>
      <w:r>
        <w:t xml:space="preserve">Comité de pilotage présidé par le MEMC (deux sessions par an), avec une cellule de suivi opérationnelle et des rapports trimestriels [1, §VII] [V].</w:t>
      </w:r>
    </w:p>
    <w:bookmarkEnd w:id="85"/>
    <w:bookmarkStart w:id="86" w:name="participation-du-privé-1"/>
    <w:p>
      <w:pPr>
        <w:pStyle w:val="Heading4"/>
      </w:pPr>
      <w:r>
        <w:t xml:space="preserve">3.4 Participation du privé</w:t>
      </w:r>
    </w:p>
    <w:p>
      <w:pPr>
        <w:numPr>
          <w:ilvl w:val="0"/>
          <w:numId w:val="1070"/>
        </w:numPr>
        <w:pStyle w:val="Compact"/>
      </w:pPr>
      <w:r>
        <w:t xml:space="preserve">Concessions rurales attribuées de manière concurrentielle, avec objectifs de performance (décret n° 2024-1023 et arrêtés de décembre 2024) [1, Ann. 4] [V].</w:t>
      </w:r>
    </w:p>
    <w:p>
      <w:pPr>
        <w:numPr>
          <w:ilvl w:val="0"/>
          <w:numId w:val="1070"/>
        </w:numPr>
        <w:pStyle w:val="Compact"/>
      </w:pPr>
      <w:r>
        <w:t xml:space="preserve">Modèle PPP pour l’électrification rurale [1, Tab. 10] [V].</w:t>
      </w:r>
    </w:p>
    <w:p>
      <w:pPr>
        <w:numPr>
          <w:ilvl w:val="0"/>
          <w:numId w:val="1070"/>
        </w:numPr>
        <w:pStyle w:val="Compact"/>
      </w:pPr>
      <w:r>
        <w:t xml:space="preserve">Transport et distribution en PPP [1, §1.1] [V].</w:t>
      </w:r>
    </w:p>
    <w:p>
      <w:pPr>
        <w:numPr>
          <w:ilvl w:val="0"/>
          <w:numId w:val="1070"/>
        </w:numPr>
        <w:pStyle w:val="Compact"/>
      </w:pPr>
      <w:r>
        <w:t xml:space="preserve">Autoproduction : décret n° 2024-0977 du 22/08/2024 [1] [V].</w:t>
      </w:r>
    </w:p>
    <w:p>
      <w:pPr>
        <w:numPr>
          <w:ilvl w:val="0"/>
          <w:numId w:val="1070"/>
        </w:numPr>
        <w:pStyle w:val="Compact"/>
      </w:pPr>
      <w:r>
        <w:t xml:space="preserve">Maintien des exonérations sur les équipements EnR ; allègements fiscaux au titre du code des investissements [1, §1.4] [V].</w:t>
      </w:r>
    </w:p>
    <w:p>
      <w:pPr>
        <w:numPr>
          <w:ilvl w:val="0"/>
          <w:numId w:val="1070"/>
        </w:numPr>
        <w:pStyle w:val="Compact"/>
      </w:pPr>
      <w:r>
        <w:rPr>
          <w:bCs/>
          <w:b/>
        </w:rPr>
        <w:t xml:space="preserve">Cadre de contenu local</w:t>
      </w:r>
      <w:r>
        <w:t xml:space="preserve"> </w:t>
      </w:r>
      <w:r>
        <w:t xml:space="preserve">à élaborer [1, Tab. 7] [V].</w:t>
      </w:r>
    </w:p>
    <w:p>
      <w:pPr>
        <w:numPr>
          <w:ilvl w:val="0"/>
          <w:numId w:val="1070"/>
        </w:numPr>
        <w:pStyle w:val="Compact"/>
      </w:pPr>
      <w:r>
        <w:t xml:space="preserve">Sécurité physique des installations et instruments de garantie [1, §1.4] [V].</w:t>
      </w:r>
    </w:p>
    <w:p>
      <w:pPr>
        <w:numPr>
          <w:ilvl w:val="0"/>
          <w:numId w:val="1070"/>
        </w:numPr>
        <w:pStyle w:val="Compact"/>
      </w:pPr>
      <w:r>
        <w:t xml:space="preserve">Part du privé dans les investissements de production 2020-2024 : 27,11 % [1, Pilier IV] [V].</w:t>
      </w:r>
    </w:p>
    <w:bookmarkEnd w:id="86"/>
    <w:bookmarkStart w:id="87" w:name="intégration-régionale-1"/>
    <w:p>
      <w:pPr>
        <w:pStyle w:val="Heading4"/>
      </w:pPr>
      <w:r>
        <w:t xml:space="preserve">3.5 Intégration régionale</w:t>
      </w:r>
    </w:p>
    <w:p>
      <w:pPr>
        <w:numPr>
          <w:ilvl w:val="0"/>
          <w:numId w:val="1071"/>
        </w:numPr>
        <w:pStyle w:val="Compact"/>
      </w:pPr>
      <w:r>
        <w:t xml:space="preserve">Interconnexions avec les pays de l’AES et la sous-région ; dispatching moderne ; vente des surplus [1, §1.2] [V]. Le pacte ne mentionne</w:t>
      </w:r>
      <w:r>
        <w:t xml:space="preserve"> </w:t>
      </w:r>
      <w:r>
        <w:rPr>
          <w:bCs/>
          <w:b/>
        </w:rPr>
        <w:t xml:space="preserve">pas le WAPP</w:t>
      </w:r>
      <w:r>
        <w:t xml:space="preserve"> </w:t>
      </w:r>
      <w:r>
        <w:t xml:space="preserve">: il parle de « pays de l’AES et de la sous-région » [1] [V/E].</w:t>
      </w:r>
    </w:p>
    <w:p>
      <w:pPr>
        <w:numPr>
          <w:ilvl w:val="0"/>
          <w:numId w:val="1071"/>
        </w:numPr>
        <w:pStyle w:val="Compact"/>
      </w:pPr>
      <w:r>
        <w:rPr>
          <w:bCs/>
          <w:b/>
        </w:rPr>
        <w:t xml:space="preserve">Objectif de 0 % de dépendance aux importations en 2030</w:t>
      </w:r>
      <w:r>
        <w:t xml:space="preserve"> </w:t>
      </w:r>
      <w:r>
        <w:t xml:space="preserve">[1] [V].</w:t>
      </w:r>
    </w:p>
    <w:bookmarkEnd w:id="87"/>
    <w:bookmarkStart w:id="88" w:name="autres-1"/>
    <w:p>
      <w:pPr>
        <w:pStyle w:val="Heading4"/>
      </w:pPr>
      <w:r>
        <w:t xml:space="preserve">3.6 Autres</w:t>
      </w:r>
    </w:p>
    <w:p>
      <w:pPr>
        <w:numPr>
          <w:ilvl w:val="0"/>
          <w:numId w:val="1072"/>
        </w:numPr>
        <w:pStyle w:val="Compact"/>
      </w:pPr>
      <w:r>
        <w:rPr>
          <w:bCs/>
          <w:b/>
        </w:rPr>
        <w:t xml:space="preserve">Programme électronucléaire</w:t>
      </w:r>
      <w:r>
        <w:t xml:space="preserve"> </w:t>
      </w:r>
      <w:r>
        <w:t xml:space="preserve">(phases I et II) [1, Tab. 7] [V].</w:t>
      </w:r>
    </w:p>
    <w:p>
      <w:pPr>
        <w:numPr>
          <w:ilvl w:val="0"/>
          <w:numId w:val="1072"/>
        </w:numPr>
        <w:pStyle w:val="Compact"/>
      </w:pPr>
      <w:r>
        <w:t xml:space="preserve">Pilote hydrogène et ammoniac ; étude sur la mobilité verte [1, Tab. 9] [V].</w:t>
      </w:r>
    </w:p>
    <w:p>
      <w:pPr>
        <w:numPr>
          <w:ilvl w:val="0"/>
          <w:numId w:val="1072"/>
        </w:numPr>
        <w:pStyle w:val="Compact"/>
      </w:pPr>
      <w:r>
        <w:t xml:space="preserve">Raffinerie de 160 000 barils/jour alimentée par du brut importé [1, §1.2] [V].</w:t>
      </w:r>
    </w:p>
    <w:p>
      <w:pPr>
        <w:numPr>
          <w:ilvl w:val="0"/>
          <w:numId w:val="1072"/>
        </w:numPr>
        <w:pStyle w:val="Compact"/>
      </w:pPr>
      <w:r>
        <w:t xml:space="preserve">Emplois : 511 818 emplois directs annoncés [1, §VI] [V].</w:t>
      </w:r>
    </w:p>
    <w:bookmarkEnd w:id="88"/>
    <w:bookmarkEnd w:id="89"/>
    <w:bookmarkStart w:id="90" w:name="financement-2"/>
    <w:p>
      <w:pPr>
        <w:pStyle w:val="Heading3"/>
      </w:pPr>
      <w:r>
        <w:t xml:space="preserve">4. Financement</w:t>
      </w:r>
    </w:p>
    <w:p>
      <w:pPr>
        <w:numPr>
          <w:ilvl w:val="0"/>
          <w:numId w:val="1073"/>
        </w:numPr>
        <w:pStyle w:val="Compact"/>
      </w:pPr>
      <w:r>
        <w:rPr>
          <w:bCs/>
          <w:b/>
        </w:rPr>
        <w:t xml:space="preserve">Deux tableaux, deux totaux</w:t>
      </w:r>
      <w:r>
        <w:t xml:space="preserve"> </w:t>
      </w:r>
      <w:r>
        <w:t xml:space="preserve">:</w:t>
      </w:r>
    </w:p>
    <w:p>
      <w:pPr>
        <w:numPr>
          <w:ilvl w:val="1"/>
          <w:numId w:val="1074"/>
        </w:numPr>
        <w:pStyle w:val="Compact"/>
      </w:pPr>
      <w:r>
        <w:t xml:space="preserve">Tableau 1 (ensemble des projets) :</w:t>
      </w:r>
      <w:r>
        <w:t xml:space="preserve"> </w:t>
      </w:r>
      <w:r>
        <w:rPr>
          <w:bCs/>
          <w:b/>
        </w:rPr>
        <w:t xml:space="preserve">6 235 016 125 milliers de FCFA, soit 10 391 693 541 USD</w:t>
      </w:r>
      <w:r>
        <w:t xml:space="preserve">. Répartition : État 540,07 M USD (5,20 %), partenaires 2 404,52 M USD (23,14 %),</w:t>
      </w:r>
      <w:r>
        <w:t xml:space="preserve"> </w:t>
      </w:r>
      <w:r>
        <w:rPr>
          <w:bCs/>
          <w:b/>
        </w:rPr>
        <w:t xml:space="preserve">privé 7 447,10 M USD (71,66 %)</w:t>
      </w:r>
      <w:r>
        <w:t xml:space="preserve"> </w:t>
      </w:r>
      <w:r>
        <w:t xml:space="preserve">[1, Tab. 1] [V].</w:t>
      </w:r>
    </w:p>
    <w:p>
      <w:pPr>
        <w:numPr>
          <w:ilvl w:val="1"/>
          <w:numId w:val="1074"/>
        </w:numPr>
        <w:pStyle w:val="Compact"/>
      </w:pPr>
      <w:r>
        <w:t xml:space="preserve">Tableau 3 (besoins de financement) :</w:t>
      </w:r>
      <w:r>
        <w:t xml:space="preserve"> </w:t>
      </w:r>
      <w:r>
        <w:rPr>
          <w:bCs/>
          <w:b/>
        </w:rPr>
        <w:t xml:space="preserve">4 671 562 522 milliers de FCFA, soit 7 785 937 537 USD</w:t>
      </w:r>
      <w:r>
        <w:t xml:space="preserve">. Répartition : État 216 667 USD (0 %), partenaires 2 120,11 M USD (27 %), privé 5 665,61 M USD (73 %) [1, Tab. 3] [V].</w:t>
      </w:r>
    </w:p>
    <w:p>
      <w:pPr>
        <w:numPr>
          <w:ilvl w:val="1"/>
          <w:numId w:val="1074"/>
        </w:numPr>
        <w:pStyle w:val="Compact"/>
      </w:pPr>
      <w:r>
        <w:t xml:space="preserve">Montants acquis selon l’annexe 1 : partenaires 284,41 M USD ; privé 1 781,49 M USD ; État 539,85 M USD [1, Ann. 1] [V].</w:t>
      </w:r>
    </w:p>
    <w:p>
      <w:pPr>
        <w:numPr>
          <w:ilvl w:val="0"/>
          <w:numId w:val="1073"/>
        </w:numPr>
        <w:pStyle w:val="Compact"/>
      </w:pPr>
      <w:r>
        <w:rPr>
          <w:bCs/>
          <w:b/>
        </w:rPr>
        <w:t xml:space="preserve">Incohérence</w:t>
      </w:r>
      <w:r>
        <w:t xml:space="preserve"> </w:t>
      </w:r>
      <w:r>
        <w:t xml:space="preserve">: le résumé annonce 7,4 Md USD de privé, 2,4 Md USD de partenaires et 493 M USD de l’État, présentés comme « 0,006 % » [1, Résumé] [V]. Ces chiffres ne correspondent exactement à aucun tableau [E].</w:t>
      </w:r>
    </w:p>
    <w:p>
      <w:pPr>
        <w:numPr>
          <w:ilvl w:val="0"/>
          <w:numId w:val="1073"/>
        </w:numPr>
        <w:pStyle w:val="Compact"/>
      </w:pPr>
      <w:r>
        <w:t xml:space="preserve">Par axe (Tab. 2, milliers de FCFA) [1] [V] :</w:t>
      </w:r>
    </w:p>
    <w:p>
      <w:pPr>
        <w:numPr>
          <w:ilvl w:val="1"/>
          <w:numId w:val="1075"/>
        </w:numPr>
        <w:pStyle w:val="Compact"/>
      </w:pPr>
      <w:r>
        <w:t xml:space="preserve">production thermique et raffinerie : 3 149 995 085 ;</w:t>
      </w:r>
    </w:p>
    <w:p>
      <w:pPr>
        <w:numPr>
          <w:ilvl w:val="1"/>
          <w:numId w:val="1075"/>
        </w:numPr>
        <w:pStyle w:val="Compact"/>
      </w:pPr>
      <w:r>
        <w:t xml:space="preserve">production solaire : 810 195 670 ;</w:t>
      </w:r>
    </w:p>
    <w:p>
      <w:pPr>
        <w:numPr>
          <w:ilvl w:val="1"/>
          <w:numId w:val="1075"/>
        </w:numPr>
        <w:pStyle w:val="Compact"/>
      </w:pPr>
      <w:r>
        <w:t xml:space="preserve">transport : 597 407 633 ;</w:t>
      </w:r>
    </w:p>
    <w:p>
      <w:pPr>
        <w:numPr>
          <w:ilvl w:val="1"/>
          <w:numId w:val="1075"/>
        </w:numPr>
        <w:pStyle w:val="Compact"/>
      </w:pPr>
      <w:r>
        <w:t xml:space="preserve">distribution : 1 296 796 298 ;</w:t>
      </w:r>
    </w:p>
    <w:p>
      <w:pPr>
        <w:numPr>
          <w:ilvl w:val="1"/>
          <w:numId w:val="1075"/>
        </w:numPr>
        <w:pStyle w:val="Compact"/>
      </w:pPr>
      <w:r>
        <w:t xml:space="preserve">cuisson propre : 3 480 438 ;</w:t>
      </w:r>
    </w:p>
    <w:p>
      <w:pPr>
        <w:numPr>
          <w:ilvl w:val="1"/>
          <w:numId w:val="1075"/>
        </w:numPr>
        <w:pStyle w:val="Compact"/>
      </w:pPr>
      <w:r>
        <w:t xml:space="preserve">mini-réseaux : 33 000 000 ;</w:t>
      </w:r>
    </w:p>
    <w:p>
      <w:pPr>
        <w:numPr>
          <w:ilvl w:val="1"/>
          <w:numId w:val="1075"/>
        </w:numPr>
        <w:pStyle w:val="Compact"/>
      </w:pPr>
      <w:r>
        <w:t xml:space="preserve">kits : 31 653 600 ;</w:t>
      </w:r>
    </w:p>
    <w:p>
      <w:pPr>
        <w:numPr>
          <w:ilvl w:val="1"/>
          <w:numId w:val="1075"/>
        </w:numPr>
        <w:pStyle w:val="Compact"/>
      </w:pPr>
      <w:r>
        <w:t xml:space="preserve">assistance technique : 312 487 400.</w:t>
      </w:r>
    </w:p>
    <w:p>
      <w:pPr>
        <w:numPr>
          <w:ilvl w:val="0"/>
          <w:numId w:val="1073"/>
        </w:numPr>
        <w:pStyle w:val="Compact"/>
      </w:pPr>
      <w:r>
        <w:rPr>
          <w:bCs/>
          <w:b/>
        </w:rPr>
        <w:t xml:space="preserve">Engagements Banque mondiale / BAD</w:t>
      </w:r>
      <w:r>
        <w:t xml:space="preserve"> </w:t>
      </w:r>
      <w:r>
        <w:t xml:space="preserve">:</w:t>
      </w:r>
      <w:r>
        <w:t xml:space="preserve"> </w:t>
      </w:r>
      <w:r>
        <w:rPr>
          <w:bCs/>
          <w:b/>
        </w:rPr>
        <w:t xml:space="preserve">aucun projet ni montant nommé</w:t>
      </w:r>
      <w:r>
        <w:t xml:space="preserve">, hormis la présence de la BM et de la BAD au comité de pilotage [1, Fig. 1] et des sigles de projets dans la liste des acronymes (PEDECEL, SOLEER, PR-RNI, WAEP) [1] [V]. Historique : subvention d’exploitation de la BAD de 16,4 Md FCFA pour un stock de combustibles [1, Pilier V] [V].</w:t>
      </w:r>
    </w:p>
    <w:bookmarkEnd w:id="90"/>
    <w:bookmarkStart w:id="91" w:name="calendrier-et-suivi-2"/>
    <w:p>
      <w:pPr>
        <w:pStyle w:val="Heading3"/>
      </w:pPr>
      <w:r>
        <w:t xml:space="preserve">5. Calendrier et suivi</w:t>
      </w:r>
    </w:p>
    <w:p>
      <w:pPr>
        <w:numPr>
          <w:ilvl w:val="0"/>
          <w:numId w:val="1076"/>
        </w:numPr>
        <w:pStyle w:val="Compact"/>
      </w:pPr>
      <w:r>
        <w:t xml:space="preserve">Jalons datés rares :</w:t>
      </w:r>
    </w:p>
    <w:p>
      <w:pPr>
        <w:numPr>
          <w:ilvl w:val="1"/>
          <w:numId w:val="1077"/>
        </w:numPr>
        <w:pStyle w:val="Compact"/>
      </w:pPr>
      <w:r>
        <w:t xml:space="preserve">séparation comptable fin 2025 ;</w:t>
      </w:r>
    </w:p>
    <w:p>
      <w:pPr>
        <w:numPr>
          <w:ilvl w:val="1"/>
          <w:numId w:val="1077"/>
        </w:numPr>
        <w:pStyle w:val="Compact"/>
      </w:pPr>
      <w:r>
        <w:t xml:space="preserve">pertes à 12 % en 2026-2027 ;</w:t>
      </w:r>
    </w:p>
    <w:p>
      <w:pPr>
        <w:numPr>
          <w:ilvl w:val="1"/>
          <w:numId w:val="1077"/>
        </w:numPr>
        <w:pStyle w:val="Compact"/>
      </w:pPr>
      <w:r>
        <w:t xml:space="preserve">pertes de distribution à 9 % en 2027 ;</w:t>
      </w:r>
    </w:p>
    <w:p>
      <w:pPr>
        <w:numPr>
          <w:ilvl w:val="1"/>
          <w:numId w:val="1077"/>
        </w:numPr>
        <w:pStyle w:val="Compact"/>
      </w:pPr>
      <w:r>
        <w:t xml:space="preserve">compteurs intelligents à 100 % en 2029 ;</w:t>
      </w:r>
    </w:p>
    <w:p>
      <w:pPr>
        <w:numPr>
          <w:ilvl w:val="1"/>
          <w:numId w:val="1077"/>
        </w:numPr>
        <w:pStyle w:val="Compact"/>
      </w:pPr>
      <w:r>
        <w:t xml:space="preserve">SNER : 50 % de taux rural en 2028 [1] [V].</w:t>
      </w:r>
    </w:p>
    <w:p>
      <w:pPr>
        <w:numPr>
          <w:ilvl w:val="0"/>
          <w:numId w:val="1076"/>
        </w:numPr>
        <w:pStyle w:val="Compact"/>
      </w:pPr>
      <w:r>
        <w:t xml:space="preserve">La plupart des actions des tableaux 7 à 11</w:t>
      </w:r>
      <w:r>
        <w:t xml:space="preserve"> </w:t>
      </w:r>
      <w:r>
        <w:rPr>
          <w:bCs/>
          <w:b/>
        </w:rPr>
        <w:t xml:space="preserve">ne sont pas datées</w:t>
      </w:r>
      <w:r>
        <w:t xml:space="preserve"> </w:t>
      </w:r>
      <w:r>
        <w:t xml:space="preserve">[1] [V].</w:t>
      </w:r>
    </w:p>
    <w:p>
      <w:pPr>
        <w:numPr>
          <w:ilvl w:val="0"/>
          <w:numId w:val="1076"/>
        </w:numPr>
        <w:pStyle w:val="Compact"/>
      </w:pPr>
      <w:r>
        <w:t xml:space="preserve">Aucun rapport d’avancement publié [2] [V].</w:t>
      </w:r>
    </w:p>
    <w:bookmarkEnd w:id="91"/>
    <w:bookmarkStart w:id="92" w:name="lecture-critique-analyse-de-lauteur-1"/>
    <w:p>
      <w:pPr>
        <w:pStyle w:val="Heading3"/>
      </w:pPr>
      <w:r>
        <w:t xml:space="preserve">6. Lecture critique (analyse de l’auteur)</w:t>
      </w:r>
    </w:p>
    <w:p>
      <w:pPr>
        <w:numPr>
          <w:ilvl w:val="0"/>
          <w:numId w:val="1078"/>
        </w:numPr>
        <w:pStyle w:val="Compact"/>
      </w:pPr>
      <w:r>
        <w:rPr>
          <w:bCs/>
          <w:b/>
        </w:rPr>
        <w:t xml:space="preserve">Réalisme</w:t>
      </w:r>
      <w:r>
        <w:t xml:space="preserve"> </w:t>
      </w:r>
      <w:r>
        <w:t xml:space="preserve">:</w:t>
      </w:r>
    </w:p>
    <w:p>
      <w:pPr>
        <w:numPr>
          <w:ilvl w:val="1"/>
          <w:numId w:val="1079"/>
        </w:numPr>
        <w:pStyle w:val="Compact"/>
      </w:pPr>
      <w:r>
        <w:t xml:space="preserve">viser 70,73 % de taux rural en 2030 en partant de 10,21 % en 2024 (+60 points en 6 ans), avec 84 450 raccordements nets en 2024 et une insécurité persistante, paraît</w:t>
      </w:r>
      <w:r>
        <w:t xml:space="preserve"> </w:t>
      </w:r>
      <w:r>
        <w:rPr>
          <w:bCs/>
          <w:b/>
        </w:rPr>
        <w:t xml:space="preserve">hors de portée</w:t>
      </w:r>
      <w:r>
        <w:t xml:space="preserve"> </w:t>
      </w:r>
      <w:r>
        <w:t xml:space="preserve">[E] ;</w:t>
      </w:r>
    </w:p>
    <w:p>
      <w:pPr>
        <w:numPr>
          <w:ilvl w:val="1"/>
          <w:numId w:val="1079"/>
        </w:numPr>
        <w:pStyle w:val="Compact"/>
      </w:pPr>
      <w:r>
        <w:t xml:space="preserve">quintupler le thermique (415 → 2 018 MW), construire une raffinerie et lancer un programme nucléaire en 5 ans, sans aucun bailleur nommé, relève davantage de l’affichage politique que d’un plan financé [E] ;</w:t>
      </w:r>
    </w:p>
    <w:p>
      <w:pPr>
        <w:numPr>
          <w:ilvl w:val="1"/>
          <w:numId w:val="1079"/>
        </w:numPr>
        <w:pStyle w:val="Compact"/>
      </w:pPr>
      <w:r>
        <w:t xml:space="preserve">la cible de 0 % de dépendance contredit la logique d’intégration régionale de Mission 300 [E].</w:t>
      </w:r>
    </w:p>
    <w:p>
      <w:pPr>
        <w:numPr>
          <w:ilvl w:val="0"/>
          <w:numId w:val="1078"/>
        </w:numPr>
        <w:pStyle w:val="Compact"/>
      </w:pPr>
      <w:r>
        <w:rPr>
          <w:bCs/>
          <w:b/>
        </w:rPr>
        <w:t xml:space="preserve">Engagements tarifaires</w:t>
      </w:r>
      <w:r>
        <w:t xml:space="preserve"> </w:t>
      </w:r>
      <w:r>
        <w:t xml:space="preserve">:</w:t>
      </w:r>
      <w:r>
        <w:t xml:space="preserve"> </w:t>
      </w:r>
      <w:r>
        <w:rPr>
          <w:bCs/>
          <w:b/>
        </w:rPr>
        <w:t xml:space="preserve">mixtes</w:t>
      </w:r>
      <w:r>
        <w:t xml:space="preserve">.</w:t>
      </w:r>
    </w:p>
    <w:p>
      <w:pPr>
        <w:numPr>
          <w:ilvl w:val="1"/>
          <w:numId w:val="1080"/>
        </w:numPr>
        <w:pStyle w:val="Compact"/>
      </w:pPr>
      <w:r>
        <w:t xml:space="preserve">Côté</w:t>
      </w:r>
      <w:r>
        <w:t xml:space="preserve"> </w:t>
      </w:r>
      <w:r>
        <w:rPr>
          <w:bCs/>
          <w:b/>
        </w:rPr>
        <w:t xml:space="preserve">rural</w:t>
      </w:r>
      <w:r>
        <w:t xml:space="preserve">, ils sont précis et déjà mis en œuvre : arrêtés de janvier 2025, tranche sociale et tarif de gros à 75 FCFA/kWh, projet de formule d’indexation.</w:t>
      </w:r>
    </w:p>
    <w:p>
      <w:pPr>
        <w:numPr>
          <w:ilvl w:val="1"/>
          <w:numId w:val="1080"/>
        </w:numPr>
        <w:pStyle w:val="Compact"/>
      </w:pPr>
      <w:r>
        <w:t xml:space="preserve">Côté</w:t>
      </w:r>
      <w:r>
        <w:t xml:space="preserve"> </w:t>
      </w:r>
      <w:r>
        <w:rPr>
          <w:bCs/>
          <w:b/>
        </w:rPr>
        <w:t xml:space="preserve">SONABEL</w:t>
      </w:r>
      <w:r>
        <w:t xml:space="preserve">, ils restent vagues : simple étude de trajectoire vers 2030, sans calendrier. Les subventions sont élevées (120-143 M USD par an) et le prix des combustibles est fixé pour garantir un résultat positif, ce qui masque le déficit réel.</w:t>
      </w:r>
    </w:p>
    <w:p>
      <w:pPr>
        <w:numPr>
          <w:ilvl w:val="0"/>
          <w:numId w:val="1078"/>
        </w:numPr>
        <w:pStyle w:val="Compact"/>
      </w:pPr>
      <w:r>
        <w:rPr>
          <w:bCs/>
          <w:b/>
        </w:rPr>
        <w:t xml:space="preserve">Qualité du document</w:t>
      </w:r>
      <w:r>
        <w:t xml:space="preserve"> </w:t>
      </w:r>
      <w:r>
        <w:t xml:space="preserve">: totaux de financement incohérents (10,4 Md, 7,8 Md, résumé), unités mélangées (FCFA ou milliers de FCFA), « 0,006 % », appels de note collés aux nombres. Chaque chiffre doit être revérifié.</w:t>
      </w:r>
    </w:p>
    <w:p>
      <w:pPr>
        <w:numPr>
          <w:ilvl w:val="0"/>
          <w:numId w:val="1078"/>
        </w:numPr>
        <w:pStyle w:val="Compact"/>
      </w:pPr>
      <w:r>
        <w:rPr>
          <w:bCs/>
          <w:b/>
        </w:rPr>
        <w:t xml:space="preserve">Risques</w:t>
      </w:r>
      <w:r>
        <w:t xml:space="preserve"> </w:t>
      </w:r>
      <w:r>
        <w:t xml:space="preserve">:</w:t>
      </w:r>
    </w:p>
    <w:p>
      <w:pPr>
        <w:numPr>
          <w:ilvl w:val="1"/>
          <w:numId w:val="1081"/>
        </w:numPr>
        <w:pStyle w:val="Compact"/>
      </w:pPr>
      <w:r>
        <w:t xml:space="preserve">sécurité ;</w:t>
      </w:r>
    </w:p>
    <w:p>
      <w:pPr>
        <w:numPr>
          <w:ilvl w:val="1"/>
          <w:numId w:val="1081"/>
        </w:numPr>
        <w:pStyle w:val="Compact"/>
      </w:pPr>
      <w:r>
        <w:t xml:space="preserve">financement privé massif (5,7 à 7,4 Md USD) dans un contexte de risque pays élevé ;</w:t>
      </w:r>
    </w:p>
    <w:p>
      <w:pPr>
        <w:numPr>
          <w:ilvl w:val="1"/>
          <w:numId w:val="1081"/>
        </w:numPr>
        <w:pStyle w:val="Compact"/>
      </w:pPr>
      <w:r>
        <w:t xml:space="preserve">créances particuliers de la SONABEL (489 M USD) ;</w:t>
      </w:r>
    </w:p>
    <w:p>
      <w:pPr>
        <w:numPr>
          <w:ilvl w:val="1"/>
          <w:numId w:val="1081"/>
        </w:numPr>
        <w:pStyle w:val="Compact"/>
      </w:pPr>
      <w:r>
        <w:t xml:space="preserve">dégradation de la qualité de service en 2024 ;</w:t>
      </w:r>
    </w:p>
    <w:p>
      <w:pPr>
        <w:numPr>
          <w:ilvl w:val="1"/>
          <w:numId w:val="1081"/>
        </w:numPr>
        <w:pStyle w:val="Compact"/>
      </w:pPr>
      <w:r>
        <w:t xml:space="preserve">isolement vis-à-vis du WAPP et de la CEDEAO.</w:t>
      </w:r>
    </w:p>
    <w:p>
      <w:pPr>
        <w:numPr>
          <w:ilvl w:val="0"/>
          <w:numId w:val="1078"/>
        </w:numPr>
        <w:pStyle w:val="Compact"/>
      </w:pPr>
      <w:r>
        <w:rPr>
          <w:bCs/>
          <w:b/>
        </w:rPr>
        <w:t xml:space="preserve">Phase 2 (opérateur)</w:t>
      </w:r>
      <w:r>
        <w:t xml:space="preserve"> </w:t>
      </w:r>
      <w:r>
        <w:t xml:space="preserve">: comptes de la SONABEL (dette de 438 M USD, créances de 489 M USD) ; protocole SONABEL/SONABHY ; avancement de la séparation comptable ; pertes réelles.</w:t>
      </w:r>
    </w:p>
    <w:p>
      <w:pPr>
        <w:numPr>
          <w:ilvl w:val="0"/>
          <w:numId w:val="1078"/>
        </w:numPr>
        <w:pStyle w:val="Compact"/>
      </w:pPr>
      <w:r>
        <w:rPr>
          <w:bCs/>
          <w:b/>
        </w:rPr>
        <w:t xml:space="preserve">Phase 3 (tarifs)</w:t>
      </w:r>
      <w:r>
        <w:t xml:space="preserve"> </w:t>
      </w:r>
      <w:r>
        <w:t xml:space="preserve">: grille d’octobre 2023 ; arrêtés ruraux de 2025 ; coût de revient (132 FCFA/kWh) face au tarif moyen (inconnu) ; subvention implicite sur les combustibles ; tarifs miniers préférentiels.</w:t>
      </w:r>
    </w:p>
    <w:bookmarkEnd w:id="92"/>
    <w:bookmarkStart w:id="93" w:name="inconnus-données-non-trouvées-2"/>
    <w:p>
      <w:pPr>
        <w:pStyle w:val="Heading3"/>
      </w:pPr>
      <w:r>
        <w:t xml:space="preserve">7. Inconnus / données non trouvées</w:t>
      </w:r>
    </w:p>
    <w:p>
      <w:pPr>
        <w:numPr>
          <w:ilvl w:val="0"/>
          <w:numId w:val="1082"/>
        </w:numPr>
        <w:pStyle w:val="Compact"/>
      </w:pPr>
      <w:r>
        <w:t xml:space="preserve">Tarif moyen de la SONABEL [?].</w:t>
      </w:r>
    </w:p>
    <w:p>
      <w:pPr>
        <w:numPr>
          <w:ilvl w:val="0"/>
          <w:numId w:val="1082"/>
        </w:numPr>
        <w:pStyle w:val="Compact"/>
      </w:pPr>
      <w:r>
        <w:t xml:space="preserve">Part des renouvelables dans le mix 2030 [?].</w:t>
      </w:r>
    </w:p>
    <w:p>
      <w:pPr>
        <w:numPr>
          <w:ilvl w:val="0"/>
          <w:numId w:val="1082"/>
        </w:numPr>
        <w:pStyle w:val="Compact"/>
      </w:pPr>
      <w:r>
        <w:t xml:space="preserve">Projets et montants Banque mondiale et BAD [?].</w:t>
      </w:r>
    </w:p>
    <w:p>
      <w:pPr>
        <w:numPr>
          <w:ilvl w:val="0"/>
          <w:numId w:val="1082"/>
        </w:numPr>
        <w:pStyle w:val="Compact"/>
      </w:pPr>
      <w:r>
        <w:t xml:space="preserve">Population sans accès [?].</w:t>
      </w:r>
    </w:p>
    <w:p>
      <w:pPr>
        <w:numPr>
          <w:ilvl w:val="0"/>
          <w:numId w:val="1082"/>
        </w:numPr>
        <w:pStyle w:val="Compact"/>
      </w:pPr>
      <w:r>
        <w:t xml:space="preserve">Dates de la plupart des réformes [?].</w:t>
      </w:r>
    </w:p>
    <w:p>
      <w:pPr>
        <w:numPr>
          <w:ilvl w:val="0"/>
          <w:numId w:val="1082"/>
        </w:numPr>
        <w:pStyle w:val="Compact"/>
      </w:pPr>
      <w:r>
        <w:t xml:space="preserve">Total de financement de référence (10,4 Md, 7,8 Md ou résumé) [?].</w:t>
      </w:r>
    </w:p>
    <w:p>
      <w:pPr>
        <w:numPr>
          <w:ilvl w:val="0"/>
          <w:numId w:val="1082"/>
        </w:numPr>
        <w:pStyle w:val="Compact"/>
      </w:pPr>
      <w:r>
        <w:t xml:space="preserve">Date et événement de présentation [?].</w:t>
      </w:r>
    </w:p>
    <w:bookmarkEnd w:id="93"/>
    <w:bookmarkStart w:id="94" w:name="sources-3"/>
    <w:p>
      <w:pPr>
        <w:pStyle w:val="Heading3"/>
      </w:pPr>
      <w:r>
        <w:t xml:space="preserve">Sources</w:t>
      </w:r>
    </w:p>
    <w:p>
      <w:pPr>
        <w:pStyle w:val="FirstParagraph"/>
      </w:pPr>
      <w:r>
        <w:t xml:space="preserve">[1] Gouvernement du Burkina Faso, « Pacte National de l’Énergie pour le Burkina Faso 2026-2030 », s.d. (PDF du 17/06/2026), 45 p. (FR). https://www.worldbank.org/content/dam/theworldbankgroupasset/document/2026/m300-energy-compacts/Burkina-Faso-National-Energy-Compact-Mission-300.pdf</w:t>
      </w:r>
      <w:r>
        <w:t xml:space="preserve"> </w:t>
      </w:r>
      <w:r>
        <w:t xml:space="preserve">[2] Banque mondiale, page « National Energy Compacts », https://www.worldbank.org/ext/en/energizingafrica/national-energy-compacts, consultée le 18/10/2026.</w:t>
      </w:r>
    </w:p>
    <w:p>
      <w:r>
        <w:br w:type="page"/>
      </w:r>
    </w:p>
    <w:bookmarkEnd w:id="94"/>
    <w:bookmarkEnd w:id="95"/>
    <w:bookmarkStart w:id="106" w:name="Xbab0ca443a8988167d80ba0d57bf216dae57f72"/>
    <w:p>
      <w:pPr>
        <w:pStyle w:val="Heading2"/>
      </w:pPr>
      <w:r>
        <w:t xml:space="preserve">Fiche pacte national de l’énergie — Botswana</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96" w:name="métadonnées-3"/>
    <w:p>
      <w:pPr>
        <w:pStyle w:val="Heading3"/>
      </w:pPr>
      <w:r>
        <w:t xml:space="preserve">0. Métadonnées</w:t>
      </w:r>
    </w:p>
    <w:p>
      <w:pPr>
        <w:numPr>
          <w:ilvl w:val="0"/>
          <w:numId w:val="1083"/>
        </w:numPr>
        <w:pStyle w:val="Compact"/>
      </w:pPr>
      <w:r>
        <w:t xml:space="preserve">Cohorte / date de présentation : page BM : «</w:t>
      </w:r>
      <w:r>
        <w:t xml:space="preserve"> </w:t>
      </w:r>
      <w:r>
        <w:rPr>
          <w:bCs/>
          <w:b/>
        </w:rPr>
        <w:t xml:space="preserve">Sep 2025</w:t>
      </w:r>
      <w:r>
        <w:t xml:space="preserve"> </w:t>
      </w:r>
      <w:r>
        <w:t xml:space="preserve">» [2] [V] ; probablement 2e cohorte présentée en septembre 2025 à New York (inférence à partir du rapport d’avancement du Lesotho, daté de la même façon) [E]. Le pacte cite des données de juillet 2025 [1] [V] ; il ne comporte</w:t>
      </w:r>
      <w:r>
        <w:t xml:space="preserve"> </w:t>
      </w:r>
      <w:r>
        <w:rPr>
          <w:bCs/>
          <w:b/>
        </w:rPr>
        <w:t xml:space="preserve">ni date ni signataire</w:t>
      </w:r>
      <w:r>
        <w:t xml:space="preserve"> </w:t>
      </w:r>
      <w:r>
        <w:t xml:space="preserve">dans la version extraite [1] [V]. Mention « Official Use Only » en dernière page [1] [V].</w:t>
      </w:r>
    </w:p>
    <w:p>
      <w:pPr>
        <w:numPr>
          <w:ilvl w:val="0"/>
          <w:numId w:val="1083"/>
        </w:numPr>
        <w:pStyle w:val="Compact"/>
      </w:pPr>
      <w:r>
        <w:t xml:space="preserve">Document consulté : « National Energy Compact for Botswana » (#PoweringAfrica), 31 pages, anglais : https://www.worldbank.org/content/dam/theworldbankgroupasset/document/2026/m300-energy-compacts/Botswana-National-Energy-Compact-Mission-300.pdf [1].</w:t>
      </w:r>
    </w:p>
    <w:p>
      <w:pPr>
        <w:numPr>
          <w:ilvl w:val="0"/>
          <w:numId w:val="1083"/>
        </w:numPr>
        <w:pStyle w:val="Compact"/>
      </w:pPr>
      <w:r>
        <w:t xml:space="preserve">Accès au texte intégral :</w:t>
      </w:r>
      <w:r>
        <w:t xml:space="preserve"> </w:t>
      </w:r>
      <w:r>
        <w:rPr>
          <w:bCs/>
          <w:b/>
        </w:rPr>
        <w:t xml:space="preserve">oui</w:t>
      </w:r>
      <w:r>
        <w:t xml:space="preserve"> </w:t>
      </w:r>
      <w:r>
        <w:t xml:space="preserve">[1] [V]. Aucun rapport d’avancement listé (oct. 2026) [2] [V].</w:t>
      </w:r>
    </w:p>
    <w:p>
      <w:pPr>
        <w:numPr>
          <w:ilvl w:val="0"/>
          <w:numId w:val="1083"/>
        </w:numPr>
        <w:pStyle w:val="Compact"/>
      </w:pPr>
      <w:r>
        <w:t xml:space="preserve">Opérateur(s) :</w:t>
      </w:r>
      <w:r>
        <w:t xml:space="preserve"> </w:t>
      </w:r>
      <w:r>
        <w:rPr>
          <w:bCs/>
          <w:b/>
        </w:rPr>
        <w:t xml:space="preserve">BPC</w:t>
      </w:r>
      <w:r>
        <w:t xml:space="preserve"> </w:t>
      </w:r>
      <w:r>
        <w:t xml:space="preserve">(Botswana Power Corporation) — entreprise publique verticalement intégrée, seul opérateur T&amp;D et</w:t>
      </w:r>
      <w:r>
        <w:t xml:space="preserve"> </w:t>
      </w:r>
      <w:r>
        <w:rPr>
          <w:bCs/>
          <w:b/>
        </w:rPr>
        <w:t xml:space="preserve">acheteur unique de fait</w:t>
      </w:r>
      <w:r>
        <w:t xml:space="preserve"> </w:t>
      </w:r>
      <w:r>
        <w:t xml:space="preserve">; IPP via la</w:t>
      </w:r>
      <w:r>
        <w:t xml:space="preserve"> </w:t>
      </w:r>
      <w:r>
        <w:rPr>
          <w:bCs/>
          <w:b/>
        </w:rPr>
        <w:t xml:space="preserve">PEDU</w:t>
      </w:r>
      <w:r>
        <w:t xml:space="preserve"> </w:t>
      </w:r>
      <w:r>
        <w:t xml:space="preserve">(Projects Energy Development Unit, « bureau IPP » du MME) [1] [V].</w:t>
      </w:r>
    </w:p>
    <w:p>
      <w:pPr>
        <w:numPr>
          <w:ilvl w:val="0"/>
          <w:numId w:val="1083"/>
        </w:numPr>
        <w:pStyle w:val="Compact"/>
      </w:pPr>
      <w:r>
        <w:t xml:space="preserve">Régulateur :</w:t>
      </w:r>
      <w:r>
        <w:t xml:space="preserve"> </w:t>
      </w:r>
      <w:r>
        <w:rPr>
          <w:bCs/>
          <w:b/>
        </w:rPr>
        <w:t xml:space="preserve">BERA</w:t>
      </w:r>
      <w:r>
        <w:t xml:space="preserve"> </w:t>
      </w:r>
      <w:r>
        <w:t xml:space="preserve">(Botswana Energy Regulatory Authority ; BERA Act 2016) ; tarif final approuvé par le</w:t>
      </w:r>
      <w:r>
        <w:t xml:space="preserve"> </w:t>
      </w:r>
      <w:r>
        <w:rPr>
          <w:bCs/>
          <w:b/>
        </w:rPr>
        <w:t xml:space="preserve">ministère des Minéraux et de l’Énergie (MME)</w:t>
      </w:r>
      <w:r>
        <w:t xml:space="preserve"> </w:t>
      </w:r>
      <w:r>
        <w:t xml:space="preserve">[1] [V].</w:t>
      </w:r>
    </w:p>
    <w:bookmarkEnd w:id="96"/>
    <w:bookmarkStart w:id="97" w:name="situation-de-départ-selon-le-pacte-3"/>
    <w:p>
      <w:pPr>
        <w:pStyle w:val="Heading3"/>
      </w:pPr>
      <w:r>
        <w:t xml:space="preserve">1. Situation de départ (selon le pacte)</w:t>
      </w:r>
    </w:p>
    <w:p>
      <w:pPr>
        <w:numPr>
          <w:ilvl w:val="0"/>
          <w:numId w:val="1084"/>
        </w:numPr>
        <w:pStyle w:val="Compact"/>
      </w:pPr>
      <w:r>
        <w:t xml:space="preserve">Taux d’accès :</w:t>
      </w:r>
      <w:r>
        <w:t xml:space="preserve"> </w:t>
      </w:r>
      <w:r>
        <w:rPr>
          <w:bCs/>
          <w:b/>
        </w:rPr>
        <w:t xml:space="preserve">76,6 %</w:t>
      </w:r>
      <w:r>
        <w:t xml:space="preserve"> </w:t>
      </w:r>
      <w:r>
        <w:t xml:space="preserve">(mars 2025) [1] [V] ; ailleurs « stagne à 75 % » [1] [V]. Urbain &gt; 90 % (Gaborone, Jwaneng) [1] [V] ; rural non chiffré [?]. 484 villages officiels sur 565 électrifiés (86 %) ; 81 restants à électrifier en DRE d’ici 2030 [1] [V].</w:t>
      </w:r>
    </w:p>
    <w:p>
      <w:pPr>
        <w:numPr>
          <w:ilvl w:val="0"/>
          <w:numId w:val="1084"/>
        </w:numPr>
        <w:pStyle w:val="Compact"/>
      </w:pPr>
      <w:r>
        <w:t xml:space="preserve">Population sans accès : « 24 % de la population non électrifiée, dont 7 % dans des zones rurales reculées » [1] [V]. Population 2,36 M (2022), 2,72 M projetée en 2030 [1] [V].</w:t>
      </w:r>
    </w:p>
    <w:p>
      <w:pPr>
        <w:numPr>
          <w:ilvl w:val="0"/>
          <w:numId w:val="1084"/>
        </w:numPr>
        <w:pStyle w:val="Compact"/>
      </w:pPr>
      <w:r>
        <w:t xml:space="preserve">Capacité installée :</w:t>
      </w:r>
      <w:r>
        <w:t xml:space="preserve"> </w:t>
      </w:r>
      <w:r>
        <w:rPr>
          <w:bCs/>
          <w:b/>
        </w:rPr>
        <w:t xml:space="preserve">892 MW</w:t>
      </w:r>
      <w:r>
        <w:t xml:space="preserve"> </w:t>
      </w:r>
      <w:r>
        <w:t xml:space="preserve">pour une pointe de 678 MW (2024) ;</w:t>
      </w:r>
      <w:r>
        <w:t xml:space="preserve"> </w:t>
      </w:r>
      <w:r>
        <w:rPr>
          <w:bCs/>
          <w:b/>
        </w:rPr>
        <w:t xml:space="preserve">97 % de l’électricité issue du charbon</w:t>
      </w:r>
      <w:r>
        <w:t xml:space="preserve"> </w:t>
      </w:r>
      <w:r>
        <w:t xml:space="preserve">; Morupule A (132 MW) et</w:t>
      </w:r>
      <w:r>
        <w:t xml:space="preserve"> </w:t>
      </w:r>
      <w:r>
        <w:rPr>
          <w:bCs/>
          <w:b/>
        </w:rPr>
        <w:t xml:space="preserve">Morupule B (600 MW, sous-performant depuis 2012</w:t>
      </w:r>
      <w:r>
        <w:t xml:space="preserve">, en maintenance en 2025) ; diesel Orapa 90 MW et Matshelagabedi 70 MW ; solaire 74,6 MW (sur 913 MW installés, juillet 2025) [1] [V]. Production domestique ≈ 62 % de l’approvisionnement (moyenne 2019-2023) ; importations ≈ 30 % (ZESCO 46 %, Eskom 30 %, SAPP 5 %) [1] [V]. En mars 2025, un fournisseur externe a limité l’approvisionnement</w:t>
      </w:r>
      <w:r>
        <w:t xml:space="preserve"> </w:t>
      </w:r>
      <w:r>
        <w:rPr>
          <w:bCs/>
          <w:b/>
        </w:rPr>
        <w:t xml:space="preserve">en raison d’arriérés de BPC</w:t>
      </w:r>
      <w:r>
        <w:t xml:space="preserve">, entraînant des délestages [1] [V].</w:t>
      </w:r>
    </w:p>
    <w:p>
      <w:pPr>
        <w:numPr>
          <w:ilvl w:val="0"/>
          <w:numId w:val="1084"/>
        </w:numPr>
        <w:pStyle w:val="Compact"/>
      </w:pPr>
      <w:r>
        <w:t xml:space="preserve">Cuisson propre :</w:t>
      </w:r>
      <w:r>
        <w:t xml:space="preserve"> </w:t>
      </w:r>
      <w:r>
        <w:rPr>
          <w:bCs/>
          <w:b/>
        </w:rPr>
        <w:t xml:space="preserve">66,6 %</w:t>
      </w:r>
      <w:r>
        <w:t xml:space="preserve"> </w:t>
      </w:r>
      <w:r>
        <w:t xml:space="preserve">(2021/2022) ; urbain 86,9 %, rural 25,3 % ; GPL 42,7 %, bois 32,8 %, électricité 24,4 % (enquête 2022/23) [1] [V].</w:t>
      </w:r>
    </w:p>
    <w:bookmarkEnd w:id="97"/>
    <w:bookmarkStart w:id="98" w:name="cibles-2030-3"/>
    <w:p>
      <w:pPr>
        <w:pStyle w:val="Heading3"/>
      </w:pPr>
      <w:r>
        <w:t xml:space="preserve">2. Cibles 2030</w:t>
      </w:r>
    </w:p>
    <w:p>
      <w:pPr>
        <w:numPr>
          <w:ilvl w:val="0"/>
          <w:numId w:val="1085"/>
        </w:numPr>
        <w:pStyle w:val="Compact"/>
      </w:pPr>
      <w:r>
        <w:t xml:space="preserve">Accès électricité :</w:t>
      </w:r>
      <w:r>
        <w:t xml:space="preserve"> </w:t>
      </w:r>
      <w:r>
        <w:rPr>
          <w:bCs/>
          <w:b/>
        </w:rPr>
        <w:t xml:space="preserve">100 %</w:t>
      </w:r>
      <w:r>
        <w:t xml:space="preserve"> </w:t>
      </w:r>
      <w:r>
        <w:t xml:space="preserve">en 2030 ;</w:t>
      </w:r>
      <w:r>
        <w:t xml:space="preserve"> </w:t>
      </w:r>
      <w:r>
        <w:rPr>
          <w:bCs/>
          <w:b/>
        </w:rPr>
        <w:t xml:space="preserve">220 000 ménages</w:t>
      </w:r>
      <w:r>
        <w:t xml:space="preserve"> </w:t>
      </w:r>
      <w:r>
        <w:t xml:space="preserve">supplémentaires dont</w:t>
      </w:r>
      <w:r>
        <w:t xml:space="preserve"> </w:t>
      </w:r>
      <w:r>
        <w:rPr>
          <w:bCs/>
          <w:b/>
        </w:rPr>
        <w:t xml:space="preserve">159 000 au réseau</w:t>
      </w:r>
      <w:r>
        <w:t xml:space="preserve"> </w:t>
      </w:r>
      <w:r>
        <w:t xml:space="preserve">et</w:t>
      </w:r>
      <w:r>
        <w:t xml:space="preserve"> </w:t>
      </w:r>
      <w:r>
        <w:rPr>
          <w:bCs/>
          <w:b/>
        </w:rPr>
        <w:t xml:space="preserve">61 000 hors réseau</w:t>
      </w:r>
      <w:r>
        <w:t xml:space="preserve"> </w:t>
      </w:r>
      <w:r>
        <w:t xml:space="preserve">; « doublement du rythme annuel actuel » ; rythme de 3,1 %/an (2010-2024) à 4,8 %/an [1] [V].</w:t>
      </w:r>
    </w:p>
    <w:p>
      <w:pPr>
        <w:numPr>
          <w:ilvl w:val="0"/>
          <w:numId w:val="1085"/>
        </w:numPr>
        <w:pStyle w:val="Compact"/>
      </w:pPr>
      <w:r>
        <w:t xml:space="preserve">Part des renouvelables : de</w:t>
      </w:r>
      <w:r>
        <w:t xml:space="preserve"> </w:t>
      </w:r>
      <w:r>
        <w:rPr>
          <w:bCs/>
          <w:b/>
        </w:rPr>
        <w:t xml:space="preserve">8 % (8,2 %) à 50 %</w:t>
      </w:r>
      <w:r>
        <w:t xml:space="preserve"> </w:t>
      </w:r>
      <w:r>
        <w:t xml:space="preserve">de la demande domestique (475 MW RE sur 950 MW) ; scénario ambitieux</w:t>
      </w:r>
      <w:r>
        <w:t xml:space="preserve"> </w:t>
      </w:r>
      <w:r>
        <w:rPr>
          <w:bCs/>
          <w:b/>
        </w:rPr>
        <w:t xml:space="preserve">58 %</w:t>
      </w:r>
      <w:r>
        <w:t xml:space="preserve"> </w:t>
      </w:r>
      <w:r>
        <w:t xml:space="preserve">(1 850 MW RE : éolien 100, méthane de houille (CBM) 100, PV 1 650)</w:t>
      </w:r>
      <w:r>
        <w:t xml:space="preserve"> </w:t>
      </w:r>
      <w:r>
        <w:rPr>
          <w:bCs/>
          <w:b/>
        </w:rPr>
        <w:t xml:space="preserve">sous réserve de débouchés régionaux</w:t>
      </w:r>
      <w:r>
        <w:t xml:space="preserve"> </w:t>
      </w:r>
      <w:r>
        <w:t xml:space="preserve">[1] [V]. Le texte mentionne aussi une base « d’environ 2 % » et un horizon 50 % « d’ici 2036 » ailleurs [1] [V] — incohérences.</w:t>
      </w:r>
    </w:p>
    <w:p>
      <w:pPr>
        <w:numPr>
          <w:ilvl w:val="0"/>
          <w:numId w:val="1085"/>
        </w:numPr>
        <w:pStyle w:val="Compact"/>
      </w:pPr>
      <w:r>
        <w:t xml:space="preserve">Cuisson propre :</w:t>
      </w:r>
      <w:r>
        <w:t xml:space="preserve"> </w:t>
      </w:r>
      <w:r>
        <w:rPr>
          <w:bCs/>
          <w:b/>
        </w:rPr>
        <w:t xml:space="preserve">90 %</w:t>
      </w:r>
      <w:r>
        <w:t xml:space="preserve"> </w:t>
      </w:r>
      <w:r>
        <w:t xml:space="preserve">en 2030 ; 260 000 nouveaux ménages [1] [V].</w:t>
      </w:r>
    </w:p>
    <w:p>
      <w:pPr>
        <w:numPr>
          <w:ilvl w:val="0"/>
          <w:numId w:val="1085"/>
        </w:numPr>
        <w:pStyle w:val="Compact"/>
      </w:pPr>
      <w:r>
        <w:t xml:space="preserve">Autres cibles : capital privé de</w:t>
      </w:r>
      <w:r>
        <w:t xml:space="preserve"> </w:t>
      </w:r>
      <w:r>
        <w:rPr>
          <w:bCs/>
          <w:b/>
        </w:rPr>
        <w:t xml:space="preserve">54,3 M US$ (base) à 646-1 570 M US$</w:t>
      </w:r>
      <w:r>
        <w:t xml:space="preserve"> </w:t>
      </w:r>
      <w:r>
        <w:t xml:space="preserve">[1] [V] ; 1,5 GW de solaire en 2030 (appel d’offres 1,5 GW au stade RfP) ; pipeline de 335 MW d’IPP solaires (mise en service 2025-2026) ; devenir</w:t>
      </w:r>
      <w:r>
        <w:t xml:space="preserve"> </w:t>
      </w:r>
      <w:r>
        <w:rPr>
          <w:bCs/>
          <w:b/>
        </w:rPr>
        <w:t xml:space="preserve">exportateur net dès 2027</w:t>
      </w:r>
      <w:r>
        <w:t xml:space="preserve"> </w:t>
      </w:r>
      <w:r>
        <w:t xml:space="preserve">[1] [V].</w:t>
      </w:r>
    </w:p>
    <w:bookmarkEnd w:id="98"/>
    <w:bookmarkStart w:id="100" w:name="réformes-promises-cœur-de-lanalyse-1"/>
    <w:p>
      <w:pPr>
        <w:pStyle w:val="Heading3"/>
      </w:pPr>
      <w:r>
        <w:t xml:space="preserve">3. Réformes promises (cœur de l’analyse)</w:t>
      </w:r>
    </w:p>
    <w:bookmarkStart w:id="99" w:name="tarifs-et-subventions-3"/>
    <w:p>
      <w:pPr>
        <w:pStyle w:val="Heading4"/>
      </w:pPr>
      <w:r>
        <w:t xml:space="preserve">3.1 Tarifs et subventions</w:t>
      </w:r>
    </w:p>
    <w:p>
      <w:pPr>
        <w:numPr>
          <w:ilvl w:val="0"/>
          <w:numId w:val="1086"/>
        </w:numPr>
        <w:pStyle w:val="Compact"/>
      </w:pPr>
      <w:r>
        <w:rPr>
          <w:bCs/>
          <w:b/>
        </w:rPr>
        <w:t xml:space="preserve">Méthodologie tarifaire et régime tarifaire pluriannuel fondé sur la performance</w:t>
      </w:r>
      <w:r>
        <w:t xml:space="preserve"> </w:t>
      </w:r>
      <w:r>
        <w:t xml:space="preserve">— décembre 2026 [1] [V], comprenant :</w:t>
      </w:r>
    </w:p>
    <w:p>
      <w:pPr>
        <w:numPr>
          <w:ilvl w:val="1"/>
          <w:numId w:val="1087"/>
        </w:numPr>
        <w:pStyle w:val="Compact"/>
      </w:pPr>
      <w:r>
        <w:rPr>
          <w:bCs/>
          <w:b/>
        </w:rPr>
        <w:t xml:space="preserve">Étude du coût de service</w:t>
      </w:r>
      <w:r>
        <w:t xml:space="preserve"> </w:t>
      </w:r>
      <w:r>
        <w:t xml:space="preserve">par BERA (financée par la</w:t>
      </w:r>
      <w:r>
        <w:t xml:space="preserve"> </w:t>
      </w:r>
      <w:r>
        <w:rPr>
          <w:bCs/>
          <w:b/>
        </w:rPr>
        <w:t xml:space="preserve">BAD</w:t>
      </w:r>
      <w:r>
        <w:t xml:space="preserve">) pour déterminer le taux de recouvrement — déc. 2025 [1] [V] ;</w:t>
      </w:r>
    </w:p>
    <w:p>
      <w:pPr>
        <w:numPr>
          <w:ilvl w:val="1"/>
          <w:numId w:val="1087"/>
        </w:numPr>
        <w:pStyle w:val="Compact"/>
      </w:pPr>
      <w:r>
        <w:rPr>
          <w:bCs/>
          <w:b/>
        </w:rPr>
        <w:t xml:space="preserve">Plan de transition</w:t>
      </w:r>
      <w:r>
        <w:t xml:space="preserve"> </w:t>
      </w:r>
      <w:r>
        <w:t xml:space="preserve">vers des tarifs reflétant les coûts avec ajustements pluriannuels — mars 2026 [1] [V] ;</w:t>
      </w:r>
    </w:p>
    <w:p>
      <w:pPr>
        <w:numPr>
          <w:ilvl w:val="1"/>
          <w:numId w:val="1087"/>
        </w:numPr>
        <w:pStyle w:val="Compact"/>
      </w:pPr>
      <w:r>
        <w:rPr>
          <w:bCs/>
          <w:b/>
        </w:rPr>
        <w:t xml:space="preserve">Tarifs reflétant les coûts pour toutes les catégories de clients solvables</w:t>
      </w:r>
      <w:r>
        <w:t xml:space="preserve"> </w:t>
      </w:r>
      <w:r>
        <w:t xml:space="preserve">[1] [V] ;</w:t>
      </w:r>
    </w:p>
    <w:p>
      <w:pPr>
        <w:numPr>
          <w:ilvl w:val="1"/>
          <w:numId w:val="1087"/>
        </w:numPr>
        <w:pStyle w:val="Compact"/>
      </w:pPr>
      <w:r>
        <w:rPr>
          <w:bCs/>
          <w:b/>
        </w:rPr>
        <w:t xml:space="preserve">« Tarif social » réservé exclusivement aux consommateurs pauvres et vulnérables</w:t>
      </w:r>
      <w:r>
        <w:t xml:space="preserve"> </w:t>
      </w:r>
      <w:r>
        <w:t xml:space="preserve">(bénéficiaires, montants, sources de financement et procédures à définir par le gouvernement) ; révision du seuil « lifeline » [1] [V] ;</w:t>
      </w:r>
    </w:p>
    <w:p>
      <w:pPr>
        <w:numPr>
          <w:ilvl w:val="1"/>
          <w:numId w:val="1087"/>
        </w:numPr>
        <w:pStyle w:val="Compact"/>
      </w:pPr>
      <w:r>
        <w:rPr>
          <w:bCs/>
          <w:b/>
        </w:rPr>
        <w:t xml:space="preserve">Trajectoire de suppression progressive des subventions</w:t>
      </w:r>
      <w:r>
        <w:t xml:space="preserve"> </w:t>
      </w:r>
      <w:r>
        <w:t xml:space="preserve">à tous les consommateurs capables de payer,</w:t>
      </w:r>
      <w:r>
        <w:t xml:space="preserve"> </w:t>
      </w:r>
      <w:r>
        <w:rPr>
          <w:bCs/>
          <w:b/>
        </w:rPr>
        <w:t xml:space="preserve">y compris les subventions croisées</w:t>
      </w:r>
      <w:r>
        <w:t xml:space="preserve"> </w:t>
      </w:r>
      <w:r>
        <w:t xml:space="preserve">— mars 2026 (fin d’exercice BPC) [1] [V] ;</w:t>
      </w:r>
    </w:p>
    <w:p>
      <w:pPr>
        <w:numPr>
          <w:ilvl w:val="1"/>
          <w:numId w:val="1087"/>
        </w:numPr>
        <w:pStyle w:val="Compact"/>
      </w:pPr>
      <w:r>
        <w:rPr>
          <w:bCs/>
          <w:b/>
        </w:rPr>
        <w:t xml:space="preserve">L’État couvre l’écart tarifaire</w:t>
      </w:r>
      <w:r>
        <w:t xml:space="preserve"> </w:t>
      </w:r>
      <w:r>
        <w:t xml:space="preserve">(revenu requis approuvé – recettes tarifaires) jusqu’à l’atteinte de tarifs reflétant les coûts — juin 2026 [1] [V] ;</w:t>
      </w:r>
    </w:p>
    <w:p>
      <w:pPr>
        <w:numPr>
          <w:ilvl w:val="1"/>
          <w:numId w:val="1087"/>
        </w:numPr>
        <w:pStyle w:val="Compact"/>
      </w:pPr>
      <w:r>
        <w:t xml:space="preserve">Proposition d’inscrire dans le BERA Act la couverture intégrale des déficits par subvention (capital et financement inclus) ; réconciliation et</w:t>
      </w:r>
      <w:r>
        <w:t xml:space="preserve"> </w:t>
      </w:r>
      <w:r>
        <w:rPr>
          <w:bCs/>
          <w:b/>
        </w:rPr>
        <w:t xml:space="preserve">ajustements automatiques</w:t>
      </w:r>
      <w:r>
        <w:t xml:space="preserve"> </w:t>
      </w:r>
      <w:r>
        <w:t xml:space="preserve">(importations, inflation, change) [1] [V].</w:t>
      </w:r>
    </w:p>
    <w:p>
      <w:pPr>
        <w:numPr>
          <w:ilvl w:val="0"/>
          <w:numId w:val="1086"/>
        </w:numPr>
        <w:pStyle w:val="Compact"/>
      </w:pPr>
      <w:r>
        <w:t xml:space="preserve">Diagnostic chiffré :</w:t>
      </w:r>
      <w:r>
        <w:t xml:space="preserve"> </w:t>
      </w:r>
      <w:r>
        <w:rPr>
          <w:bCs/>
          <w:b/>
        </w:rPr>
        <w:t xml:space="preserve">prix moyen de vente 127 thebe/kWh contre un coût de production et d’importation de 159 thebe/kWh (2023)</w:t>
      </w:r>
      <w:r>
        <w:t xml:space="preserve"> </w:t>
      </w:r>
      <w:r>
        <w:t xml:space="preserve">[1] [V]. Hausses accordées :</w:t>
      </w:r>
      <w:r>
        <w:t xml:space="preserve"> </w:t>
      </w:r>
      <w:r>
        <w:rPr>
          <w:bCs/>
          <w:b/>
        </w:rPr>
        <w:t xml:space="preserve">+22 % en 2020/21</w:t>
      </w:r>
      <w:r>
        <w:t xml:space="preserve">,</w:t>
      </w:r>
      <w:r>
        <w:t xml:space="preserve"> </w:t>
      </w:r>
      <w:r>
        <w:rPr>
          <w:bCs/>
          <w:b/>
        </w:rPr>
        <w:t xml:space="preserve">+3 % en 2021/22</w:t>
      </w:r>
      <w:r>
        <w:t xml:space="preserve"> </w:t>
      </w:r>
      <w:r>
        <w:t xml:space="preserve">; demandes de 2023 et 2024</w:t>
      </w:r>
      <w:r>
        <w:t xml:space="preserve"> </w:t>
      </w:r>
      <w:r>
        <w:rPr>
          <w:bCs/>
          <w:b/>
        </w:rPr>
        <w:t xml:space="preserve">rejetées</w:t>
      </w:r>
      <w:r>
        <w:t xml:space="preserve"> </w:t>
      </w:r>
      <w:r>
        <w:t xml:space="preserve">[1] [V]. Subvention d’exploitation de l’État : 600 / 500 / 500 / 600 M BWP (2020-2023) ; déficit d’exploitation après subvention : -712 / +469 / -409 / -58 M BWP [1] [V].</w:t>
      </w:r>
    </w:p>
    <w:p>
      <w:pPr>
        <w:numPr>
          <w:ilvl w:val="0"/>
          <w:numId w:val="1086"/>
        </w:numPr>
        <w:pStyle w:val="Compact"/>
      </w:pPr>
      <w:r>
        <w:t xml:space="preserve">Processus actuel : BERA mène des revues tarifaires annuelles (régulation par taux de rendement), le MME approuve et soumet au Cabinet le besoin budgétaire [1] [V].</w:t>
      </w:r>
    </w:p>
    <w:p>
      <w:pPr>
        <w:numPr>
          <w:ilvl w:val="0"/>
          <w:numId w:val="1086"/>
        </w:numPr>
        <w:pStyle w:val="Compact"/>
      </w:pPr>
      <w:r>
        <w:t xml:space="preserve">Accès : politique de</w:t>
      </w:r>
      <w:r>
        <w:t xml:space="preserve"> </w:t>
      </w:r>
      <w:r>
        <w:rPr>
          <w:bCs/>
          <w:b/>
        </w:rPr>
        <w:t xml:space="preserve">raccordement gratuit (avril 2024)</w:t>
      </w:r>
      <w:r>
        <w:t xml:space="preserve"> </w:t>
      </w:r>
      <w:r>
        <w:t xml:space="preserve">+ programme NESC (2010) de subvention des raccordements, câblage intérieur gratuit pour ménages pauvres proches du réseau [1] [V]. Fonds solaire hors réseau (OGSF) avec RBF [1] [V].</w:t>
      </w:r>
    </w:p>
    <w:p>
      <w:pPr>
        <w:numPr>
          <w:ilvl w:val="0"/>
          <w:numId w:val="1086"/>
        </w:numPr>
        <w:pStyle w:val="Compact"/>
      </w:pPr>
      <w:r>
        <w:t xml:space="preserve">Tarification PPA : BERA doit préciser l’ajustement du tarif PPA entre l’offre et la signature/bouclage financier pour les variations de change — juin 2026 [1] [V].</w:t>
      </w:r>
      <w:r>
        <w:t xml:space="preserve"> </w:t>
      </w:r>
      <w:r>
        <w:t xml:space="preserve">#### 3.2 Opérateur (redressement, contrats de performance, pertes, recouvrement, compteurs)</w:t>
      </w:r>
    </w:p>
    <w:p>
      <w:pPr>
        <w:numPr>
          <w:ilvl w:val="0"/>
          <w:numId w:val="1086"/>
        </w:numPr>
        <w:pStyle w:val="Compact"/>
      </w:pPr>
      <w:r>
        <w:t xml:space="preserve">Situation financière décrite par le pacte : pertes récurrentes ; liquidité générale 0,3 (2023) ; trésorerie de 1,5 Md BWP (début 2020) à 304 M BWP (fin 2023) malgré des apports en capital de 802 M (2020) et 404 M BWP (2021) ; capex tombé de 1,9 Md (2021) à 484 M BWP (2023), sous la dotation aux amortissements ; dettes fournisseurs de 1,9 Md (2021) à 3,1 Md BWP (2023, &gt; 8 mois de charges) ; découvert ×4 ; dette quasi exclusivement un prêt</w:t>
      </w:r>
      <w:r>
        <w:t xml:space="preserve"> </w:t>
      </w:r>
      <w:r>
        <w:rPr>
          <w:bCs/>
          <w:b/>
        </w:rPr>
        <w:t xml:space="preserve">ICBC de 825 M US$</w:t>
      </w:r>
      <w:r>
        <w:t xml:space="preserve"> </w:t>
      </w:r>
      <w:r>
        <w:t xml:space="preserve">; pertes de change 710 M BWP (2023) [1] [V].</w:t>
      </w:r>
    </w:p>
    <w:p>
      <w:pPr>
        <w:numPr>
          <w:ilvl w:val="0"/>
          <w:numId w:val="1086"/>
        </w:numPr>
        <w:pStyle w:val="Compact"/>
      </w:pPr>
      <w:r>
        <w:t xml:space="preserve">Pertes : pertes T&amp;D</w:t>
      </w:r>
      <w:r>
        <w:t xml:space="preserve"> </w:t>
      </w:r>
      <w:r>
        <w:rPr>
          <w:bCs/>
          <w:b/>
        </w:rPr>
        <w:t xml:space="preserve">14,35 %</w:t>
      </w:r>
      <w:r>
        <w:t xml:space="preserve"> </w:t>
      </w:r>
      <w:r>
        <w:t xml:space="preserve">(ailleurs 14,51 % en 2023 ; 15 % en 2022/23, soit 642 002 MWh, conforme à la cible de 15 %) ; fuites de revenus ≈ 1 % [1] [V]. Pas de cible chiffrée de réduction dans le pacte [?].</w:t>
      </w:r>
    </w:p>
    <w:p>
      <w:pPr>
        <w:numPr>
          <w:ilvl w:val="0"/>
          <w:numId w:val="1086"/>
        </w:numPr>
        <w:pStyle w:val="Compact"/>
      </w:pPr>
      <w:r>
        <w:t xml:space="preserve">Actions :</w:t>
      </w:r>
      <w:r>
        <w:t xml:space="preserve"> </w:t>
      </w:r>
      <w:r>
        <w:rPr>
          <w:bCs/>
          <w:b/>
        </w:rPr>
        <w:t xml:space="preserve">protection des revenus</w:t>
      </w:r>
      <w:r>
        <w:t xml:space="preserve"> </w:t>
      </w:r>
      <w:r>
        <w:t xml:space="preserve">; mise à niveau numérique (SCADA, centres de contrôle de mini-distribution, MDMS) d’ici déc. 2027 ;</w:t>
      </w:r>
      <w:r>
        <w:t xml:space="preserve"> </w:t>
      </w:r>
      <w:r>
        <w:rPr>
          <w:bCs/>
          <w:b/>
        </w:rPr>
        <w:t xml:space="preserve">feuille de route réseau intelligent</w:t>
      </w:r>
      <w:r>
        <w:t xml:space="preserve"> </w:t>
      </w:r>
      <w:r>
        <w:t xml:space="preserve">et pilote</w:t>
      </w:r>
      <w:r>
        <w:t xml:space="preserve"> </w:t>
      </w:r>
      <w:r>
        <w:rPr>
          <w:bCs/>
          <w:b/>
        </w:rPr>
        <w:t xml:space="preserve">AMI</w:t>
      </w:r>
      <w:r>
        <w:t xml:space="preserve">/mini-réseaux intelligents (déc. 2026) ; plan d’amélioration de la qualité de service approuvé par le régulateur (base : « No ») [1] [V].</w:t>
      </w:r>
    </w:p>
    <w:p>
      <w:pPr>
        <w:numPr>
          <w:ilvl w:val="0"/>
          <w:numId w:val="1086"/>
        </w:numPr>
        <w:pStyle w:val="Compact"/>
      </w:pPr>
      <w:r>
        <w:t xml:space="preserve">Publication des états financiers audités : FY mars 2024 (sept. 2025), FY mars 2025 (déc. 2025), puis sous</w:t>
      </w:r>
      <w:r>
        <w:t xml:space="preserve"> </w:t>
      </w:r>
      <w:r>
        <w:rPr>
          <w:bCs/>
          <w:b/>
        </w:rPr>
        <w:t xml:space="preserve">9 mois</w:t>
      </w:r>
      <w:r>
        <w:t xml:space="preserve"> </w:t>
      </w:r>
      <w:r>
        <w:t xml:space="preserve">après clôture [1] [V]. Le rapport 2024 n’était pas publié en mars 2025 [1] [V].</w:t>
      </w:r>
    </w:p>
    <w:p>
      <w:pPr>
        <w:numPr>
          <w:ilvl w:val="0"/>
          <w:numId w:val="1086"/>
        </w:numPr>
        <w:pStyle w:val="Compact"/>
      </w:pPr>
      <w:r>
        <w:t xml:space="preserve">Renforcement de BERA pour la supervision de la performance de BPC (juin 2026) [1] [V].</w:t>
      </w:r>
    </w:p>
    <w:p>
      <w:pPr>
        <w:numPr>
          <w:ilvl w:val="0"/>
          <w:numId w:val="1086"/>
        </w:numPr>
        <w:pStyle w:val="Compact"/>
      </w:pPr>
      <w:r>
        <w:t xml:space="preserve">Déclassement et reconversion de Morupule A (2027) [1] [V].</w:t>
      </w:r>
      <w:r>
        <w:t xml:space="preserve"> </w:t>
      </w:r>
      <w:r>
        <w:t xml:space="preserve">#### 3.3 Régulation et gouvernance</w:t>
      </w:r>
    </w:p>
    <w:p>
      <w:pPr>
        <w:numPr>
          <w:ilvl w:val="0"/>
          <w:numId w:val="1086"/>
        </w:numPr>
        <w:pStyle w:val="Compact"/>
      </w:pPr>
      <w:r>
        <w:t xml:space="preserve">IRP (plan d’expansion production-transport au moindre coût) mis à jour et approuvé d’ici</w:t>
      </w:r>
      <w:r>
        <w:t xml:space="preserve"> </w:t>
      </w:r>
      <w:r>
        <w:rPr>
          <w:bCs/>
          <w:b/>
        </w:rPr>
        <w:t xml:space="preserve">juin 2026</w:t>
      </w:r>
      <w:r>
        <w:t xml:space="preserve">, puis tous les 2 ans avec consultation publique (2027) ; rapport semestriel/annuel du MME confirmant l’alignement des achats sur l’IRP [1] [V].</w:t>
      </w:r>
    </w:p>
    <w:p>
      <w:pPr>
        <w:numPr>
          <w:ilvl w:val="0"/>
          <w:numId w:val="1086"/>
        </w:numPr>
        <w:pStyle w:val="Compact"/>
      </w:pPr>
      <w:r>
        <w:rPr>
          <w:bCs/>
          <w:b/>
        </w:rPr>
        <w:t xml:space="preserve">Étude de structure de marché</w:t>
      </w:r>
      <w:r>
        <w:t xml:space="preserve"> </w:t>
      </w:r>
      <w:r>
        <w:t xml:space="preserve">par BERA (déc. 2026) ; le gouvernement envisage le</w:t>
      </w:r>
      <w:r>
        <w:t xml:space="preserve"> </w:t>
      </w:r>
      <w:r>
        <w:rPr>
          <w:bCs/>
          <w:b/>
        </w:rPr>
        <w:t xml:space="preserve">dégroupage de BPC</w:t>
      </w:r>
      <w:r>
        <w:t xml:space="preserve"> </w:t>
      </w:r>
      <w:r>
        <w:t xml:space="preserve">(production séparée) et l’achat direct d’électricité verte par les mines auprès d’IPP (dans un plafond) [1] [V].</w:t>
      </w:r>
    </w:p>
    <w:p>
      <w:pPr>
        <w:numPr>
          <w:ilvl w:val="0"/>
          <w:numId w:val="1086"/>
        </w:numPr>
        <w:pStyle w:val="Compact"/>
      </w:pPr>
      <w:r>
        <w:t xml:space="preserve">Plan d’électrification nationale fondé sur l’analyse géospatiale (oct. 2025 / 2026) ; cadre de S&amp;E unifié (déc. 2025) ; stratégie cuisson propre (avril 2026) ; normes SHS/mini-réseaux (déc. 2025) ; PIU au MME présidée par le DPS Énergie [1] [V].</w:t>
      </w:r>
    </w:p>
    <w:p>
      <w:pPr>
        <w:numPr>
          <w:ilvl w:val="0"/>
          <w:numId w:val="1086"/>
        </w:numPr>
        <w:pStyle w:val="Compact"/>
      </w:pPr>
      <w:r>
        <w:t xml:space="preserve">Mini-réseaux : absence de cadre réglementaire, de règles de licence, de tarif et de politique d’arrivée du réseau (constat) [1] [V].</w:t>
      </w:r>
      <w:r>
        <w:t xml:space="preserve"> </w:t>
      </w:r>
      <w:r>
        <w:t xml:space="preserve">#### 3.4 Participation du privé (producteurs indépendants, concessions, hors réseau)</w:t>
      </w:r>
    </w:p>
    <w:p>
      <w:pPr>
        <w:numPr>
          <w:ilvl w:val="0"/>
          <w:numId w:val="1086"/>
        </w:numPr>
        <w:pStyle w:val="Compact"/>
      </w:pPr>
      <w:r>
        <w:t xml:space="preserve">Achats concurrentiels de capacité conformes à l’IRP ; conseil en transaction et renforcement de la PEDU [1] [V]. 4 × 50 MW PV (Mmadinare, Jwaneng) en bouclage financier ; 1re centrale de 50 MW mise en service [1] [V]. Les offres spontanées restent autorisées dans certains cas [1] [V].</w:t>
      </w:r>
    </w:p>
    <w:p>
      <w:pPr>
        <w:numPr>
          <w:ilvl w:val="0"/>
          <w:numId w:val="1086"/>
        </w:numPr>
        <w:pStyle w:val="Compact"/>
      </w:pPr>
      <w:r>
        <w:rPr>
          <w:bCs/>
          <w:b/>
        </w:rPr>
        <w:t xml:space="preserve">Feuille de route pour l’investissement privé dans le transport</w:t>
      </w:r>
      <w:r>
        <w:t xml:space="preserve"> </w:t>
      </w:r>
      <w:r>
        <w:t xml:space="preserve">(avril 2026) et projet pilote de transporteur indépendant (IPT) (juin 2026) [1] [V].</w:t>
      </w:r>
    </w:p>
    <w:p>
      <w:pPr>
        <w:numPr>
          <w:ilvl w:val="0"/>
          <w:numId w:val="1086"/>
        </w:numPr>
        <w:pStyle w:val="Compact"/>
      </w:pPr>
      <w:r>
        <w:t xml:space="preserve">Modèles de financement : obligations vertes, garanties partielles de risque, financement mixte, rehaussement de crédit sur obligations souveraines (juin 2026) [1] [V].</w:t>
      </w:r>
    </w:p>
    <w:p>
      <w:pPr>
        <w:numPr>
          <w:ilvl w:val="0"/>
          <w:numId w:val="1086"/>
        </w:numPr>
        <w:pStyle w:val="Compact"/>
      </w:pPr>
      <w:r>
        <w:t xml:space="preserve">Cadre pour certificats d’énergie renouvelable et marché carbone (2025-2026) [1] [V].</w:t>
      </w:r>
    </w:p>
    <w:p>
      <w:pPr>
        <w:numPr>
          <w:ilvl w:val="0"/>
          <w:numId w:val="1086"/>
        </w:numPr>
        <w:pStyle w:val="Compact"/>
      </w:pPr>
      <w:r>
        <w:t xml:space="preserve">Nouvelle centrale charbon de 600 MW (deux phases) attribuée à un IPP, phase 1 de 300 MW en construction ; le pacte reconnaît un</w:t>
      </w:r>
      <w:r>
        <w:t xml:space="preserve"> </w:t>
      </w:r>
      <w:r>
        <w:rPr>
          <w:bCs/>
          <w:b/>
        </w:rPr>
        <w:t xml:space="preserve">risque d’excédent et un risque financier</w:t>
      </w:r>
      <w:r>
        <w:t xml:space="preserve"> </w:t>
      </w:r>
      <w:r>
        <w:t xml:space="preserve">selon les termes contractuels, et un risque d’éviction des renouvelables si les exports ne se matérialisent pas [1] [V].</w:t>
      </w:r>
      <w:r>
        <w:t xml:space="preserve"> </w:t>
      </w:r>
      <w:r>
        <w:t xml:space="preserve">#### 3.5 Intégration régionale (pools énergétiques, interconnexions)</w:t>
      </w:r>
    </w:p>
    <w:p>
      <w:pPr>
        <w:numPr>
          <w:ilvl w:val="0"/>
          <w:numId w:val="1086"/>
        </w:numPr>
        <w:pStyle w:val="Compact"/>
      </w:pPr>
      <w:r>
        <w:t xml:space="preserve">Adoption de la nouvelle</w:t>
      </w:r>
      <w:r>
        <w:t xml:space="preserve"> </w:t>
      </w:r>
      <w:r>
        <w:rPr>
          <w:bCs/>
          <w:b/>
        </w:rPr>
        <w:t xml:space="preserve">méthodologie de tarification du transport du SAPP</w:t>
      </w:r>
      <w:r>
        <w:t xml:space="preserve"> </w:t>
      </w:r>
      <w:r>
        <w:t xml:space="preserve">(2026) ; accords d’accès au réseau et de</w:t>
      </w:r>
      <w:r>
        <w:t xml:space="preserve"> </w:t>
      </w:r>
      <w:r>
        <w:rPr>
          <w:bCs/>
          <w:b/>
        </w:rPr>
        <w:t xml:space="preserve">wheeling</w:t>
      </w:r>
      <w:r>
        <w:t xml:space="preserve"> </w:t>
      </w:r>
      <w:r>
        <w:t xml:space="preserve">pour permettre aux IPP locaux d’exporter directement vers le SAPP [1] [V].</w:t>
      </w:r>
    </w:p>
    <w:p>
      <w:pPr>
        <w:numPr>
          <w:ilvl w:val="0"/>
          <w:numId w:val="1086"/>
        </w:numPr>
        <w:pStyle w:val="Compact"/>
      </w:pPr>
      <w:r>
        <w:t xml:space="preserve">Interconnexions : Botswana-Afrique du Sud (Isang-Mahikeng 400 kV, étude à actualiser 2026) ; Botswana-Zimbabwe (Pandamatenga-Victoria Falls, volet ZiZaBoNa, 2028) ; Botswana-Zambie ; Botswana-Namibie ; NWTGC phase 2 (déc. 2027) [1] [V].</w:t>
      </w:r>
      <w:r>
        <w:t xml:space="preserve"> </w:t>
      </w:r>
      <w:r>
        <w:t xml:space="preserve">#### 3.6 Autres (fiscalité, foncier, local content)</w:t>
      </w:r>
    </w:p>
    <w:p>
      <w:pPr>
        <w:numPr>
          <w:ilvl w:val="0"/>
          <w:numId w:val="1086"/>
        </w:numPr>
        <w:pStyle w:val="Compact"/>
      </w:pPr>
      <w:r>
        <w:t xml:space="preserve">Politique d’autonomisation économique des citoyens (CEE) : sous-traitance locale, emplois de citoyens, achats locaux [1] [V].</w:t>
      </w:r>
    </w:p>
    <w:p>
      <w:pPr>
        <w:numPr>
          <w:ilvl w:val="0"/>
          <w:numId w:val="1086"/>
        </w:numPr>
        <w:pStyle w:val="Compact"/>
      </w:pPr>
      <w:r>
        <w:t xml:space="preserve">Stratégie genre et énergie ; programme d’usages productifs [1] [V].</w:t>
      </w:r>
    </w:p>
    <w:p>
      <w:pPr>
        <w:numPr>
          <w:ilvl w:val="0"/>
          <w:numId w:val="1086"/>
        </w:numPr>
        <w:pStyle w:val="Compact"/>
      </w:pPr>
      <w:r>
        <w:t xml:space="preserve">Problèmes fonciers cités pour NWTGC phase 2 [1] [V].</w:t>
      </w:r>
    </w:p>
    <w:bookmarkEnd w:id="99"/>
    <w:bookmarkEnd w:id="100"/>
    <w:bookmarkStart w:id="101" w:name="financement-3"/>
    <w:p>
      <w:pPr>
        <w:pStyle w:val="Heading3"/>
      </w:pPr>
      <w:r>
        <w:t xml:space="preserve">4. Financement</w:t>
      </w:r>
    </w:p>
    <w:p>
      <w:pPr>
        <w:numPr>
          <w:ilvl w:val="0"/>
          <w:numId w:val="1088"/>
        </w:numPr>
        <w:pStyle w:val="Compact"/>
      </w:pPr>
      <w:r>
        <w:t xml:space="preserve">Besoin total :</w:t>
      </w:r>
      <w:r>
        <w:t xml:space="preserve"> </w:t>
      </w:r>
      <w:r>
        <w:rPr>
          <w:bCs/>
          <w:b/>
        </w:rPr>
        <w:t xml:space="preserve">2 060 à 2 984 M US$</w:t>
      </w:r>
      <w:r>
        <w:t xml:space="preserve"> </w:t>
      </w:r>
      <w:r>
        <w:t xml:space="preserve">; privé</w:t>
      </w:r>
      <w:r>
        <w:t xml:space="preserve"> </w:t>
      </w:r>
      <w:r>
        <w:rPr>
          <w:bCs/>
          <w:b/>
        </w:rPr>
        <w:t xml:space="preserve">646 à 1 570 M US$</w:t>
      </w:r>
      <w:r>
        <w:t xml:space="preserve"> </w:t>
      </w:r>
      <w:r>
        <w:t xml:space="preserve">; public 1 414 M US$ [1] [V].</w:t>
      </w:r>
    </w:p>
    <w:p>
      <w:pPr>
        <w:numPr>
          <w:ilvl w:val="1"/>
          <w:numId w:val="1089"/>
        </w:numPr>
        <w:pStyle w:val="Compact"/>
      </w:pPr>
      <w:r>
        <w:t xml:space="preserve">Production 396-1 320 M (public 10 M pour Morupule A ; privé 386-1 310 M) ; transport (≥ 66 kV) 880 M (public) ; distribution 79 M ; raccordements réseau 260 M ; hors réseau 160 M (privé 60) ; cuisson propre 255 M (privé 200) ; AT 30 M [1] [V]. La fourchette reflète des scénarios renouvelables « réaliste » et « ambitieux » à arbitrer par l’IRP [1] [V].</w:t>
      </w:r>
    </w:p>
    <w:p>
      <w:pPr>
        <w:numPr>
          <w:ilvl w:val="0"/>
          <w:numId w:val="1088"/>
        </w:numPr>
        <w:pStyle w:val="Compact"/>
      </w:pPr>
      <w:r>
        <w:t xml:space="preserve">Engagements BM / BAD cités : le pacte ne contient</w:t>
      </w:r>
      <w:r>
        <w:t xml:space="preserve"> </w:t>
      </w:r>
      <w:r>
        <w:rPr>
          <w:bCs/>
          <w:b/>
        </w:rPr>
        <w:t xml:space="preserve">pas de tableau des partenaires</w:t>
      </w:r>
      <w:r>
        <w:t xml:space="preserve"> </w:t>
      </w:r>
      <w:r>
        <w:t xml:space="preserve">; il mentionne seulement un dialogue BM pour l’analyse géospatiale d’électrification et l’</w:t>
      </w:r>
      <w:r>
        <w:rPr>
          <w:bCs/>
          <w:b/>
        </w:rPr>
        <w:t xml:space="preserve">étude du coût de service financée par la BAD</w:t>
      </w:r>
      <w:r>
        <w:t xml:space="preserve"> </w:t>
      </w:r>
      <w:r>
        <w:t xml:space="preserve">[1] [V]. Montants : [?].</w:t>
      </w:r>
    </w:p>
    <w:bookmarkEnd w:id="101"/>
    <w:bookmarkStart w:id="102" w:name="calendrier-et-suivi-3"/>
    <w:p>
      <w:pPr>
        <w:pStyle w:val="Heading3"/>
      </w:pPr>
      <w:r>
        <w:t xml:space="preserve">5. Calendrier et suivi</w:t>
      </w:r>
    </w:p>
    <w:p>
      <w:pPr>
        <w:numPr>
          <w:ilvl w:val="0"/>
          <w:numId w:val="1090"/>
        </w:numPr>
        <w:pStyle w:val="Compact"/>
      </w:pPr>
      <w:r>
        <w:t xml:space="preserve">Jalons très resserrés [1] [V] : sept.-déc. 2025 (états financiers, coût de service, normes DRE, PIU, S&amp;E) ; mars 2026 (plan de transition tarifaire, trajectoire de suppression des subventions) ; avril-juin 2026 (stratégie cuisson, OGSF, IRP, feuille de route transport privé, couverture de l’écart tarifaire par l’État) ; déc. 2026 (régime tarifaire pluriannuel, étude de structure de marché, AMI) ; 2027 (Morupule A, NWTGC 2, SCADA/MDMS) ; 2028 (ZiZaBoNa).</w:t>
      </w:r>
    </w:p>
    <w:p>
      <w:pPr>
        <w:numPr>
          <w:ilvl w:val="0"/>
          <w:numId w:val="1090"/>
        </w:numPr>
        <w:pStyle w:val="Compact"/>
      </w:pPr>
      <w:r>
        <w:t xml:space="preserve">Suivi :</w:t>
      </w:r>
      <w:r>
        <w:t xml:space="preserve"> </w:t>
      </w:r>
      <w:r>
        <w:rPr>
          <w:bCs/>
          <w:b/>
        </w:rPr>
        <w:t xml:space="preserve">Project Implementation Unit (PIU)</w:t>
      </w:r>
      <w:r>
        <w:t xml:space="preserve"> </w:t>
      </w:r>
      <w:r>
        <w:t xml:space="preserve">au MME, présidée par le Deputy Permanent Secretary Energy, financée par budget et partenaires [1] [V]. Aucun rapport d’avancement publié [2] [V].</w:t>
      </w:r>
    </w:p>
    <w:bookmarkEnd w:id="102"/>
    <w:bookmarkStart w:id="103" w:name="lecture-critique-1"/>
    <w:p>
      <w:pPr>
        <w:pStyle w:val="Heading3"/>
      </w:pPr>
      <w:r>
        <w:t xml:space="preserve">6. Lecture critique</w:t>
      </w:r>
    </w:p>
    <w:p>
      <w:pPr>
        <w:numPr>
          <w:ilvl w:val="0"/>
          <w:numId w:val="1091"/>
        </w:numPr>
        <w:pStyle w:val="Compact"/>
      </w:pPr>
      <w:r>
        <w:t xml:space="preserve">Réalisme des cibles : l’accès universel porte sur un volume faible (220 000 ménages) dans un pays à revenu intermédiaire supérieur avec raccordement gratuit — plausible si le financement suit [E]. La cible de</w:t>
      </w:r>
      <w:r>
        <w:t xml:space="preserve"> </w:t>
      </w:r>
      <w:r>
        <w:rPr>
          <w:bCs/>
          <w:b/>
        </w:rPr>
        <w:t xml:space="preserve">50 % de renouvelables en 5 ans</w:t>
      </w:r>
      <w:r>
        <w:t xml:space="preserve"> </w:t>
      </w:r>
      <w:r>
        <w:t xml:space="preserve">depuis ~8 %, alors que le pays construit simultanément 600 MW de charbon IPP, est la plus fragile : le pacte lui-même conditionne le scénario ambitieux à des contrats d’export non encore sécurisés [1] [E].</w:t>
      </w:r>
    </w:p>
    <w:p>
      <w:pPr>
        <w:numPr>
          <w:ilvl w:val="0"/>
          <w:numId w:val="1091"/>
        </w:numPr>
        <w:pStyle w:val="Compact"/>
      </w:pPr>
      <w:r>
        <w:t xml:space="preserve">Engagements tarifaires :</w:t>
      </w:r>
      <w:r>
        <w:t xml:space="preserve"> </w:t>
      </w:r>
      <w:r>
        <w:rPr>
          <w:bCs/>
          <w:b/>
        </w:rPr>
        <w:t xml:space="preserve">les plus précis et structurés des six pays</w:t>
      </w:r>
      <w:r>
        <w:t xml:space="preserve"> </w:t>
      </w:r>
      <w:r>
        <w:t xml:space="preserve">— étude de coût de service, plan de transition daté, tarif social ciblé, suppression des subventions croisées, couverture budgétaire explicite de l’écart, ajustement automatique [1] [E]. Mais l’historique (hausses de 2023 et 2024 rejetées par le pouvoir politique, approbation finale par le ministre) montre que le</w:t>
      </w:r>
      <w:r>
        <w:t xml:space="preserve"> </w:t>
      </w:r>
      <w:r>
        <w:rPr>
          <w:bCs/>
          <w:b/>
        </w:rPr>
        <w:t xml:space="preserve">verrou est politique et non méthodologique</w:t>
      </w:r>
      <w:r>
        <w:t xml:space="preserve"> </w:t>
      </w:r>
      <w:r>
        <w:t xml:space="preserve">[1] [E]. L’écart tarifaire d’au moins 25 % (127 vs 159 thebe/kWh, hors coûts financiers et de change) implique des hausses importantes en contexte de récession (PIB -3 % en 2024) [1] [E].</w:t>
      </w:r>
    </w:p>
    <w:p>
      <w:pPr>
        <w:numPr>
          <w:ilvl w:val="0"/>
          <w:numId w:val="1091"/>
        </w:numPr>
        <w:pStyle w:val="Compact"/>
      </w:pPr>
      <w:r>
        <w:t xml:space="preserve">Risques principaux : crise du diamant et resserrement budgétaire (capacité de l’État à couvrir l’écart) ; défaillance de Morupule B et coût des importations ; arriérés de BPC envers les fournisseurs régionaux ; risque d’excédent charbon ; exposition de change (prêt ICBC 825 M US$) [1] [E].</w:t>
      </w:r>
    </w:p>
    <w:p>
      <w:pPr>
        <w:numPr>
          <w:ilvl w:val="0"/>
          <w:numId w:val="1091"/>
        </w:numPr>
        <w:pStyle w:val="Compact"/>
      </w:pPr>
      <w:r>
        <w:t xml:space="preserve">Points à approfondir : phase 2 — états financiers BPC 2024 et 2025, dette ICBC, arriérés fournisseurs, performance Morupule B, projet de dégroupage ; phase 3 — résultats de l’étude de coût de service BERA/BAD, décisions tarifaires 2025-2026, conception du tarif social et du seuil lifeline [E].</w:t>
      </w:r>
    </w:p>
    <w:bookmarkEnd w:id="103"/>
    <w:bookmarkStart w:id="104" w:name="inconnus-données-non-trouvées-3"/>
    <w:p>
      <w:pPr>
        <w:pStyle w:val="Heading3"/>
      </w:pPr>
      <w:r>
        <w:t xml:space="preserve">7. Inconnus / données non trouvées</w:t>
      </w:r>
    </w:p>
    <w:p>
      <w:pPr>
        <w:numPr>
          <w:ilvl w:val="0"/>
          <w:numId w:val="1092"/>
        </w:numPr>
        <w:pStyle w:val="Compact"/>
      </w:pPr>
      <w:r>
        <w:t xml:space="preserve">[?] Date et signataire du pacte.</w:t>
      </w:r>
    </w:p>
    <w:p>
      <w:pPr>
        <w:numPr>
          <w:ilvl w:val="0"/>
          <w:numId w:val="1092"/>
        </w:numPr>
        <w:pStyle w:val="Compact"/>
      </w:pPr>
      <w:r>
        <w:t xml:space="preserve">[?] Taux d’accès rural.</w:t>
      </w:r>
    </w:p>
    <w:p>
      <w:pPr>
        <w:numPr>
          <w:ilvl w:val="0"/>
          <w:numId w:val="1092"/>
        </w:numPr>
        <w:pStyle w:val="Compact"/>
      </w:pPr>
      <w:r>
        <w:t xml:space="preserve">[?] Montants des financements BM et BAD (aucun tableau des partenaires dans le pacte).</w:t>
      </w:r>
    </w:p>
    <w:p>
      <w:pPr>
        <w:numPr>
          <w:ilvl w:val="0"/>
          <w:numId w:val="1092"/>
        </w:numPr>
        <w:pStyle w:val="Compact"/>
      </w:pPr>
      <w:r>
        <w:t xml:space="preserve">[?] Déficit d’exploitation 2024 (colonne vide dans le tableau BPC).</w:t>
      </w:r>
    </w:p>
    <w:p>
      <w:pPr>
        <w:numPr>
          <w:ilvl w:val="0"/>
          <w:numId w:val="1092"/>
        </w:numPr>
        <w:pStyle w:val="Compact"/>
      </w:pPr>
      <w:r>
        <w:t xml:space="preserve">[?] Cible chiffrée de réduction des pertes.</w:t>
      </w:r>
    </w:p>
    <w:p>
      <w:pPr>
        <w:numPr>
          <w:ilvl w:val="0"/>
          <w:numId w:val="1092"/>
        </w:numPr>
        <w:pStyle w:val="Compact"/>
      </w:pPr>
      <w:r>
        <w:t xml:space="preserve">[?] Rapport d’avancement (non publié à oct. 2026).</w:t>
      </w:r>
    </w:p>
    <w:bookmarkEnd w:id="104"/>
    <w:bookmarkStart w:id="105" w:name="sources-4"/>
    <w:p>
      <w:pPr>
        <w:pStyle w:val="Heading3"/>
      </w:pPr>
      <w:r>
        <w:t xml:space="preserve">Sources</w:t>
      </w:r>
    </w:p>
    <w:p>
      <w:pPr>
        <w:pStyle w:val="FirstParagraph"/>
      </w:pPr>
      <w:r>
        <w:t xml:space="preserve">[1] Gouvernement du Botswana, « National Energy Compact for Botswana », s.d. (données jusqu’à juillet 2025 ; listé « Sep 2025 » par la BM), 31 p., anglais. https://www.worldbank.org/content/dam/theworldbankgroupasset/document/2026/m300-energy-compacts/Botswana-National-Energy-Compact-Mission-300.pdf (consulté le 18/10/2026).</w:t>
      </w:r>
      <w:r>
        <w:t xml:space="preserve"> </w:t>
      </w:r>
      <w:r>
        <w:t xml:space="preserve">[2] Banque mondiale, « National Energy Compacts ». https://www.worldbank.org/ext/en/energizingafrica/national-energy-compacts (consulté le 18/10/2026).</w:t>
      </w:r>
    </w:p>
    <w:p>
      <w:r>
        <w:br w:type="page"/>
      </w:r>
    </w:p>
    <w:bookmarkEnd w:id="105"/>
    <w:bookmarkEnd w:id="106"/>
    <w:bookmarkStart w:id="122" w:name="Xe313dbbf8e36638c2daec9fb232cc92955925e1"/>
    <w:p>
      <w:pPr>
        <w:pStyle w:val="Heading2"/>
      </w:pPr>
      <w:r>
        <w:t xml:space="preserve">Fiche pacte national de l’énergie — République centrafricaine</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107" w:name="métadonnées-4"/>
    <w:p>
      <w:pPr>
        <w:pStyle w:val="Heading3"/>
      </w:pPr>
      <w:r>
        <w:t xml:space="preserve">0. Métadonnées</w:t>
      </w:r>
    </w:p>
    <w:p>
      <w:pPr>
        <w:numPr>
          <w:ilvl w:val="0"/>
          <w:numId w:val="1093"/>
        </w:numPr>
        <w:pStyle w:val="Compact"/>
      </w:pPr>
      <w:r>
        <w:rPr>
          <w:bCs/>
          <w:b/>
        </w:rPr>
        <w:t xml:space="preserve">Existence du pacte : confirmée.</w:t>
      </w:r>
      <w:r>
        <w:t xml:space="preserve"> </w:t>
      </w:r>
      <w:r>
        <w:t xml:space="preserve">Le PDF figure sur la page officielle BM des pactes, daté « Jun 2026 » [2] [V] ; métadonnées PDF : création le 18-06-2026 [1] [V]. Le texte cite une loi du 23-12-2025, ce qui confirme une rédaction postérieure à décembre 2025 [1, Références] [V].</w:t>
      </w:r>
    </w:p>
    <w:p>
      <w:pPr>
        <w:numPr>
          <w:ilvl w:val="0"/>
          <w:numId w:val="1093"/>
        </w:numPr>
        <w:pStyle w:val="Compact"/>
      </w:pPr>
      <w:r>
        <w:t xml:space="preserve">Cohorte / date de présentation : vague de juin-juillet 2026. Selon Energy News Network (9 juillet 2026), la RCA fait partie des six pays (avec Burkina Faso, Djibouti, Gabon, Rwanda, Ouganda) ayant « signé » leurs pactes à l’Africa Energy Forum 2026 (Cape Town) [3] [S]. Date exacte de la signature : [?] (non confirmée par une source officielle).</w:t>
      </w:r>
    </w:p>
    <w:p>
      <w:pPr>
        <w:numPr>
          <w:ilvl w:val="0"/>
          <w:numId w:val="1093"/>
        </w:numPr>
        <w:pStyle w:val="Compact"/>
      </w:pPr>
      <w:r>
        <w:t xml:space="preserve">Document du pacte consulté : « Pacte National de l’Énergie — République Centrafricaine », en français, 36 p., préface signée par Félix Moloua, Premier ministre (fichier</w:t>
      </w:r>
      <w:r>
        <w:t xml:space="preserve"> </w:t>
      </w:r>
      <w:r>
        <w:rPr>
          <w:rStyle w:val="VerbatimChar"/>
        </w:rPr>
        <w:t xml:space="preserve">CAR-National-Energy-Compact-Mission-300.pdf</w:t>
      </w:r>
      <w:r>
        <w:t xml:space="preserve">) [1].</w:t>
      </w:r>
    </w:p>
    <w:p>
      <w:pPr>
        <w:numPr>
          <w:ilvl w:val="0"/>
          <w:numId w:val="1093"/>
        </w:numPr>
        <w:pStyle w:val="Compact"/>
      </w:pPr>
      <w:r>
        <w:t xml:space="preserve">Accès au texte intégral :</w:t>
      </w:r>
      <w:r>
        <w:t xml:space="preserve"> </w:t>
      </w:r>
      <w:r>
        <w:rPr>
          <w:bCs/>
          <w:b/>
        </w:rPr>
        <w:t xml:space="preserve">oui</w:t>
      </w:r>
      <w:r>
        <w:t xml:space="preserve"> </w:t>
      </w:r>
      <w:r>
        <w:t xml:space="preserve">(PDF téléchargé et lu intégralement le 2026-10-18).</w:t>
      </w:r>
    </w:p>
    <w:p>
      <w:pPr>
        <w:numPr>
          <w:ilvl w:val="0"/>
          <w:numId w:val="1093"/>
        </w:numPr>
        <w:pStyle w:val="Compact"/>
      </w:pPr>
      <w:r>
        <w:t xml:space="preserve">Opérateur(s) national(aux) d’électricité : ENERCA (Énergie Centrafricaine), monopole de fait sur production, transport, distribution et vente ; « aucun opérateur privé n’est actif dans le réseau interconnecté et les mini-réseaux » [1, Pilier IV] [V]. Tutelle : MDERH (Ministère du Développement de l’Énergie et des Ressources Hydrauliques) [1] [V].</w:t>
      </w:r>
    </w:p>
    <w:p>
      <w:pPr>
        <w:numPr>
          <w:ilvl w:val="0"/>
          <w:numId w:val="1093"/>
        </w:numPr>
        <w:pStyle w:val="Compact"/>
      </w:pPr>
      <w:r>
        <w:t xml:space="preserve">Régulateur :</w:t>
      </w:r>
      <w:r>
        <w:t xml:space="preserve"> </w:t>
      </w:r>
      <w:r>
        <w:rPr>
          <w:bCs/>
          <w:b/>
        </w:rPr>
        <w:t xml:space="preserve">pas de régulateur autonome à ce jour</w:t>
      </w:r>
      <w:r>
        <w:t xml:space="preserve"> </w:t>
      </w:r>
      <w:r>
        <w:t xml:space="preserve">— la création d’une agence de régulation autonome est prévue dans la révision du Code de l’électricité [1, Plan d’action Pilier IV] [V]. Pas non plus d’agence d’électrification rurale (création prévue) [1] [V].</w:t>
      </w:r>
    </w:p>
    <w:bookmarkEnd w:id="107"/>
    <w:bookmarkStart w:id="108" w:name="situation-de-départ-selon-le-pacte-4"/>
    <w:p>
      <w:pPr>
        <w:pStyle w:val="Heading3"/>
      </w:pPr>
      <w:r>
        <w:t xml:space="preserve">1. Situation de départ (selon le pacte)</w:t>
      </w:r>
    </w:p>
    <w:p>
      <w:pPr>
        <w:numPr>
          <w:ilvl w:val="0"/>
          <w:numId w:val="1094"/>
        </w:numPr>
        <w:pStyle w:val="Compact"/>
      </w:pPr>
      <w:r>
        <w:t xml:space="preserve">Taux d’accès national / urbain / rural : 16,8 % en 2024 (164 322 ménages) ; urbain 35,0 %, rural 2,8 % (2024) [1, Table 2 et Annexe I] [V]. Historique : 15,7 % (2022), 16,2 % (2023) ; 17,8 % estimé 2025 [1] [V].</w:t>
      </w:r>
    </w:p>
    <w:p>
      <w:pPr>
        <w:numPr>
          <w:ilvl w:val="0"/>
          <w:numId w:val="1094"/>
        </w:numPr>
        <w:pStyle w:val="Compact"/>
      </w:pPr>
      <w:r>
        <w:t xml:space="preserve">Population : ~6 millions (2025), croissance 2,5 %/an ; 6,7 M projetés en 2030 [1] [V].</w:t>
      </w:r>
    </w:p>
    <w:p>
      <w:pPr>
        <w:numPr>
          <w:ilvl w:val="0"/>
          <w:numId w:val="1094"/>
        </w:numPr>
        <w:pStyle w:val="Compact"/>
      </w:pPr>
      <w:r>
        <w:t xml:space="preserve">Population sans accès : non chiffrée directement [?] (≈ 5 M de personnes à 83 % de 6 M [E]).</w:t>
      </w:r>
    </w:p>
    <w:p>
      <w:pPr>
        <w:numPr>
          <w:ilvl w:val="0"/>
          <w:numId w:val="1094"/>
        </w:numPr>
        <w:pStyle w:val="Compact"/>
      </w:pPr>
      <w:r>
        <w:t xml:space="preserve">Capacité installée, mix : réseau interconnecté Bangui-Boali : Boali 1 (9,5 MW), Boali 2 (20 MW), PV Danzi (25 MWc + 30 MWh) et Sakaï (15 MWc + 10 MWh), 2 centrales diesel (14,4 MW) [1, §3] [V]. Part ENR 77 % (2025) sur 70,8 MW installés (29 MW hydro + 41,8 MWc solaire) [1, Table 4] [V]. 16 centres isolés thermiques : 7,9 MW (6,7 MW disponibles) en 2025 [1] [V]. Production effective 220,8 GWh (2025) ; pointe ~90 MW entre 18h et 23h [1] [V]. Délestage permanent : les zones les plus touchées ont 8 h d’électricité par jour [1] [V].</w:t>
      </w:r>
    </w:p>
    <w:p>
      <w:pPr>
        <w:numPr>
          <w:ilvl w:val="0"/>
          <w:numId w:val="1094"/>
        </w:numPr>
        <w:pStyle w:val="Compact"/>
      </w:pPr>
      <w:r>
        <w:t xml:space="preserve">Accès à la cuisson propre : 17 % des ménages ont des foyers améliorés (2024) ; 0,11 % utilisent le gaz butane [1, Préambule] [V]. Bois énergie 96,85 % ; foyer trois pierres 82 % [1, §3] [V]. Biomasse = ~92 % de la consommation finale d’énergie [1] [V].</w:t>
      </w:r>
    </w:p>
    <w:bookmarkEnd w:id="108"/>
    <w:bookmarkStart w:id="109" w:name="cibles-2030-4"/>
    <w:p>
      <w:pPr>
        <w:pStyle w:val="Heading3"/>
      </w:pPr>
      <w:r>
        <w:t xml:space="preserve">2. Cibles 2030</w:t>
      </w:r>
    </w:p>
    <w:p>
      <w:pPr>
        <w:numPr>
          <w:ilvl w:val="0"/>
          <w:numId w:val="1095"/>
        </w:numPr>
        <w:pStyle w:val="Compact"/>
      </w:pPr>
      <w:r>
        <w:t xml:space="preserve">Accès électricité : 50 % en 2030 (557 265 ménages) ; ~2,4 M de personnes supplémentaires (393 000 ménages / 2 358 000 habitants) ; rythme annuel de ~65 491 nouveaux ménages contre ~6 796 sur 2020-2024 [1, Table 2] [V]. Urbain 76,5 %, rural 30 % [1, Annexe I] [V].</w:t>
      </w:r>
    </w:p>
    <w:p>
      <w:pPr>
        <w:numPr>
          <w:ilvl w:val="1"/>
          <w:numId w:val="1096"/>
        </w:numPr>
        <w:pStyle w:val="Compact"/>
      </w:pPr>
      <w:r>
        <w:t xml:space="preserve">Ventilation 2030 (ménages) : réseau 247 265 (44 %) ; mini-réseaux 180 000 (32 %) ; systèmes solaires autonomes 130 000 (23 %) [1, Table 3] [V].</w:t>
      </w:r>
    </w:p>
    <w:p>
      <w:pPr>
        <w:numPr>
          <w:ilvl w:val="0"/>
          <w:numId w:val="1095"/>
        </w:numPr>
        <w:pStyle w:val="Compact"/>
      </w:pPr>
      <w:r>
        <w:t xml:space="preserve">Part des renouvelables : 90 % en 2030 (contre 77 %) ; +285 MW dont 135 MW interconnecté (Lobaye 60 MW, Boali 3 10 MW, Sakaï 2 50 MWc, Danzi-extension 15 MWc) et 150 MW pour les centres isolés ; Kotto (64 MW) exclue du calcul [1, Table 4] [V]. Plan d’action : hydro 30 → 164 MW ; solaire 41 → 106 MWc [1, Table 5] [V].</w:t>
      </w:r>
    </w:p>
    <w:p>
      <w:pPr>
        <w:numPr>
          <w:ilvl w:val="0"/>
          <w:numId w:val="1095"/>
        </w:numPr>
        <w:pStyle w:val="Compact"/>
      </w:pPr>
      <w:r>
        <w:t xml:space="preserve">Cuisson propre : 30 % de la population avec foyers améliorés (≈ +100 000 ménages) ; combustibles modernes : 0,11 % → 10 % [1, Annexe I] [V].</w:t>
      </w:r>
    </w:p>
    <w:p>
      <w:pPr>
        <w:numPr>
          <w:ilvl w:val="0"/>
          <w:numId w:val="1095"/>
        </w:numPr>
        <w:pStyle w:val="Compact"/>
      </w:pPr>
      <w:r>
        <w:t xml:space="preserve">Autres cibles chiffrées :</w:t>
      </w:r>
    </w:p>
    <w:p>
      <w:pPr>
        <w:numPr>
          <w:ilvl w:val="1"/>
          <w:numId w:val="1097"/>
        </w:numPr>
        <w:pStyle w:val="Compact"/>
      </w:pPr>
      <w:r>
        <w:t xml:space="preserve">Capital privé : 523 M USD (314,025 milliards FCFA), ~30 % du besoin [1] [V].</w:t>
      </w:r>
    </w:p>
    <w:p>
      <w:pPr>
        <w:numPr>
          <w:ilvl w:val="1"/>
          <w:numId w:val="1097"/>
        </w:numPr>
        <w:pStyle w:val="Compact"/>
      </w:pPr>
      <w:r>
        <w:t xml:space="preserve">7 appels d’offres PPP lancés (contre 0) ; fonds de garantie couvrant 30 % des projets actifs [1, Table 5] [V].</w:t>
      </w:r>
    </w:p>
    <w:p>
      <w:pPr>
        <w:numPr>
          <w:ilvl w:val="1"/>
          <w:numId w:val="1097"/>
        </w:numPr>
        <w:pStyle w:val="Compact"/>
      </w:pPr>
      <w:r>
        <w:t xml:space="preserve">Mini-réseaux : 2 → 100 ; kits solaires 2 800 → 130 000 [1] [V].</w:t>
      </w:r>
    </w:p>
    <w:p>
      <w:pPr>
        <w:numPr>
          <w:ilvl w:val="1"/>
          <w:numId w:val="1097"/>
        </w:numPr>
        <w:pStyle w:val="Compact"/>
      </w:pPr>
      <w:r>
        <w:t xml:space="preserve">Réseau : lignes HT 183 → 796 km ; postes HT 7 → 20 ; lignes MT 384 → 680 km ; BT 684 → 1 484 km [1] [V].</w:t>
      </w:r>
    </w:p>
    <w:p>
      <w:pPr>
        <w:numPr>
          <w:ilvl w:val="1"/>
          <w:numId w:val="1097"/>
        </w:numPr>
        <w:pStyle w:val="Compact"/>
      </w:pPr>
      <w:r>
        <w:t xml:space="preserve">Échanges transfrontaliers : 1,65 → 15 MW [1] [V].</w:t>
      </w:r>
    </w:p>
    <w:p>
      <w:pPr>
        <w:numPr>
          <w:ilvl w:val="1"/>
          <w:numId w:val="1097"/>
        </w:numPr>
        <w:pStyle w:val="Compact"/>
      </w:pPr>
      <w:r>
        <w:t xml:space="preserve">Genre : +30 % de femmes employées ; +30 % de ménages/entreprises dirigés par des femmes ayant accès [1] [V].</w:t>
      </w:r>
    </w:p>
    <w:p>
      <w:pPr>
        <w:numPr>
          <w:ilvl w:val="1"/>
          <w:numId w:val="1097"/>
        </w:numPr>
        <w:pStyle w:val="Compact"/>
      </w:pPr>
      <w:r>
        <w:t xml:space="preserve">2 000 emplois dans la chaîne de valeur de la cuisson propre [1] [V].</w:t>
      </w:r>
    </w:p>
    <w:bookmarkEnd w:id="109"/>
    <w:bookmarkStart w:id="116" w:name="réformes-promises-cœur-de-lanalyse-2"/>
    <w:p>
      <w:pPr>
        <w:pStyle w:val="Heading3"/>
      </w:pPr>
      <w:r>
        <w:t xml:space="preserve">3. Réformes promises (cœur de l’analyse)</w:t>
      </w:r>
    </w:p>
    <w:bookmarkStart w:id="110" w:name="tarifs-et-subventions-4"/>
    <w:p>
      <w:pPr>
        <w:pStyle w:val="Heading4"/>
      </w:pPr>
      <w:r>
        <w:t xml:space="preserve">3.1 Tarifs et subventions</w:t>
      </w:r>
    </w:p>
    <w:p>
      <w:pPr>
        <w:numPr>
          <w:ilvl w:val="0"/>
          <w:numId w:val="1098"/>
        </w:numPr>
        <w:pStyle w:val="Compact"/>
      </w:pPr>
      <w:r>
        <w:t xml:space="preserve">Diagnostic : « absence d’ajustement tarifaire depuis trois décennies » ; « maintien d’un tarif administré par l’État, sans mécanisme systématique d’ajustement ni compensation ciblée » [1, Pilier V] [V].</w:t>
      </w:r>
    </w:p>
    <w:p>
      <w:pPr>
        <w:numPr>
          <w:ilvl w:val="0"/>
          <w:numId w:val="1098"/>
        </w:numPr>
        <w:pStyle w:val="Compact"/>
      </w:pPr>
      <w:r>
        <w:t xml:space="preserve">Engagement : « Adoption d’une structure tarifaire soutenable, permettant de répondre aux besoins d’investissement et d’exploitation du secteur, tout en intégrant des mécanismes de compensation pour la protection des ménages vulnérables » [1, Table 5] [V] —</w:t>
      </w:r>
      <w:r>
        <w:t xml:space="preserve"> </w:t>
      </w:r>
      <w:r>
        <w:rPr>
          <w:bCs/>
          <w:b/>
        </w:rPr>
        <w:t xml:space="preserve">sans date ni trajectoire</w:t>
      </w:r>
      <w:r>
        <w:t xml:space="preserve">.</w:t>
      </w:r>
    </w:p>
    <w:p>
      <w:pPr>
        <w:numPr>
          <w:ilvl w:val="0"/>
          <w:numId w:val="1098"/>
        </w:numPr>
        <w:pStyle w:val="Compact"/>
      </w:pPr>
      <w:r>
        <w:t xml:space="preserve">« Encadrement des tarifs de vente » (mini-réseaux, IPP) comme axe de réforme à court terme [1, Pilier I] [V].</w:t>
      </w:r>
    </w:p>
    <w:p>
      <w:pPr>
        <w:numPr>
          <w:ilvl w:val="0"/>
          <w:numId w:val="1098"/>
        </w:numPr>
        <w:pStyle w:val="Compact"/>
      </w:pPr>
      <w:r>
        <w:t xml:space="preserve">Plan de réduction des coûts de connexion pour les ménages à faible revenu [1] [V].</w:t>
      </w:r>
    </w:p>
    <w:p>
      <w:pPr>
        <w:numPr>
          <w:ilvl w:val="0"/>
          <w:numId w:val="1098"/>
        </w:numPr>
        <w:pStyle w:val="Compact"/>
      </w:pPr>
      <w:r>
        <w:t xml:space="preserve">Montant des subventions, tarif moyen, coût de production : [?] non fournis. Une « étude tarifaire » de 2021 est citée [1] [V].</w:t>
      </w:r>
    </w:p>
    <w:bookmarkEnd w:id="110"/>
    <w:bookmarkStart w:id="111" w:name="Xc9793c7abf424d05259b7a30bb0a8c49494489f"/>
    <w:p>
      <w:pPr>
        <w:pStyle w:val="Heading4"/>
      </w:pPr>
      <w:r>
        <w:t xml:space="preserve">3.2 Opérateur (redressement, contrats de performance, pertes, recouvrement, compteurs)</w:t>
      </w:r>
    </w:p>
    <w:p>
      <w:pPr>
        <w:numPr>
          <w:ilvl w:val="0"/>
          <w:numId w:val="1099"/>
        </w:numPr>
        <w:pStyle w:val="Compact"/>
      </w:pPr>
      <w:r>
        <w:rPr>
          <w:bCs/>
          <w:b/>
        </w:rPr>
        <w:t xml:space="preserve">Contrat de performance État-ENERCA</w:t>
      </w:r>
      <w:r>
        <w:t xml:space="preserve"> </w:t>
      </w:r>
      <w:r>
        <w:t xml:space="preserve">avec indicateurs mesurables ; publication régulière d’états financiers audités dans les délais [1, Table 5] [V] (sans date).</w:t>
      </w:r>
    </w:p>
    <w:p>
      <w:pPr>
        <w:numPr>
          <w:ilvl w:val="0"/>
          <w:numId w:val="1099"/>
        </w:numPr>
        <w:pStyle w:val="Compact"/>
      </w:pPr>
      <w:r>
        <w:t xml:space="preserve">Pertes techniques et commerciales : 20 % → 8 % en 2030 [1] [V].</w:t>
      </w:r>
    </w:p>
    <w:p>
      <w:pPr>
        <w:numPr>
          <w:ilvl w:val="0"/>
          <w:numId w:val="1099"/>
        </w:numPr>
        <w:pStyle w:val="Compact"/>
      </w:pPr>
      <w:r>
        <w:t xml:space="preserve">Recouvrement : 86,2 % → 95 % [1] [V].</w:t>
      </w:r>
    </w:p>
    <w:p>
      <w:pPr>
        <w:numPr>
          <w:ilvl w:val="0"/>
          <w:numId w:val="1099"/>
        </w:numPr>
        <w:pStyle w:val="Compact"/>
      </w:pPr>
      <w:r>
        <w:t xml:space="preserve">Créances impayées : 52 milliards FCFA (31-12-2024) → 10 milliards en 2030 ; apurement progressif des arriérés des administrations et clarification des dettes croisées État-ENERCA [1] [V].</w:t>
      </w:r>
    </w:p>
    <w:p>
      <w:pPr>
        <w:numPr>
          <w:ilvl w:val="0"/>
          <w:numId w:val="1099"/>
        </w:numPr>
        <w:pStyle w:val="Compact"/>
      </w:pPr>
      <w:r>
        <w:t xml:space="preserve">Compteurs prépayés : 17 300 → 75 000 ; 21 000 compteurs en cours d’installation pour régulariser les branchements directs (estimés à 21 000 abonnés en 2024) et 60 000 pour les nouveaux abonnés [1] [V].</w:t>
      </w:r>
    </w:p>
    <w:p>
      <w:pPr>
        <w:numPr>
          <w:ilvl w:val="0"/>
          <w:numId w:val="1099"/>
        </w:numPr>
        <w:pStyle w:val="Compact"/>
      </w:pPr>
      <w:r>
        <w:t xml:space="preserve">Qualité : déclenchements généraux 626 → 100/an ; durée 105 → 20 h/an ; audits techniques indépendants ; SCADA [1] [V].</w:t>
      </w:r>
    </w:p>
    <w:bookmarkEnd w:id="111"/>
    <w:bookmarkStart w:id="112" w:name="régulation-et-gouvernance-2"/>
    <w:p>
      <w:pPr>
        <w:pStyle w:val="Heading4"/>
      </w:pPr>
      <w:r>
        <w:t xml:space="preserve">3.3 Régulation et gouvernance</w:t>
      </w:r>
    </w:p>
    <w:p>
      <w:pPr>
        <w:numPr>
          <w:ilvl w:val="0"/>
          <w:numId w:val="1100"/>
        </w:numPr>
        <w:pStyle w:val="Compact"/>
      </w:pPr>
      <w:r>
        <w:t xml:space="preserve">Finaliser la révision du Code de l’électricité de 2005 et adopter les textes d’application (régulation sectorielle) [1] [V] (sans date).</w:t>
      </w:r>
    </w:p>
    <w:p>
      <w:pPr>
        <w:numPr>
          <w:ilvl w:val="0"/>
          <w:numId w:val="1100"/>
        </w:numPr>
        <w:pStyle w:val="Compact"/>
      </w:pPr>
      <w:r>
        <w:t xml:space="preserve">Création d’une agence de régulation autonome et d’une agence d’électrification rurale (dans le Code révisé) [1] [V].</w:t>
      </w:r>
    </w:p>
    <w:p>
      <w:pPr>
        <w:numPr>
          <w:ilvl w:val="0"/>
          <w:numId w:val="1100"/>
        </w:numPr>
        <w:pStyle w:val="Compact"/>
      </w:pPr>
      <w:r>
        <w:t xml:space="preserve">Loi sur les énergies renouvelables ; réglementation des mini-réseaux ; plan directeur d’électrification rurale et prospectus d’investissement ; mise à jour du plan directeur production/transport (2040, finalisé 2022) [1] [V].</w:t>
      </w:r>
    </w:p>
    <w:p>
      <w:pPr>
        <w:numPr>
          <w:ilvl w:val="0"/>
          <w:numId w:val="1100"/>
        </w:numPr>
        <w:pStyle w:val="Compact"/>
      </w:pPr>
      <w:r>
        <w:t xml:space="preserve">Système national intégré d’information énergétique [1] [V].</w:t>
      </w:r>
    </w:p>
    <w:p>
      <w:pPr>
        <w:numPr>
          <w:ilvl w:val="0"/>
          <w:numId w:val="1100"/>
        </w:numPr>
        <w:pStyle w:val="Compact"/>
      </w:pPr>
      <w:r>
        <w:t xml:space="preserve">Document de politique énergétique nationale en révision (2025) [1] [V].</w:t>
      </w:r>
    </w:p>
    <w:bookmarkEnd w:id="112"/>
    <w:bookmarkStart w:id="113" w:name="X296d3f98452774a09cd4c6855d5af2de790b104"/>
    <w:p>
      <w:pPr>
        <w:pStyle w:val="Heading4"/>
      </w:pPr>
      <w:r>
        <w:t xml:space="preserve">3.4 Participation du privé (producteurs indépendants, concessions, hors réseau)</w:t>
      </w:r>
    </w:p>
    <w:p>
      <w:pPr>
        <w:numPr>
          <w:ilvl w:val="0"/>
          <w:numId w:val="1101"/>
        </w:numPr>
        <w:pStyle w:val="Compact"/>
      </w:pPr>
      <w:r>
        <w:t xml:space="preserve">Clarifier les régimes applicables (autorisation, licence, concession, appel à concurrence) et les modalités de recouvrement des coûts [1] [V].</w:t>
      </w:r>
    </w:p>
    <w:p>
      <w:pPr>
        <w:numPr>
          <w:ilvl w:val="0"/>
          <w:numId w:val="1101"/>
        </w:numPr>
        <w:pStyle w:val="Compact"/>
      </w:pPr>
      <w:r>
        <w:t xml:space="preserve">Opérationnaliser le Fonds National de Garantie et d’Investissement (FNGI, capital initial 10 milliards FCFA ≈ 17 M USD, « pas encore opérationnel ») [1, Pilier IV] [V].</w:t>
      </w:r>
    </w:p>
    <w:p>
      <w:pPr>
        <w:numPr>
          <w:ilvl w:val="0"/>
          <w:numId w:val="1101"/>
        </w:numPr>
        <w:pStyle w:val="Compact"/>
      </w:pPr>
      <w:r>
        <w:t xml:space="preserve">Programme ERD (mini-réseaux, kits, systèmes autonomes) avec le privé [1] [V].</w:t>
      </w:r>
    </w:p>
    <w:p>
      <w:pPr>
        <w:numPr>
          <w:ilvl w:val="0"/>
          <w:numId w:val="1101"/>
        </w:numPr>
        <w:pStyle w:val="Compact"/>
      </w:pPr>
      <w:r>
        <w:t xml:space="preserve">Contexte : taux d’intérêt de 11,8 % en moyenne (2020), le plus élevé de la CEMAC [1] [V]. Loi PPP n° 19-007 du 24-06-2019 [1] [V].</w:t>
      </w:r>
    </w:p>
    <w:p>
      <w:pPr>
        <w:numPr>
          <w:ilvl w:val="0"/>
          <w:numId w:val="1101"/>
        </w:numPr>
        <w:pStyle w:val="Compact"/>
      </w:pPr>
      <w:r>
        <w:t xml:space="preserve">Projets privés identifiés : Sakaï 2 (50 MWc, 54 milliards FCFA privés), extension Danzi (15 milliards FCFA privés), mini-réseaux (211,965 milliards FCFA privés) [1, Table 6] [V].</w:t>
      </w:r>
    </w:p>
    <w:bookmarkEnd w:id="113"/>
    <w:bookmarkStart w:id="114" w:name="Xa5dc056ec8d6a9432089b5384fad04374fc8d20"/>
    <w:p>
      <w:pPr>
        <w:pStyle w:val="Heading4"/>
      </w:pPr>
      <w:r>
        <w:t xml:space="preserve">3.5 Intégration régionale (pools énergétiques, interconnexions)</w:t>
      </w:r>
    </w:p>
    <w:p>
      <w:pPr>
        <w:numPr>
          <w:ilvl w:val="0"/>
          <w:numId w:val="1102"/>
        </w:numPr>
        <w:pStyle w:val="Compact"/>
      </w:pPr>
      <w:r>
        <w:t xml:space="preserve">Membre du PEAC ; MoU RCA-RDC-Congo, RCA-Congo-Cameroun, RCA-Cameroun (Dimoli, Bac, Lotemo, Lobaye) ; contrat d’achat d’électricité avec la RDC [1] [V].</w:t>
      </w:r>
    </w:p>
    <w:p>
      <w:pPr>
        <w:numPr>
          <w:ilvl w:val="0"/>
          <w:numId w:val="1102"/>
        </w:numPr>
        <w:pStyle w:val="Compact"/>
      </w:pPr>
      <w:r>
        <w:t xml:space="preserve">Électrification de 9 localités depuis la centrale de Mobaye (RDC) via réseaux MT (projet BAD) [1] [V].</w:t>
      </w:r>
    </w:p>
    <w:p>
      <w:pPr>
        <w:numPr>
          <w:ilvl w:val="0"/>
          <w:numId w:val="1102"/>
        </w:numPr>
        <w:pStyle w:val="Compact"/>
      </w:pPr>
      <w:r>
        <w:t xml:space="preserve">Interconnexion Cameroun (Abong Mbang) – RCA (Bangui) [1] [V].</w:t>
      </w:r>
    </w:p>
    <w:p>
      <w:pPr>
        <w:numPr>
          <w:ilvl w:val="0"/>
          <w:numId w:val="1102"/>
        </w:numPr>
        <w:pStyle w:val="Compact"/>
      </w:pPr>
      <w:r>
        <w:t xml:space="preserve">Introduction du prélèvement PEAC (dans la révision du Code) [1] [V].</w:t>
      </w:r>
    </w:p>
    <w:bookmarkEnd w:id="114"/>
    <w:bookmarkStart w:id="115" w:name="autres-fiscalité-foncier-local-content"/>
    <w:p>
      <w:pPr>
        <w:pStyle w:val="Heading4"/>
      </w:pPr>
      <w:r>
        <w:t xml:space="preserve">3.6 Autres (fiscalité, foncier, local content)</w:t>
      </w:r>
    </w:p>
    <w:p>
      <w:pPr>
        <w:numPr>
          <w:ilvl w:val="0"/>
          <w:numId w:val="1103"/>
        </w:numPr>
        <w:pStyle w:val="Compact"/>
      </w:pPr>
      <w:r>
        <w:t xml:space="preserve">Mesures incitatives pour équipements d’électrification rurale renouvelable et standardisation des produits [1] [V] (sans précision fiscale).</w:t>
      </w:r>
    </w:p>
    <w:p>
      <w:pPr>
        <w:numPr>
          <w:ilvl w:val="0"/>
          <w:numId w:val="1103"/>
        </w:numPr>
        <w:pStyle w:val="Compact"/>
      </w:pPr>
      <w:r>
        <w:t xml:space="preserve">Programmes de formation technique et professionnelle (installation/maintenance des mini-réseaux et SHS) [1] [V].</w:t>
      </w:r>
    </w:p>
    <w:bookmarkEnd w:id="115"/>
    <w:bookmarkEnd w:id="116"/>
    <w:bookmarkStart w:id="117" w:name="financement-4"/>
    <w:p>
      <w:pPr>
        <w:pStyle w:val="Heading3"/>
      </w:pPr>
      <w:r>
        <w:t xml:space="preserve">4. Financement</w:t>
      </w:r>
    </w:p>
    <w:p>
      <w:pPr>
        <w:numPr>
          <w:ilvl w:val="0"/>
          <w:numId w:val="1104"/>
        </w:numPr>
        <w:pStyle w:val="Compact"/>
      </w:pPr>
      <w:r>
        <w:t xml:space="preserve">Besoin total : 1 051,25 milliards FCFA ≈ 1 753 M USD d’ici 2030 — public 737,225 milliards (70 %), privé 314,025 milliards (30 %) [1, Table 1] [V].</w:t>
      </w:r>
    </w:p>
    <w:p>
      <w:pPr>
        <w:numPr>
          <w:ilvl w:val="0"/>
          <w:numId w:val="1104"/>
        </w:numPr>
        <w:pStyle w:val="Compact"/>
      </w:pPr>
      <w:r>
        <w:t xml:space="preserve">Ventilation (M USD) : production 598 (34 %) ; transport 304 (17 %) ; distribution 112 (6 %) ; mini-réseaux 606 (35 %) ; hors réseau 80 (5 %) ; cuisson 33 (2 %) ; formation/appui 20 (1 %) [1] [V]. Principaux projets : Lobaye 60 MW (358 M USD, public) ; Kotto 64 MW (98,4 M) ; Sakaï 2 (90 M, privé) [1, Table 6] [V].</w:t>
      </w:r>
    </w:p>
    <w:p>
      <w:pPr>
        <w:numPr>
          <w:ilvl w:val="0"/>
          <w:numId w:val="1104"/>
        </w:numPr>
        <w:pStyle w:val="Compact"/>
      </w:pPr>
      <w:r>
        <w:t xml:space="preserve">Engagements cités (Annexe II) [1] [V] :</w:t>
      </w:r>
    </w:p>
    <w:p>
      <w:pPr>
        <w:numPr>
          <w:ilvl w:val="1"/>
          <w:numId w:val="1105"/>
        </w:numPr>
        <w:pStyle w:val="Compact"/>
      </w:pPr>
      <w:r>
        <w:t xml:space="preserve">BM + Fonds vert pour le climat — projet d’accès et de renforcement du secteur (2022-2027) : 113 M USD (85 000 ménages, 15 MWc) ;</w:t>
      </w:r>
    </w:p>
    <w:p>
      <w:pPr>
        <w:numPr>
          <w:ilvl w:val="1"/>
          <w:numId w:val="1105"/>
        </w:numPr>
        <w:pStyle w:val="Compact"/>
      </w:pPr>
      <w:r>
        <w:t xml:space="preserve">PNUD — petites centrales hydro (2018-2028) : 19,303 M USD ; études Lobaye Pont : 2 M USD ;</w:t>
      </w:r>
    </w:p>
    <w:p>
      <w:pPr>
        <w:numPr>
          <w:ilvl w:val="1"/>
          <w:numId w:val="1105"/>
        </w:numPr>
        <w:pStyle w:val="Compact"/>
      </w:pPr>
      <w:r>
        <w:t xml:space="preserve">BAD — interconnexion RCA-RDC (2012-2026) : 1,2 million d’unités de compte.</w:t>
      </w:r>
    </w:p>
    <w:bookmarkEnd w:id="117"/>
    <w:bookmarkStart w:id="118" w:name="calendrier-et-suivi-4"/>
    <w:p>
      <w:pPr>
        <w:pStyle w:val="Heading3"/>
      </w:pPr>
      <w:r>
        <w:t xml:space="preserve">5. Calendrier et suivi</w:t>
      </w:r>
    </w:p>
    <w:p>
      <w:pPr>
        <w:numPr>
          <w:ilvl w:val="0"/>
          <w:numId w:val="1106"/>
        </w:numPr>
        <w:pStyle w:val="Compact"/>
      </w:pPr>
      <w:r>
        <w:rPr>
          <w:bCs/>
          <w:b/>
        </w:rPr>
        <w:t xml:space="preserve">Aucun jalon intermédiaire daté</w:t>
      </w:r>
      <w:r>
        <w:t xml:space="preserve"> </w:t>
      </w:r>
      <w:r>
        <w:t xml:space="preserve">dans le plan d’action : seules des valeurs 2024 et 2030 sont fixées [1, Table 5] [V]. L’Annexe I donne une trajectoire annuelle d’accès 2025-2030 (17,8 / 22,8 / 30 / 37 / 42 / 50 %) [1] [V].</w:t>
      </w:r>
    </w:p>
    <w:p>
      <w:pPr>
        <w:numPr>
          <w:ilvl w:val="0"/>
          <w:numId w:val="1106"/>
        </w:numPr>
        <w:pStyle w:val="Compact"/>
      </w:pPr>
      <w:r>
        <w:t xml:space="preserve">Suivi : Comité de pilotage rattaché à la Primature, présidé par le Premier ministre (Économie, Finances, Énergie) ; cellule de suivi-évaluation et tableau de bord ; financement budget + partenaires [1, §4] [V].</w:t>
      </w:r>
    </w:p>
    <w:bookmarkEnd w:id="118"/>
    <w:bookmarkStart w:id="119" w:name="lecture-critique-2"/>
    <w:p>
      <w:pPr>
        <w:pStyle w:val="Heading3"/>
      </w:pPr>
      <w:r>
        <w:t xml:space="preserve">6. Lecture critique</w:t>
      </w:r>
    </w:p>
    <w:p>
      <w:pPr>
        <w:numPr>
          <w:ilvl w:val="0"/>
          <w:numId w:val="1107"/>
        </w:numPr>
        <w:pStyle w:val="Compact"/>
      </w:pPr>
      <w:r>
        <w:t xml:space="preserve">Réalisme des cibles : multiplier par ~10 le rythme annuel de raccordement (6 800 → 65 500 ménages/an) et passer de 2,8 % à 30 % d’accès rural en 6 ans dans un pays enclavé, à &lt; 10 hab./km², en contexte sécuritaire fragile, est très peu réaliste [1] [E]. La trajectoire de l’Annexe I concentre l’effort en 2026-2028 alors qu’aucun opérateur privé n’existe encore [E]. Hydro +134 MW d’ici 2030 (Lobaye, Kotto) avec des études de 2017 « à actualiser » est improbable dans le délai [1] [E].</w:t>
      </w:r>
    </w:p>
    <w:p>
      <w:pPr>
        <w:numPr>
          <w:ilvl w:val="0"/>
          <w:numId w:val="1107"/>
        </w:numPr>
        <w:pStyle w:val="Compact"/>
      </w:pPr>
      <w:r>
        <w:t xml:space="preserve">Engagements tarifaires :</w:t>
      </w:r>
      <w:r>
        <w:t xml:space="preserve"> </w:t>
      </w:r>
      <w:r>
        <w:rPr>
          <w:bCs/>
          <w:b/>
        </w:rPr>
        <w:t xml:space="preserve">vagues</w:t>
      </w:r>
      <w:r>
        <w:t xml:space="preserve"> </w:t>
      </w:r>
      <w:r>
        <w:t xml:space="preserve">— reconnaissance d’un tarif gelé depuis ~30 ans, mais aucune date, aucune cible de recouvrement des coûts, aucun chiffre de subvention. L’opérateur a des cibles chiffrées (pertes 8 %, recouvrement 95 %, créances 10 milliards) mais sans jalons [E].</w:t>
      </w:r>
    </w:p>
    <w:p>
      <w:pPr>
        <w:numPr>
          <w:ilvl w:val="0"/>
          <w:numId w:val="1107"/>
        </w:numPr>
        <w:pStyle w:val="Compact"/>
      </w:pPr>
      <w:r>
        <w:t xml:space="preserve">Risques principaux : absence de régulateur autonome ; monopole ENERCA ; dépendance quasi totale aux bailleurs (70 % public) ; intégration du solaire sans capacité ferme en pointe (déficit 18h-23h) ; coût du crédit ; sécurité [1] [E].</w:t>
      </w:r>
    </w:p>
    <w:p>
      <w:pPr>
        <w:numPr>
          <w:ilvl w:val="0"/>
          <w:numId w:val="1107"/>
        </w:numPr>
        <w:pStyle w:val="Compact"/>
      </w:pPr>
      <w:r>
        <w:t xml:space="preserve">Points à approfondir : phase 2 — états financiers ENERCA, contrat de performance (existe-t-il un projet ?), dettes croisées ; phase 3 — grille tarifaire actuelle et étude tarifaire 2021, coût de production (diesel/solaire+stockage).</w:t>
      </w:r>
    </w:p>
    <w:bookmarkEnd w:id="119"/>
    <w:bookmarkStart w:id="120" w:name="inconnus-données-non-trouvées-4"/>
    <w:p>
      <w:pPr>
        <w:pStyle w:val="Heading3"/>
      </w:pPr>
      <w:r>
        <w:t xml:space="preserve">7. Inconnus / données non trouvées</w:t>
      </w:r>
    </w:p>
    <w:p>
      <w:pPr>
        <w:numPr>
          <w:ilvl w:val="0"/>
          <w:numId w:val="1108"/>
        </w:numPr>
        <w:pStyle w:val="Compact"/>
      </w:pPr>
      <w:r>
        <w:t xml:space="preserve">Date et lieu exacts de la signature (seule source : presse [3]) [?].</w:t>
      </w:r>
    </w:p>
    <w:p>
      <w:pPr>
        <w:numPr>
          <w:ilvl w:val="0"/>
          <w:numId w:val="1108"/>
        </w:numPr>
        <w:pStyle w:val="Compact"/>
      </w:pPr>
      <w:r>
        <w:t xml:space="preserve">Tarifs, subventions, coût moyen du kWh, état financier d’ENERCA [?].</w:t>
      </w:r>
    </w:p>
    <w:p>
      <w:pPr>
        <w:numPr>
          <w:ilvl w:val="0"/>
          <w:numId w:val="1108"/>
        </w:numPr>
        <w:pStyle w:val="Compact"/>
      </w:pPr>
      <w:r>
        <w:t xml:space="preserve">Calendrier intermédiaire des réformes (révision du Code, création du régulateur) [?].</w:t>
      </w:r>
    </w:p>
    <w:p>
      <w:pPr>
        <w:numPr>
          <w:ilvl w:val="0"/>
          <w:numId w:val="1108"/>
        </w:numPr>
        <w:pStyle w:val="Compact"/>
      </w:pPr>
      <w:r>
        <w:t xml:space="preserve">Montant de la dette d’ENERCA (seules les créances de 52 milliards FCFA sont citées) [?].</w:t>
      </w:r>
    </w:p>
    <w:bookmarkEnd w:id="120"/>
    <w:bookmarkStart w:id="121" w:name="sources-5"/>
    <w:p>
      <w:pPr>
        <w:pStyle w:val="Heading3"/>
      </w:pPr>
      <w:r>
        <w:t xml:space="preserve">Sources</w:t>
      </w:r>
    </w:p>
    <w:p>
      <w:pPr>
        <w:pStyle w:val="FirstParagraph"/>
      </w:pPr>
      <w:r>
        <w:t xml:space="preserve">[1] Gouvernement de la République centrafricaine (MDERH), « Pacte National de l’Énergie — République Centrafricaine », Mission 300, s.d. (PDF créé le 18-06-2026), 36 p. https://www.worldbank.org/content/dam/theworldbankgroupasset/document/2026/m300-energy-compacts/CAR-National-Energy-Compact-Mission-300.pdf, consulté le 2026-10-18.</w:t>
      </w:r>
      <w:r>
        <w:t xml:space="preserve"> </w:t>
      </w:r>
      <w:r>
        <w:t xml:space="preserve">[2] Banque mondiale, « National Energy Compacts » (page de liste ; date « Jun 2026 » affichée pour la République centrafricaine). https://www.worldbank.org/ext/en/energizingafrica/national-energy-compacts, consulté le 2026-10-18.</w:t>
      </w:r>
      <w:r>
        <w:t xml:space="preserve"> </w:t>
      </w:r>
      <w:r>
        <w:t xml:space="preserve">[3] Energy News Network, « Mission 300’s map fills in with six new compacts », 9 juillet 2026. https://energy-news-network.com/?p=17200, consulté le 2026-10-18.</w:t>
      </w:r>
    </w:p>
    <w:p>
      <w:r>
        <w:br w:type="page"/>
      </w:r>
    </w:p>
    <w:bookmarkEnd w:id="121"/>
    <w:bookmarkEnd w:id="122"/>
    <w:bookmarkStart w:id="138" w:name="X09f368d490f814fba644ed67a0379a47ec745e4"/>
    <w:p>
      <w:pPr>
        <w:pStyle w:val="Heading2"/>
      </w:pPr>
      <w:r>
        <w:t xml:space="preserve">Fiche pacte national de l’énergie — Côte d’Ivoire</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123" w:name="métadonnées-5"/>
    <w:p>
      <w:pPr>
        <w:pStyle w:val="Heading3"/>
      </w:pPr>
      <w:r>
        <w:t xml:space="preserve">0. Métadonnées</w:t>
      </w:r>
    </w:p>
    <w:p>
      <w:pPr>
        <w:numPr>
          <w:ilvl w:val="0"/>
          <w:numId w:val="1109"/>
        </w:numPr>
        <w:pStyle w:val="Compact"/>
      </w:pPr>
      <w:r>
        <w:rPr>
          <w:bCs/>
          <w:b/>
        </w:rPr>
        <w:t xml:space="preserve">Cohorte / date de présentation</w:t>
      </w:r>
      <w:r>
        <w:t xml:space="preserve"> </w:t>
      </w:r>
      <w:r>
        <w:t xml:space="preserve">: présenté en janvier 2025 au Sommet africain de l’énergie de Dar es Salaam, dans la première cohorte de 12 pays [2] [V]. Le pacte lui-même parle d’une « signature initiale du Pacte en janvier 2025 en Tanzanie » [1, §1.4] [V].</w:t>
      </w:r>
    </w:p>
    <w:p>
      <w:pPr>
        <w:numPr>
          <w:ilvl w:val="0"/>
          <w:numId w:val="1109"/>
        </w:numPr>
        <w:pStyle w:val="Compact"/>
      </w:pPr>
      <w:r>
        <w:rPr>
          <w:bCs/>
          <w:b/>
        </w:rPr>
        <w:t xml:space="preserve">Document consulté</w:t>
      </w:r>
      <w:r>
        <w:t xml:space="preserve"> </w:t>
      </w:r>
      <w:r>
        <w:t xml:space="preserve">: « Pacte National Énergie pour la République de Côte d’Ivoire », daté « Janvier 2025 », en français, 43 pages. PDF hébergé par la Banque mondiale [1]. Consulté aussi : « Mission 300 Compact Progress Report — Côte d’Ivoire, Q1 2026 » (mars 2026, en anglais, 7 pages) [2].</w:t>
      </w:r>
    </w:p>
    <w:p>
      <w:pPr>
        <w:numPr>
          <w:ilvl w:val="0"/>
          <w:numId w:val="1109"/>
        </w:numPr>
        <w:pStyle w:val="Compact"/>
      </w:pPr>
      <w:r>
        <w:rPr>
          <w:bCs/>
          <w:b/>
        </w:rPr>
        <w:t xml:space="preserve">Accès au texte intégral</w:t>
      </w:r>
      <w:r>
        <w:t xml:space="preserve"> </w:t>
      </w:r>
      <w:r>
        <w:t xml:space="preserve">:</w:t>
      </w:r>
      <w:r>
        <w:t xml:space="preserve"> </w:t>
      </w:r>
      <w:r>
        <w:rPr>
          <w:bCs/>
          <w:b/>
        </w:rPr>
        <w:t xml:space="preserve">oui</w:t>
      </w:r>
      <w:r>
        <w:t xml:space="preserve"> </w:t>
      </w:r>
      <w:r>
        <w:t xml:space="preserve">(PDF complet téléchargé et texte extrait).</w:t>
      </w:r>
    </w:p>
    <w:p>
      <w:pPr>
        <w:numPr>
          <w:ilvl w:val="0"/>
          <w:numId w:val="1109"/>
        </w:numPr>
        <w:pStyle w:val="Compact"/>
      </w:pPr>
      <w:r>
        <w:rPr>
          <w:bCs/>
          <w:b/>
        </w:rPr>
        <w:t xml:space="preserve">Opérateur(s) national(aux)</w:t>
      </w:r>
      <w:r>
        <w:t xml:space="preserve"> </w:t>
      </w:r>
      <w:r>
        <w:t xml:space="preserve">: CI-ENERGIES (société d’État de patrimoine, créée par décret n° 2011-472 du 21/12/2011) ; CIE (Compagnie Ivoirienne d’Électricité), opérateur privé qui exploite les ouvrages concédés de l’État. Le dispatching reste un monopole d’État [1, §2.1.7] [V]. Cinq IPP sont cités : CIPREL, AZITO Energie, ATINKOU, Aggreko, EMEA Energy Venture-Karpower [1] [V].</w:t>
      </w:r>
    </w:p>
    <w:p>
      <w:pPr>
        <w:numPr>
          <w:ilvl w:val="0"/>
          <w:numId w:val="1109"/>
        </w:numPr>
        <w:pStyle w:val="Compact"/>
      </w:pPr>
      <w:r>
        <w:rPr>
          <w:bCs/>
          <w:b/>
        </w:rPr>
        <w:t xml:space="preserve">Régulateur</w:t>
      </w:r>
      <w:r>
        <w:t xml:space="preserve"> </w:t>
      </w:r>
      <w:r>
        <w:t xml:space="preserve">: ANARE-CI (Autorité Nationale de Régulation du Secteur de l’Électricité), autorité administrative indépendante créée par décret du 12/10/2016 [1, §2.1.7] [V].</w:t>
      </w:r>
    </w:p>
    <w:bookmarkEnd w:id="123"/>
    <w:bookmarkStart w:id="124" w:name="situation-de-départ-selon-le-pacte-5"/>
    <w:p>
      <w:pPr>
        <w:pStyle w:val="Heading3"/>
      </w:pPr>
      <w:r>
        <w:t xml:space="preserve">1. Situation de départ (selon le pacte)</w:t>
      </w:r>
    </w:p>
    <w:p>
      <w:pPr>
        <w:numPr>
          <w:ilvl w:val="0"/>
          <w:numId w:val="1110"/>
        </w:numPr>
        <w:pStyle w:val="Compact"/>
      </w:pPr>
      <w:r>
        <w:rPr>
          <w:bCs/>
          <w:b/>
        </w:rPr>
        <w:t xml:space="preserve">Taux d’accès</w:t>
      </w:r>
      <w:r>
        <w:t xml:space="preserve"> </w:t>
      </w:r>
      <w:r>
        <w:t xml:space="preserve">: le pacte retient comme indicateur le</w:t>
      </w:r>
      <w:r>
        <w:t xml:space="preserve"> </w:t>
      </w:r>
      <w:r>
        <w:rPr>
          <w:iCs/>
          <w:i/>
        </w:rPr>
        <w:t xml:space="preserve">taux de desserte</w:t>
      </w:r>
      <w:r>
        <w:t xml:space="preserve"> </w:t>
      </w:r>
      <w:r>
        <w:t xml:space="preserve">(ménages raccordés / total des ménages), soit</w:t>
      </w:r>
      <w:r>
        <w:t xml:space="preserve"> </w:t>
      </w:r>
      <w:r>
        <w:rPr>
          <w:bCs/>
          <w:b/>
        </w:rPr>
        <w:t xml:space="preserve">64 % fin 2023</w:t>
      </w:r>
      <w:r>
        <w:t xml:space="preserve"> </w:t>
      </w:r>
      <w:r>
        <w:t xml:space="preserve">(4 040 965 ménages, environ 20 M d’habitants) [1, Tab. 2] [V]. Le pacte cite aussi un</w:t>
      </w:r>
      <w:r>
        <w:t xml:space="preserve"> </w:t>
      </w:r>
      <w:r>
        <w:rPr>
          <w:iCs/>
          <w:i/>
        </w:rPr>
        <w:t xml:space="preserve">taux d’accès</w:t>
      </w:r>
      <w:r>
        <w:t xml:space="preserve"> </w:t>
      </w:r>
      <w:r>
        <w:t xml:space="preserve">(population vivant dans une localité électrifiée) de</w:t>
      </w:r>
      <w:r>
        <w:t xml:space="preserve"> </w:t>
      </w:r>
      <w:r>
        <w:rPr>
          <w:bCs/>
          <w:b/>
        </w:rPr>
        <w:t xml:space="preserve">97,2 % en 2023</w:t>
      </w:r>
      <w:r>
        <w:t xml:space="preserve"> </w:t>
      </w:r>
      <w:r>
        <w:t xml:space="preserve">et un taux de couverture des localités de 88,1 % (2023) [1, §2.1.4] [V]. Aucune ventilation urbain/rural n’est donnée → [?].</w:t>
      </w:r>
    </w:p>
    <w:p>
      <w:pPr>
        <w:numPr>
          <w:ilvl w:val="0"/>
          <w:numId w:val="1110"/>
        </w:numPr>
        <w:pStyle w:val="Compact"/>
      </w:pPr>
      <w:r>
        <w:rPr>
          <w:bCs/>
          <w:b/>
        </w:rPr>
        <w:t xml:space="preserve">Population sans accès</w:t>
      </w:r>
      <w:r>
        <w:t xml:space="preserve"> </w:t>
      </w:r>
      <w:r>
        <w:t xml:space="preserve">: non chiffrée en tant que telle. Le pacte vise environ 17 M de personnes supplémentaires d’ici 2030 [1, §1] [V]. Pour 2023, il indique une population de 31 M d’habitants [1, §2.1.1] [V].</w:t>
      </w:r>
    </w:p>
    <w:p>
      <w:pPr>
        <w:numPr>
          <w:ilvl w:val="0"/>
          <w:numId w:val="1110"/>
        </w:numPr>
        <w:pStyle w:val="Compact"/>
      </w:pPr>
      <w:r>
        <w:rPr>
          <w:bCs/>
          <w:b/>
        </w:rPr>
        <w:t xml:space="preserve">Capacité installée, mix</w:t>
      </w:r>
      <w:r>
        <w:t xml:space="preserve"> </w:t>
      </w:r>
      <w:r>
        <w:t xml:space="preserve">:</w:t>
      </w:r>
      <w:r>
        <w:t xml:space="preserve"> </w:t>
      </w:r>
      <w:r>
        <w:rPr>
          <w:bCs/>
          <w:b/>
        </w:rPr>
        <w:t xml:space="preserve">2 907 MW fin 2023</w:t>
      </w:r>
      <w:r>
        <w:t xml:space="preserve"> </w:t>
      </w:r>
      <w:r>
        <w:t xml:space="preserve">(69 % thermique, 30 % hydraulique, 1 % solaire), contre 1 391 MW en 2011 [1, §2.1.5] [V]. Les renouvelables représentent 909 MW, soit 31 % de la capacité [1, Tab. 4] [V], et 3 224 GWh, soit 24 % de la production en 2023 [1, note 15] [V]. Production 2023 : 13 345 GWh [1, Ann. II] [V]. Les IPP détiennent environ 65 % du parc installé [1, §2.1.5] [V].</w:t>
      </w:r>
    </w:p>
    <w:p>
      <w:pPr>
        <w:numPr>
          <w:ilvl w:val="0"/>
          <w:numId w:val="1110"/>
        </w:numPr>
        <w:pStyle w:val="Compact"/>
      </w:pPr>
      <w:r>
        <w:rPr>
          <w:bCs/>
          <w:b/>
        </w:rPr>
        <w:t xml:space="preserve">Cuisson propre</w:t>
      </w:r>
      <w:r>
        <w:t xml:space="preserve"> </w:t>
      </w:r>
      <w:r>
        <w:t xml:space="preserve">: environ 20 % de la population utilise le butane (2023) ; 9 % a accès aux foyers améliorés (2021) [1, Tab. 2] [V]. Le bois-énergie est utilisé par plus de 70 % des ménages [1, §2.1.3] [V].</w:t>
      </w:r>
    </w:p>
    <w:bookmarkEnd w:id="124"/>
    <w:bookmarkStart w:id="125" w:name="cibles-2030-5"/>
    <w:p>
      <w:pPr>
        <w:pStyle w:val="Heading3"/>
      </w:pPr>
      <w:r>
        <w:t xml:space="preserve">2. Cibles 2030</w:t>
      </w:r>
    </w:p>
    <w:p>
      <w:pPr>
        <w:numPr>
          <w:ilvl w:val="0"/>
          <w:numId w:val="1111"/>
        </w:numPr>
        <w:pStyle w:val="Compact"/>
      </w:pPr>
      <w:r>
        <w:rPr>
          <w:bCs/>
          <w:b/>
        </w:rPr>
        <w:t xml:space="preserve">Accès électricité</w:t>
      </w:r>
      <w:r>
        <w:t xml:space="preserve"> </w:t>
      </w:r>
      <w:r>
        <w:t xml:space="preserve">: taux de desserte de</w:t>
      </w:r>
      <w:r>
        <w:t xml:space="preserve"> </w:t>
      </w:r>
      <w:r>
        <w:rPr>
          <w:bCs/>
          <w:b/>
        </w:rPr>
        <w:t xml:space="preserve">100 % en 2030</w:t>
      </w:r>
      <w:r>
        <w:t xml:space="preserve">, soit 7 107 077 ménages (environ 37 M d’habitants) [1, Tab. 2] [V]. Le rythme visé est d’environ 550 000 ménages par an en 2025-2027, puis 400 000 par an en 2028-2030 [1, Tab. 2] [V]. Ventilation 2030 en nombre d’habitants (Tab. 3) : 11,2 M de plus par le réseau, 3,2 M par mini-réseaux, 2,6 M par kits solaires [1, Tab. 3] [V]. Le pacte précise que ces prévisions « sont susceptibles d’évoluer ».</w:t>
      </w:r>
    </w:p>
    <w:p>
      <w:pPr>
        <w:numPr>
          <w:ilvl w:val="0"/>
          <w:numId w:val="1111"/>
        </w:numPr>
        <w:pStyle w:val="Compact"/>
      </w:pPr>
      <w:r>
        <w:rPr>
          <w:bCs/>
          <w:b/>
        </w:rPr>
        <w:t xml:space="preserve">Renouvelables</w:t>
      </w:r>
      <w:r>
        <w:t xml:space="preserve"> </w:t>
      </w:r>
      <w:r>
        <w:t xml:space="preserve">:</w:t>
      </w:r>
      <w:r>
        <w:t xml:space="preserve"> </w:t>
      </w:r>
      <w:r>
        <w:rPr>
          <w:bCs/>
          <w:b/>
        </w:rPr>
        <w:t xml:space="preserve">45 % du mix électrique</w:t>
      </w:r>
      <w:r>
        <w:t xml:space="preserve"> </w:t>
      </w:r>
      <w:r>
        <w:t xml:space="preserve">(33 % hydro, 12 % biomasse et solaire). Cela suppose 1 374 MW additionnels (829 MW hydro, 399 MW solaire, 146 MW biomasse), pour un parc renouvelable de 2 283 MW sur 5 128 MW au total [1, Tab. 4] [V]. Capacité totale multipliée par 1,7 [1, §1] [V].</w:t>
      </w:r>
    </w:p>
    <w:p>
      <w:pPr>
        <w:numPr>
          <w:ilvl w:val="0"/>
          <w:numId w:val="1111"/>
        </w:numPr>
        <w:pStyle w:val="Compact"/>
      </w:pPr>
      <w:r>
        <w:rPr>
          <w:bCs/>
          <w:b/>
        </w:rPr>
        <w:t xml:space="preserve">Cuisson propre</w:t>
      </w:r>
      <w:r>
        <w:t xml:space="preserve"> </w:t>
      </w:r>
      <w:r>
        <w:t xml:space="preserve">:</w:t>
      </w:r>
      <w:r>
        <w:t xml:space="preserve"> </w:t>
      </w:r>
      <w:r>
        <w:rPr>
          <w:bCs/>
          <w:b/>
        </w:rPr>
        <w:t xml:space="preserve">50 %</w:t>
      </w:r>
      <w:r>
        <w:t xml:space="preserve"> </w:t>
      </w:r>
      <w:r>
        <w:t xml:space="preserve">de la population utilisant des combustibles modernes, soit +2,4 M de ménages ; 16 % de la population équipée de foyers améliorés d’ici 2030 [1, §1 et Tab. 2] [V].</w:t>
      </w:r>
    </w:p>
    <w:p>
      <w:pPr>
        <w:numPr>
          <w:ilvl w:val="0"/>
          <w:numId w:val="1111"/>
        </w:numPr>
        <w:pStyle w:val="Compact"/>
      </w:pPr>
      <w:r>
        <w:rPr>
          <w:bCs/>
          <w:b/>
        </w:rPr>
        <w:t xml:space="preserve">Autres cibles chiffrées</w:t>
      </w:r>
      <w:r>
        <w:t xml:space="preserve"> </w:t>
      </w:r>
      <w:r>
        <w:t xml:space="preserve">:</w:t>
      </w:r>
    </w:p>
    <w:p>
      <w:pPr>
        <w:numPr>
          <w:ilvl w:val="1"/>
          <w:numId w:val="1112"/>
        </w:numPr>
        <w:pStyle w:val="Compact"/>
      </w:pPr>
      <w:r>
        <w:t xml:space="preserve">capitaux privés :</w:t>
      </w:r>
      <w:r>
        <w:t xml:space="preserve"> </w:t>
      </w:r>
      <w:r>
        <w:rPr>
          <w:bCs/>
          <w:b/>
        </w:rPr>
        <w:t xml:space="preserve">2 Md USD</w:t>
      </w:r>
      <w:r>
        <w:t xml:space="preserve"> </w:t>
      </w:r>
      <w:r>
        <w:t xml:space="preserve">[1, §1] [V] (1 177 Md FCFA, soit 1 940 M USD, pour la production et le hors-réseau [1, Tab. 4]) ;</w:t>
      </w:r>
    </w:p>
    <w:p>
      <w:pPr>
        <w:numPr>
          <w:ilvl w:val="1"/>
          <w:numId w:val="1112"/>
        </w:numPr>
        <w:pStyle w:val="Compact"/>
      </w:pPr>
      <w:r>
        <w:t xml:space="preserve">exportations :</w:t>
      </w:r>
      <w:r>
        <w:t xml:space="preserve"> </w:t>
      </w:r>
      <w:r>
        <w:rPr>
          <w:bCs/>
          <w:b/>
        </w:rPr>
        <w:t xml:space="preserve">2 268 GWh en 2030</w:t>
      </w:r>
      <w:r>
        <w:t xml:space="preserve">, soit plus de 115 % d’augmentation [1, Tab. 5] [V] ;</w:t>
      </w:r>
    </w:p>
    <w:p>
      <w:pPr>
        <w:numPr>
          <w:ilvl w:val="1"/>
          <w:numId w:val="1112"/>
        </w:numPr>
        <w:pStyle w:val="Compact"/>
      </w:pPr>
      <w:r>
        <w:t xml:space="preserve">réseau de transport porté à 10 212 km et réseau de distribution à 93 848 km. Le texte écrit « D’ici à 2023 », probablement une coquille pour 2030 [1, Tab. 6] [V pour le chiffre, E pour l’année] ;</w:t>
      </w:r>
    </w:p>
    <w:p>
      <w:pPr>
        <w:numPr>
          <w:ilvl w:val="1"/>
          <w:numId w:val="1112"/>
        </w:numPr>
        <w:pStyle w:val="Compact"/>
      </w:pPr>
      <w:r>
        <w:t xml:space="preserve">6 319 428 t CO2e évitées d’ici 2030 [1, Tab. 5] [V].</w:t>
      </w:r>
    </w:p>
    <w:bookmarkEnd w:id="125"/>
    <w:bookmarkStart w:id="132" w:name="réformes-promises-2"/>
    <w:p>
      <w:pPr>
        <w:pStyle w:val="Heading3"/>
      </w:pPr>
      <w:r>
        <w:t xml:space="preserve">3. Réformes promises</w:t>
      </w:r>
    </w:p>
    <w:bookmarkStart w:id="126" w:name="tarifs-et-subventions-5"/>
    <w:p>
      <w:pPr>
        <w:pStyle w:val="Heading4"/>
      </w:pPr>
      <w:r>
        <w:t xml:space="preserve">3.1 Tarifs et subventions</w:t>
      </w:r>
    </w:p>
    <w:p>
      <w:pPr>
        <w:numPr>
          <w:ilvl w:val="0"/>
          <w:numId w:val="1113"/>
        </w:numPr>
        <w:pStyle w:val="Compact"/>
      </w:pPr>
      <w:r>
        <w:t xml:space="preserve">Adoption,</w:t>
      </w:r>
      <w:r>
        <w:t xml:space="preserve"> </w:t>
      </w:r>
      <w:r>
        <w:rPr>
          <w:bCs/>
          <w:b/>
        </w:rPr>
        <w:t xml:space="preserve">au plus tard fin du 1er semestre 2025</w:t>
      </w:r>
      <w:r>
        <w:t xml:space="preserve">, d’un « plan global d’assainissement durable de la situation financière du secteur de l’électricité, visant à poursuivre la convergence des tarifs vers les coûts réels » [1, §2.5] [V]. Ce plan doit trancher cinq points : (i) l’optimisation de la structure tarifaire ; (ii) la régularité des ajustements tarifaires ; (iii) le recouvrement des factures de l’Administration ; (iv) le traitement des dettes d’investissement, y compris celles rétrocédées à CI-ENERGIES ; (v) la révision du modèle économique de CI-ENERGIES et du schéma de financement public [1, §2.5] [V].</w:t>
      </w:r>
    </w:p>
    <w:p>
      <w:pPr>
        <w:numPr>
          <w:ilvl w:val="0"/>
          <w:numId w:val="1113"/>
        </w:numPr>
        <w:pStyle w:val="Compact"/>
      </w:pPr>
      <w:r>
        <w:t xml:space="preserve">Le pacte ne donne</w:t>
      </w:r>
      <w:r>
        <w:t xml:space="preserve"> </w:t>
      </w:r>
      <w:r>
        <w:rPr>
          <w:bCs/>
          <w:b/>
        </w:rPr>
        <w:t xml:space="preserve">aucune trajectoire chiffrée</w:t>
      </w:r>
      <w:r>
        <w:t xml:space="preserve"> </w:t>
      </w:r>
      <w:r>
        <w:t xml:space="preserve">de hausse tarifaire ni de date de recouvrement intégral des coûts. Pour l’indicateur « services publics recouvrant au moins 100 % de leurs coûts d’exploitation », il indique « Non » (2024) et mentionne une « situation de quasi-équilibre sans les aléas du système d’exploitation » [1, Tab. 5] [V].</w:t>
      </w:r>
    </w:p>
    <w:p>
      <w:pPr>
        <w:numPr>
          <w:ilvl w:val="0"/>
          <w:numId w:val="1113"/>
        </w:numPr>
        <w:pStyle w:val="Compact"/>
      </w:pPr>
      <w:r>
        <w:t xml:space="preserve">Tarif moyen pour l’utilisateur final : 68,93 FCFA/kWh (2021), 68,42 (2022),</w:t>
      </w:r>
      <w:r>
        <w:t xml:space="preserve"> </w:t>
      </w:r>
      <w:r>
        <w:rPr>
          <w:bCs/>
          <w:b/>
        </w:rPr>
        <w:t xml:space="preserve">71,03 FCFA/kWh (2023)</w:t>
      </w:r>
      <w:r>
        <w:t xml:space="preserve">, soit environ 0,12 USD/kWh [1, Ann. II] [V]. Le niveau paraît bas ; la définition exacte est à vérifier en phase 3.</w:t>
      </w:r>
    </w:p>
    <w:p>
      <w:pPr>
        <w:numPr>
          <w:ilvl w:val="0"/>
          <w:numId w:val="1113"/>
        </w:numPr>
        <w:pStyle w:val="Compact"/>
      </w:pPr>
      <w:r>
        <w:t xml:space="preserve">Subvention totale : 39 846 MFCFA, soit 72 M USD (2022), et</w:t>
      </w:r>
      <w:r>
        <w:t xml:space="preserve"> </w:t>
      </w:r>
      <w:r>
        <w:rPr>
          <w:bCs/>
          <w:b/>
        </w:rPr>
        <w:t xml:space="preserve">130 000 MFCFA, soit 234 M USD (2023)</w:t>
      </w:r>
      <w:r>
        <w:t xml:space="preserve"> </w:t>
      </w:r>
      <w:r>
        <w:t xml:space="preserve">[1, Ann. II] [V].</w:t>
      </w:r>
    </w:p>
    <w:p>
      <w:pPr>
        <w:numPr>
          <w:ilvl w:val="0"/>
          <w:numId w:val="1113"/>
        </w:numPr>
        <w:pStyle w:val="Compact"/>
      </w:pPr>
      <w:r>
        <w:t xml:space="preserve">Des ajustements tarifaires ont eu lieu en 2023 ; le solde d’exploitation est passé de -87,1 M USD (2022) à +49,6 M USD (2023) [1, Tab. 6] [V].</w:t>
      </w:r>
    </w:p>
    <w:p>
      <w:pPr>
        <w:numPr>
          <w:ilvl w:val="0"/>
          <w:numId w:val="1113"/>
        </w:numPr>
        <w:pStyle w:val="Compact"/>
      </w:pPr>
      <w:r>
        <w:t xml:space="preserve">Tarif social prévu par le décret n° 2016-786 [1, Tab. 5] [V].</w:t>
      </w:r>
    </w:p>
    <w:p>
      <w:pPr>
        <w:numPr>
          <w:ilvl w:val="0"/>
          <w:numId w:val="1113"/>
        </w:numPr>
        <w:pStyle w:val="Compact"/>
      </w:pPr>
      <w:r>
        <w:t xml:space="preserve">Butane : la recharge des bouteilles est subventionnée à environ</w:t>
      </w:r>
      <w:r>
        <w:t xml:space="preserve"> </w:t>
      </w:r>
      <w:r>
        <w:rPr>
          <w:bCs/>
          <w:b/>
        </w:rPr>
        <w:t xml:space="preserve">50 %</w:t>
      </w:r>
      <w:r>
        <w:t xml:space="preserve"> </w:t>
      </w:r>
      <w:r>
        <w:t xml:space="preserve">(programme en place depuis 1993). Le pacte s’engage à « maintenir le soutien financier au butane » [1, §2.3.2 et §2.1.3] [V].</w:t>
      </w:r>
    </w:p>
    <w:p>
      <w:pPr>
        <w:numPr>
          <w:ilvl w:val="0"/>
          <w:numId w:val="1113"/>
        </w:numPr>
        <w:pStyle w:val="Compact"/>
      </w:pPr>
      <w:r>
        <w:rPr>
          <w:bCs/>
          <w:b/>
        </w:rPr>
        <w:t xml:space="preserve">Suivi</w:t>
      </w:r>
      <w:r>
        <w:t xml:space="preserve"> </w:t>
      </w:r>
      <w:r>
        <w:t xml:space="preserve">: au rapport de mars 2026, l’action prioritaire « Optimiser la structure tarifaire et régulariser les ajustements tarifaires » (échéance 30/06/2025) et l’action « Définir une stratégie d’amélioration de la situation financière des services publics » (échéance 31/12/2025) sont toutes deux</w:t>
      </w:r>
      <w:r>
        <w:t xml:space="preserve"> </w:t>
      </w:r>
      <w:r>
        <w:rPr>
          <w:bCs/>
          <w:b/>
        </w:rPr>
        <w:t xml:space="preserve">« Delayed »</w:t>
      </w:r>
      <w:r>
        <w:t xml:space="preserve"> </w:t>
      </w:r>
      <w:r>
        <w:t xml:space="preserve">[2] [V].</w:t>
      </w:r>
    </w:p>
    <w:bookmarkEnd w:id="126"/>
    <w:bookmarkStart w:id="127" w:name="opérateur-2"/>
    <w:p>
      <w:pPr>
        <w:pStyle w:val="Heading4"/>
      </w:pPr>
      <w:r>
        <w:t xml:space="preserve">3.2 Opérateur</w:t>
      </w:r>
    </w:p>
    <w:p>
      <w:pPr>
        <w:numPr>
          <w:ilvl w:val="0"/>
          <w:numId w:val="1114"/>
        </w:numPr>
        <w:pStyle w:val="Compact"/>
      </w:pPr>
      <w:r>
        <w:t xml:space="preserve">Révision du modèle économique de CI-ENERGIES et traitement de ses dettes [1, §2.5] [V].</w:t>
      </w:r>
    </w:p>
    <w:p>
      <w:pPr>
        <w:numPr>
          <w:ilvl w:val="0"/>
          <w:numId w:val="1114"/>
        </w:numPr>
        <w:pStyle w:val="Compact"/>
      </w:pPr>
      <w:r>
        <w:t xml:space="preserve">Amélioration du recouvrement des factures de l’Administration [1, §2.5] [V]. Créances sur l’Administration : 28 058 M FCFA (2022) et 28 185 M FCFA (2023) [1, Ann. II] [V].</w:t>
      </w:r>
    </w:p>
    <w:p>
      <w:pPr>
        <w:numPr>
          <w:ilvl w:val="0"/>
          <w:numId w:val="1114"/>
        </w:numPr>
        <w:pStyle w:val="Compact"/>
      </w:pPr>
      <w:r>
        <w:t xml:space="preserve">Dette envers les IPP : 70 711 MFCFA, soit 127 M USD (2021) ; 240 659 MFCFA, soit 385 M USD (2022) ;</w:t>
      </w:r>
      <w:r>
        <w:t xml:space="preserve"> </w:t>
      </w:r>
      <w:r>
        <w:rPr>
          <w:bCs/>
          <w:b/>
        </w:rPr>
        <w:t xml:space="preserve">364 180 MFCFA, soit 600 M USD (2023)</w:t>
      </w:r>
      <w:r>
        <w:t xml:space="preserve"> </w:t>
      </w:r>
      <w:r>
        <w:t xml:space="preserve">[1, Ann. II] [V].</w:t>
      </w:r>
    </w:p>
    <w:p>
      <w:pPr>
        <w:numPr>
          <w:ilvl w:val="0"/>
          <w:numId w:val="1114"/>
        </w:numPr>
        <w:pStyle w:val="Compact"/>
      </w:pPr>
      <w:r>
        <w:t xml:space="preserve">Créances à l’export impayées : 130,021 Md FCFA en 2023, dont 106,288 Md FCFA dus par le Mali (EDM) [1, note 26, citant le rapport de gestion 2023 de CI-ENERGIES] [V].</w:t>
      </w:r>
    </w:p>
    <w:p>
      <w:pPr>
        <w:numPr>
          <w:ilvl w:val="0"/>
          <w:numId w:val="1114"/>
        </w:numPr>
        <w:pStyle w:val="Compact"/>
      </w:pPr>
      <w:r>
        <w:t xml:space="preserve">Performance 2023 : rendement global 84,99 %, énergie non distribuée 38,83 GWh, SAIFI 22,00, SAIDI 19,50 h [1, Tab. 6] [V]. Les pertes ATC&amp;C ne sont</w:t>
      </w:r>
      <w:r>
        <w:t xml:space="preserve"> </w:t>
      </w:r>
      <w:r>
        <w:rPr>
          <w:bCs/>
          <w:b/>
        </w:rPr>
        <w:t xml:space="preserve">pas renseignées</w:t>
      </w:r>
      <w:r>
        <w:t xml:space="preserve"> </w:t>
      </w:r>
      <w:r>
        <w:t xml:space="preserve">(la case de l’annexe est vide) [1, Ann. II] [V].</w:t>
      </w:r>
    </w:p>
    <w:p>
      <w:pPr>
        <w:numPr>
          <w:ilvl w:val="0"/>
          <w:numId w:val="1114"/>
        </w:numPr>
        <w:pStyle w:val="Compact"/>
      </w:pPr>
      <w:r>
        <w:t xml:space="preserve">Compteurs : 4 040 965 clients avec compteur et</w:t>
      </w:r>
      <w:r>
        <w:t xml:space="preserve"> </w:t>
      </w:r>
      <w:r>
        <w:rPr>
          <w:bCs/>
          <w:b/>
        </w:rPr>
        <w:t xml:space="preserve">2 748 862 clients BT prépayés</w:t>
      </w:r>
      <w:r>
        <w:t xml:space="preserve"> </w:t>
      </w:r>
      <w:r>
        <w:t xml:space="preserve">en 2023 [1, Ann. II] [V].</w:t>
      </w:r>
    </w:p>
    <w:p>
      <w:pPr>
        <w:numPr>
          <w:ilvl w:val="0"/>
          <w:numId w:val="1114"/>
        </w:numPr>
        <w:pStyle w:val="Compact"/>
      </w:pPr>
      <w:r>
        <w:t xml:space="preserve">Pas de contrat de performance explicite avec la CIE. Les états financiers de CI-ENERGIES et de la CIE sont certifiés par des commissaires aux comptes [1, Tab. 6] [V].</w:t>
      </w:r>
    </w:p>
    <w:bookmarkEnd w:id="127"/>
    <w:bookmarkStart w:id="128" w:name="régulation-et-gouvernance-3"/>
    <w:p>
      <w:pPr>
        <w:pStyle w:val="Heading4"/>
      </w:pPr>
      <w:r>
        <w:t xml:space="preserve">3.3 Régulation et gouvernance</w:t>
      </w:r>
    </w:p>
    <w:p>
      <w:pPr>
        <w:numPr>
          <w:ilvl w:val="0"/>
          <w:numId w:val="1115"/>
        </w:numPr>
        <w:pStyle w:val="Compact"/>
      </w:pPr>
      <w:r>
        <w:t xml:space="preserve">Cadre de suivi-évaluation défini par décret ou arrêté, avec un comité de pilotage et des rapports périodiques [1, §4] [V].</w:t>
      </w:r>
    </w:p>
    <w:p>
      <w:pPr>
        <w:numPr>
          <w:ilvl w:val="0"/>
          <w:numId w:val="1115"/>
        </w:numPr>
        <w:pStyle w:val="Compact"/>
      </w:pPr>
      <w:r>
        <w:t xml:space="preserve">Renforcement des capacités institutionnelles et stratégie RH [1, §3] [V].</w:t>
      </w:r>
    </w:p>
    <w:p>
      <w:pPr>
        <w:numPr>
          <w:ilvl w:val="0"/>
          <w:numId w:val="1115"/>
        </w:numPr>
        <w:pStyle w:val="Compact"/>
      </w:pPr>
      <w:r>
        <w:t xml:space="preserve">Révision des textes sur l’autoproduction et sur les mini-réseaux en 2025 [1, Tab. 5] [V].</w:t>
      </w:r>
    </w:p>
    <w:p>
      <w:pPr>
        <w:numPr>
          <w:ilvl w:val="0"/>
          <w:numId w:val="1115"/>
        </w:numPr>
        <w:pStyle w:val="Compact"/>
      </w:pPr>
      <w:r>
        <w:t xml:space="preserve">Finalisation, d’ici fin 2025, des plans directeurs PDAT-SG, PDELR (2025-2040) et PDEHR [1, §2.1.1] [V].</w:t>
      </w:r>
    </w:p>
    <w:bookmarkEnd w:id="128"/>
    <w:bookmarkStart w:id="129" w:name="participation-du-privé-2"/>
    <w:p>
      <w:pPr>
        <w:pStyle w:val="Heading4"/>
      </w:pPr>
      <w:r>
        <w:t xml:space="preserve">3.4 Participation du privé</w:t>
      </w:r>
    </w:p>
    <w:p>
      <w:pPr>
        <w:numPr>
          <w:ilvl w:val="0"/>
          <w:numId w:val="1116"/>
        </w:numPr>
        <w:pStyle w:val="Compact"/>
      </w:pPr>
      <w:r>
        <w:t xml:space="preserve">Appels d’offres concurrentiels conformes au Code de l’électricité (2014) et au Code des investissements (2018). Le processus de contractualisation doit être rationalisé d’ici fin juin 2025, avec recours systématique aux appels d’offres pour 2025-2030 [1, §2.1.2] [V].</w:t>
      </w:r>
    </w:p>
    <w:p>
      <w:pPr>
        <w:numPr>
          <w:ilvl w:val="0"/>
          <w:numId w:val="1116"/>
        </w:numPr>
        <w:pStyle w:val="Compact"/>
      </w:pPr>
      <w:r>
        <w:t xml:space="preserve">L’appel d’offres Scaling Solar de 90 MW doit servir de prix de référence [1, Tab. 5] [V].</w:t>
      </w:r>
    </w:p>
    <w:p>
      <w:pPr>
        <w:numPr>
          <w:ilvl w:val="0"/>
          <w:numId w:val="1116"/>
        </w:numPr>
        <w:pStyle w:val="Compact"/>
      </w:pPr>
      <w:r>
        <w:t xml:space="preserve">Réforme de la vente des excédents d’autoproduction : lancée en 2025, appliquée fin 2025 [1, §2.4.1] [V]. Statut</w:t>
      </w:r>
      <w:r>
        <w:t xml:space="preserve"> </w:t>
      </w:r>
      <w:r>
        <w:rPr>
          <w:bCs/>
          <w:b/>
        </w:rPr>
        <w:t xml:space="preserve">« Delayed »</w:t>
      </w:r>
      <w:r>
        <w:t xml:space="preserve"> </w:t>
      </w:r>
      <w:r>
        <w:t xml:space="preserve">en mars 2026 [2] [V].</w:t>
      </w:r>
    </w:p>
    <w:p>
      <w:pPr>
        <w:numPr>
          <w:ilvl w:val="0"/>
          <w:numId w:val="1116"/>
        </w:numPr>
        <w:pStyle w:val="Compact"/>
      </w:pPr>
      <w:r>
        <w:t xml:space="preserve">Processus rationalisé pour les mini-réseaux privés (licences, tarifs, intégration au réseau) d’ici fin 2025 [1, §2.4.2] [V]. Statut</w:t>
      </w:r>
      <w:r>
        <w:t xml:space="preserve"> </w:t>
      </w:r>
      <w:r>
        <w:rPr>
          <w:bCs/>
          <w:b/>
        </w:rPr>
        <w:t xml:space="preserve">« Delayed »</w:t>
      </w:r>
      <w:r>
        <w:t xml:space="preserve"> </w:t>
      </w:r>
      <w:r>
        <w:t xml:space="preserve">[2] [V].</w:t>
      </w:r>
    </w:p>
    <w:p>
      <w:pPr>
        <w:numPr>
          <w:ilvl w:val="0"/>
          <w:numId w:val="1116"/>
        </w:numPr>
        <w:pStyle w:val="Compact"/>
      </w:pPr>
      <w:r>
        <w:t xml:space="preserve">Instruments de garantie et financements innovants, sans chiffrage [1, §2.4.1] [V].</w:t>
      </w:r>
    </w:p>
    <w:p>
      <w:pPr>
        <w:numPr>
          <w:ilvl w:val="0"/>
          <w:numId w:val="1116"/>
        </w:numPr>
        <w:pStyle w:val="Compact"/>
      </w:pPr>
      <w:r>
        <w:t xml:space="preserve">Titrisation PEPT : deux émissions d’obligations sociales de 60 Md FCFA chacune (IFC, Ninety One, Cygnum), pour 400 000 branchements chacune [1, Ann. I] [V].</w:t>
      </w:r>
    </w:p>
    <w:p>
      <w:pPr>
        <w:numPr>
          <w:ilvl w:val="0"/>
          <w:numId w:val="1116"/>
        </w:numPr>
        <w:pStyle w:val="Compact"/>
      </w:pPr>
      <w:r>
        <w:t xml:space="preserve">Avantages fiscaux de l’annexe fiscale 2024 : exonération des droits de douane et de la TVA sur les équipements EnR, et de la TOB pendant 3 ans [1, Tab. 6] [V].</w:t>
      </w:r>
    </w:p>
    <w:p>
      <w:pPr>
        <w:numPr>
          <w:ilvl w:val="0"/>
          <w:numId w:val="1116"/>
        </w:numPr>
        <w:pStyle w:val="Compact"/>
      </w:pPr>
      <w:r>
        <w:t xml:space="preserve">Investissements privés réalisés : 986 Md FCFA (1 625 M USD) sur 2011-2023 [1, Tab. 4] [V].</w:t>
      </w:r>
    </w:p>
    <w:bookmarkEnd w:id="129"/>
    <w:bookmarkStart w:id="130" w:name="intégration-régionale-2"/>
    <w:p>
      <w:pPr>
        <w:pStyle w:val="Heading4"/>
      </w:pPr>
      <w:r>
        <w:t xml:space="preserve">3.5 Intégration régionale</w:t>
      </w:r>
    </w:p>
    <w:p>
      <w:pPr>
        <w:numPr>
          <w:ilvl w:val="0"/>
          <w:numId w:val="1117"/>
        </w:numPr>
        <w:pStyle w:val="Compact"/>
      </w:pPr>
      <w:r>
        <w:t xml:space="preserve">Projets prioritaires : 330 kV Côte d’Ivoire–Ghana, dorsale 330 kV Nigéria–Bénin–Togo–Ghana–Côte d’Ivoire, 225 kV Côte d’Ivoire–Libéria [1, §2.2.1] [V].</w:t>
      </w:r>
    </w:p>
    <w:p>
      <w:pPr>
        <w:numPr>
          <w:ilvl w:val="0"/>
          <w:numId w:val="1117"/>
        </w:numPr>
        <w:pStyle w:val="Compact"/>
      </w:pPr>
      <w:r>
        <w:t xml:space="preserve">Adoption de la tarification harmonisée WAPP « conformément au calendrier du WAPP » et soutien au marché day-ahead (DAM) avec chambre de compensation [1, §2.2.1] [V].</w:t>
      </w:r>
    </w:p>
    <w:p>
      <w:pPr>
        <w:numPr>
          <w:ilvl w:val="0"/>
          <w:numId w:val="1117"/>
        </w:numPr>
        <w:pStyle w:val="Compact"/>
      </w:pPr>
      <w:r>
        <w:t xml:space="preserve">Exportations : 1 052 GWh en 2023 [1, Tab. 6] [V].</w:t>
      </w:r>
    </w:p>
    <w:bookmarkEnd w:id="130"/>
    <w:bookmarkStart w:id="131" w:name="autres-2"/>
    <w:p>
      <w:pPr>
        <w:pStyle w:val="Heading4"/>
      </w:pPr>
      <w:r>
        <w:t xml:space="preserve">3.6 Autres</w:t>
      </w:r>
    </w:p>
    <w:p>
      <w:pPr>
        <w:numPr>
          <w:ilvl w:val="0"/>
          <w:numId w:val="1118"/>
        </w:numPr>
        <w:pStyle w:val="Compact"/>
      </w:pPr>
      <w:r>
        <w:t xml:space="preserve">Renforcement du FONAME : audits énergétiques obligatoires, étiquetage, efficacité énergétique des bâtiments [1, §2.1.3] [V].</w:t>
      </w:r>
    </w:p>
    <w:p>
      <w:pPr>
        <w:numPr>
          <w:ilvl w:val="0"/>
          <w:numId w:val="1118"/>
        </w:numPr>
        <w:pStyle w:val="Compact"/>
      </w:pPr>
      <w:r>
        <w:t xml:space="preserve">Stratégie de cuisson propre d’ici juin 2025 ; Code de la bioénergie d’ici juin 2025 ; révision du PANER [1, §2.3.2] [V]. Dans le rapport de mars 2026, les échéances sont repoussées au 31/05/2026 pour la stratégie et au 30/06/2026 pour le Code [2] [V].</w:t>
      </w:r>
    </w:p>
    <w:p>
      <w:pPr>
        <w:numPr>
          <w:ilvl w:val="0"/>
          <w:numId w:val="1118"/>
        </w:numPr>
        <w:pStyle w:val="Compact"/>
      </w:pPr>
      <w:r>
        <w:t xml:space="preserve">Étude de conversion du méthane national en butane [1, §2.3.2] [V].</w:t>
      </w:r>
    </w:p>
    <w:p>
      <w:pPr>
        <w:numPr>
          <w:ilvl w:val="0"/>
          <w:numId w:val="1118"/>
        </w:numPr>
        <w:pStyle w:val="Compact"/>
      </w:pPr>
      <w:r>
        <w:t xml:space="preserve">Le foncier est cité comme obstacle, sans engagement spécifique [1, Tab. 6] [V].</w:t>
      </w:r>
    </w:p>
    <w:p>
      <w:pPr>
        <w:numPr>
          <w:ilvl w:val="0"/>
          <w:numId w:val="1118"/>
        </w:numPr>
        <w:pStyle w:val="Compact"/>
      </w:pPr>
      <w:r>
        <w:t xml:space="preserve">Pas de clause de contenu local → [?].</w:t>
      </w:r>
    </w:p>
    <w:bookmarkEnd w:id="131"/>
    <w:bookmarkEnd w:id="132"/>
    <w:bookmarkStart w:id="133" w:name="financement-5"/>
    <w:p>
      <w:pPr>
        <w:pStyle w:val="Heading3"/>
      </w:pPr>
      <w:r>
        <w:t xml:space="preserve">4. Financement</w:t>
      </w:r>
    </w:p>
    <w:p>
      <w:pPr>
        <w:numPr>
          <w:ilvl w:val="0"/>
          <w:numId w:val="1119"/>
        </w:numPr>
        <w:pStyle w:val="Compact"/>
      </w:pPr>
      <w:r>
        <w:rPr>
          <w:bCs/>
          <w:b/>
        </w:rPr>
        <w:t xml:space="preserve">Besoin total 2024-2030</w:t>
      </w:r>
      <w:r>
        <w:t xml:space="preserve"> </w:t>
      </w:r>
      <w:r>
        <w:t xml:space="preserve">:</w:t>
      </w:r>
      <w:r>
        <w:t xml:space="preserve"> </w:t>
      </w:r>
      <w:r>
        <w:rPr>
          <w:bCs/>
          <w:b/>
        </w:rPr>
        <w:t xml:space="preserve">15,02 Md USD</w:t>
      </w:r>
      <w:r>
        <w:t xml:space="preserve">, dont 8,46 Md USD déjà mobilisés ou en cours (5 131 Md FCFA) et</w:t>
      </w:r>
      <w:r>
        <w:t xml:space="preserve"> </w:t>
      </w:r>
      <w:r>
        <w:rPr>
          <w:bCs/>
          <w:b/>
        </w:rPr>
        <w:t xml:space="preserve">6,56 Md USD restant à financer</w:t>
      </w:r>
      <w:r>
        <w:t xml:space="preserve"> </w:t>
      </w:r>
      <w:r>
        <w:t xml:space="preserve">(3 980 Md FCFA) [1, §B.2 et Tab. 1] [V].</w:t>
      </w:r>
    </w:p>
    <w:p>
      <w:pPr>
        <w:numPr>
          <w:ilvl w:val="0"/>
          <w:numId w:val="1119"/>
        </w:numPr>
        <w:pStyle w:val="Compact"/>
      </w:pPr>
      <w:r>
        <w:t xml:space="preserve">Le reste à financer se répartit entre</w:t>
      </w:r>
      <w:r>
        <w:t xml:space="preserve"> </w:t>
      </w:r>
      <w:r>
        <w:rPr>
          <w:bCs/>
          <w:b/>
        </w:rPr>
        <w:t xml:space="preserve">4,62 Md USD publics</w:t>
      </w:r>
      <w:r>
        <w:t xml:space="preserve"> </w:t>
      </w:r>
      <w:r>
        <w:t xml:space="preserve">(2 803 Md FCFA) et</w:t>
      </w:r>
      <w:r>
        <w:t xml:space="preserve"> </w:t>
      </w:r>
      <w:r>
        <w:rPr>
          <w:bCs/>
          <w:b/>
        </w:rPr>
        <w:t xml:space="preserve">1,94 Md USD privés</w:t>
      </w:r>
      <w:r>
        <w:t xml:space="preserve"> </w:t>
      </w:r>
      <w:r>
        <w:t xml:space="preserve">(1 177 Md FCFA) [1, Tab. 1] [V].</w:t>
      </w:r>
    </w:p>
    <w:p>
      <w:pPr>
        <w:numPr>
          <w:ilvl w:val="0"/>
          <w:numId w:val="1119"/>
        </w:numPr>
        <w:pStyle w:val="Compact"/>
      </w:pPr>
      <w:r>
        <w:t xml:space="preserve">Par segment (Md FCFA à mobiliser) : production 667 (84 public, 583 privé) ; transport 539 ; distribution 1 047 ; cuisson propre 858 ; PEPT 235 (1 567 000 branchements sur 2027-2030) ; hors-réseau 594 ; assistance technique 40 [1, Tab. 1] [V]. Une lecture fine des cellules reste à faire, car l’extraction du tableau est imparfaite.</w:t>
      </w:r>
    </w:p>
    <w:p>
      <w:pPr>
        <w:numPr>
          <w:ilvl w:val="0"/>
          <w:numId w:val="1119"/>
        </w:numPr>
        <w:pStyle w:val="Compact"/>
      </w:pPr>
      <w:r>
        <w:rPr>
          <w:bCs/>
          <w:b/>
        </w:rPr>
        <w:t xml:space="preserve">Engagements cités</w:t>
      </w:r>
      <w:r>
        <w:t xml:space="preserve"> </w:t>
      </w:r>
      <w:r>
        <w:t xml:space="preserve">:</w:t>
      </w:r>
    </w:p>
    <w:p>
      <w:pPr>
        <w:numPr>
          <w:ilvl w:val="1"/>
          <w:numId w:val="1120"/>
        </w:numPr>
        <w:pStyle w:val="Compact"/>
      </w:pPr>
      <w:r>
        <w:t xml:space="preserve">Banque mondiale : projet BEST (stockage par batteries, 2021-2026, 39,1 Md FCFA) ; opération NEDA (2023-2028 ; 403 M EUR, dont 302 M EUR BM et 101 M EUR État) ; interconnexion Ghana–Côte d’Ivoire (2025-2029, 210 M USD) [1, Ann. I] [V]. L’attribution précise des montants doit être revérifiée, la mise en page du tableau étant éclatée.</w:t>
      </w:r>
    </w:p>
    <w:p>
      <w:pPr>
        <w:numPr>
          <w:ilvl w:val="1"/>
          <w:numId w:val="1120"/>
        </w:numPr>
        <w:pStyle w:val="Compact"/>
      </w:pPr>
      <w:r>
        <w:t xml:space="preserve">BAD : PROSER II (2026-2030, en instruction ; 129,38 M EUR, dont 91,8 M EUR BAD) ; PROSER I (62,35 M EUR) ; PAEMIR (42,01 M EUR BAD) ; PRETD (137,82 M EUR) [1, Ann. I] [V].</w:t>
      </w:r>
    </w:p>
    <w:p>
      <w:pPr>
        <w:numPr>
          <w:ilvl w:val="1"/>
          <w:numId w:val="1120"/>
        </w:numPr>
        <w:pStyle w:val="Compact"/>
      </w:pPr>
      <w:r>
        <w:t xml:space="preserve">Autres bailleurs : AFD, UE, KfW, JICA, BOAD [1, Ann. I] [V].</w:t>
      </w:r>
    </w:p>
    <w:bookmarkEnd w:id="133"/>
    <w:bookmarkStart w:id="134" w:name="calendrier-et-suivi-5"/>
    <w:p>
      <w:pPr>
        <w:pStyle w:val="Heading3"/>
      </w:pPr>
      <w:r>
        <w:t xml:space="preserve">5. Calendrier et suivi</w:t>
      </w:r>
    </w:p>
    <w:p>
      <w:pPr>
        <w:numPr>
          <w:ilvl w:val="0"/>
          <w:numId w:val="1121"/>
        </w:numPr>
        <w:pStyle w:val="Compact"/>
      </w:pPr>
      <w:r>
        <w:t xml:space="preserve">Jalons datés :</w:t>
      </w:r>
    </w:p>
    <w:p>
      <w:pPr>
        <w:numPr>
          <w:ilvl w:val="1"/>
          <w:numId w:val="1122"/>
        </w:numPr>
        <w:pStyle w:val="Compact"/>
      </w:pPr>
      <w:r>
        <w:t xml:space="preserve">juin 2025 : plan d’assainissement financier, rationalisation des appels d’offres, stratégie de cuisson propre, Code de la bioénergie ;</w:t>
      </w:r>
    </w:p>
    <w:p>
      <w:pPr>
        <w:numPr>
          <w:ilvl w:val="1"/>
          <w:numId w:val="1122"/>
        </w:numPr>
        <w:pStyle w:val="Compact"/>
      </w:pPr>
      <w:r>
        <w:t xml:space="preserve">fin 2025 : PDAT-SG, PDELR, PDEHR, cadre réglementaire hors-réseau, modèle d’intervention privée, autoproduction, mini-réseaux ;</w:t>
      </w:r>
    </w:p>
    <w:p>
      <w:pPr>
        <w:numPr>
          <w:ilvl w:val="1"/>
          <w:numId w:val="1122"/>
        </w:numPr>
        <w:pStyle w:val="Compact"/>
      </w:pPr>
      <w:r>
        <w:t xml:space="preserve">enquêtes MTF en 2025 et 2030 [1] [V].</w:t>
      </w:r>
    </w:p>
    <w:p>
      <w:pPr>
        <w:numPr>
          <w:ilvl w:val="0"/>
          <w:numId w:val="1121"/>
        </w:numPr>
        <w:pStyle w:val="Compact"/>
      </w:pPr>
      <w:r>
        <w:t xml:space="preserve">Suivi par un comité de pilotage, une unité CDMU et des rapports semestriels [1, §4 ; 2] [V].</w:t>
      </w:r>
    </w:p>
    <w:p>
      <w:pPr>
        <w:numPr>
          <w:ilvl w:val="0"/>
          <w:numId w:val="1121"/>
        </w:numPr>
        <w:pStyle w:val="Compact"/>
      </w:pPr>
      <w:r>
        <w:rPr>
          <w:bCs/>
          <w:b/>
        </w:rPr>
        <w:t xml:space="preserve">Bilan publié en mars 2026</w:t>
      </w:r>
      <w:r>
        <w:t xml:space="preserve"> </w:t>
      </w:r>
      <w:r>
        <w:t xml:space="preserve">sur 23 actions de réforme, dont 10 prioritaires : 4 achevées (aucune prioritaire), 13 en cours,</w:t>
      </w:r>
      <w:r>
        <w:t xml:space="preserve"> </w:t>
      </w:r>
      <w:r>
        <w:rPr>
          <w:bCs/>
          <w:b/>
        </w:rPr>
        <w:t xml:space="preserve">6 en retard (dont 4 prioritaires)</w:t>
      </w:r>
      <w:r>
        <w:t xml:space="preserve"> </w:t>
      </w:r>
      <w:r>
        <w:t xml:space="preserve">[2] [V].</w:t>
      </w:r>
    </w:p>
    <w:p>
      <w:pPr>
        <w:numPr>
          <w:ilvl w:val="0"/>
          <w:numId w:val="1121"/>
        </w:numPr>
        <w:pStyle w:val="Compact"/>
      </w:pPr>
      <w:r>
        <w:t xml:space="preserve">Résultats 2025 selon le même rapport : 684 735 nouveaux branchements de ménages, soit environ 3,56 M de personnes [2] [V] ; cuisson propre estimée à 41 %, à partir du RGPH 2021, en attendant l’enquête MTF [2] [V].</w:t>
      </w:r>
    </w:p>
    <w:p>
      <w:pPr>
        <w:numPr>
          <w:ilvl w:val="0"/>
          <w:numId w:val="1121"/>
        </w:numPr>
        <w:pStyle w:val="Compact"/>
      </w:pPr>
      <w:r>
        <w:t xml:space="preserve">Part des renouvelables : le rapport indique 34 % en base 2024 et 32,8 % pour 2025, alors que le texte dit 34 %. Le rapport est donc incohérent sur ce point [2] [V].</w:t>
      </w:r>
    </w:p>
    <w:p>
      <w:pPr>
        <w:numPr>
          <w:ilvl w:val="0"/>
          <w:numId w:val="1121"/>
        </w:numPr>
        <w:pStyle w:val="Compact"/>
      </w:pPr>
      <w:r>
        <w:t xml:space="preserve">Capitaux privés : 882 M USD (2024) et environ 270 M USD (2025, préliminaire) [2] [V].</w:t>
      </w:r>
    </w:p>
    <w:bookmarkEnd w:id="134"/>
    <w:bookmarkStart w:id="135" w:name="lecture-critique-analyse-de-lauteur-2"/>
    <w:p>
      <w:pPr>
        <w:pStyle w:val="Heading3"/>
      </w:pPr>
      <w:r>
        <w:t xml:space="preserve">6. Lecture critique (analyse de l’auteur)</w:t>
      </w:r>
    </w:p>
    <w:p>
      <w:pPr>
        <w:numPr>
          <w:ilvl w:val="0"/>
          <w:numId w:val="1123"/>
        </w:numPr>
        <w:pStyle w:val="Compact"/>
      </w:pPr>
      <w:r>
        <w:rPr>
          <w:bCs/>
          <w:b/>
        </w:rPr>
        <w:t xml:space="preserve">Réalisme des cibles</w:t>
      </w:r>
      <w:r>
        <w:t xml:space="preserve"> </w:t>
      </w:r>
      <w:r>
        <w:t xml:space="preserve">: passer de 64 % à 100 % de desserte en 7 ans suppose environ 550 000 ménages par an, contre 347 345 par an en moyenne sur 2017-2023 [1]. Le chiffre de 684 735 branchements en 2025 [2] suggère que le rythme est atteignable à court terme, mais la définition des branchements (réseau, hors-réseau, régularisations) doit être contrôlée [E].</w:t>
      </w:r>
    </w:p>
    <w:p>
      <w:pPr>
        <w:numPr>
          <w:ilvl w:val="0"/>
          <w:numId w:val="1123"/>
        </w:numPr>
        <w:pStyle w:val="Compact"/>
      </w:pPr>
      <w:r>
        <w:t xml:space="preserve">La cible de 45 % de renouvelables repose fortement sur l’hydro (829 MW). Or le pacte inscrit aussi de nouvelles centrales thermiques au gaz : AKSA 750 MW, Songon 372 MW, centrale publique de 450 MW [1, Ann. I]. Le dénominateur va donc croître [E].</w:t>
      </w:r>
    </w:p>
    <w:p>
      <w:pPr>
        <w:numPr>
          <w:ilvl w:val="0"/>
          <w:numId w:val="1123"/>
        </w:numPr>
        <w:pStyle w:val="Compact"/>
      </w:pPr>
      <w:r>
        <w:rPr>
          <w:bCs/>
          <w:b/>
        </w:rPr>
        <w:t xml:space="preserve">Engagements tarifaires</w:t>
      </w:r>
      <w:r>
        <w:t xml:space="preserve"> </w:t>
      </w:r>
      <w:r>
        <w:t xml:space="preserve">: plutôt</w:t>
      </w:r>
      <w:r>
        <w:t xml:space="preserve"> </w:t>
      </w:r>
      <w:r>
        <w:rPr>
          <w:bCs/>
          <w:b/>
        </w:rPr>
        <w:t xml:space="preserve">vagues</w:t>
      </w:r>
      <w:r>
        <w:t xml:space="preserve">. Le pacte parle de « convergence vers les coûts réels » et de « régularité des ajustements », sans formule d’indexation, sans calendrier de hausse et sans cible de recouvrement datée. Le rapport de mars 2026 classe déjà en retard les deux actions tarifaires et financières prioritaires [2].</w:t>
      </w:r>
    </w:p>
    <w:p>
      <w:pPr>
        <w:numPr>
          <w:ilvl w:val="0"/>
          <w:numId w:val="1123"/>
        </w:numPr>
        <w:pStyle w:val="Compact"/>
      </w:pPr>
      <w:r>
        <w:rPr>
          <w:bCs/>
          <w:b/>
        </w:rPr>
        <w:t xml:space="preserve">Risques principaux</w:t>
      </w:r>
      <w:r>
        <w:t xml:space="preserve"> </w:t>
      </w:r>
      <w:r>
        <w:t xml:space="preserve">:</w:t>
      </w:r>
    </w:p>
    <w:p>
      <w:pPr>
        <w:numPr>
          <w:ilvl w:val="1"/>
          <w:numId w:val="1124"/>
        </w:numPr>
        <w:pStyle w:val="Compact"/>
      </w:pPr>
      <w:r>
        <w:t xml:space="preserve">forte hausse de la dette envers les IPP (127 → 600 M USD entre 2021 et 2023) ;</w:t>
      </w:r>
    </w:p>
    <w:p>
      <w:pPr>
        <w:numPr>
          <w:ilvl w:val="1"/>
          <w:numId w:val="1124"/>
        </w:numPr>
        <w:pStyle w:val="Compact"/>
      </w:pPr>
      <w:r>
        <w:t xml:space="preserve">créances à l’export, notamment sur EDM Mali ;</w:t>
      </w:r>
    </w:p>
    <w:p>
      <w:pPr>
        <w:numPr>
          <w:ilvl w:val="1"/>
          <w:numId w:val="1124"/>
        </w:numPr>
        <w:pStyle w:val="Compact"/>
      </w:pPr>
      <w:r>
        <w:t xml:space="preserve">dépendance au gaz naturel ;</w:t>
      </w:r>
    </w:p>
    <w:p>
      <w:pPr>
        <w:numPr>
          <w:ilvl w:val="1"/>
          <w:numId w:val="1124"/>
        </w:numPr>
        <w:pStyle w:val="Compact"/>
      </w:pPr>
      <w:r>
        <w:t xml:space="preserve">clauses take-or-pay [1].</w:t>
      </w:r>
    </w:p>
    <w:p>
      <w:pPr>
        <w:numPr>
          <w:ilvl w:val="0"/>
          <w:numId w:val="1123"/>
        </w:numPr>
        <w:pStyle w:val="Compact"/>
      </w:pPr>
      <w:r>
        <w:rPr>
          <w:bCs/>
          <w:b/>
        </w:rPr>
        <w:t xml:space="preserve">Phase 2 (opérateur)</w:t>
      </w:r>
      <w:r>
        <w:t xml:space="preserve"> </w:t>
      </w:r>
      <w:r>
        <w:t xml:space="preserve">: relations contractuelles CIE/CI-ENERGIES (convention de concession, date d’échéance), mécanisme de gestion des flux financiers (décrets 2010-200 et 2018-785), pertes ATC&amp;C (non publiées dans le pacte).</w:t>
      </w:r>
    </w:p>
    <w:p>
      <w:pPr>
        <w:numPr>
          <w:ilvl w:val="0"/>
          <w:numId w:val="1123"/>
        </w:numPr>
        <w:pStyle w:val="Compact"/>
      </w:pPr>
      <w:r>
        <w:rPr>
          <w:bCs/>
          <w:b/>
        </w:rPr>
        <w:t xml:space="preserve">Phase 3 (tarifs)</w:t>
      </w:r>
      <w:r>
        <w:t xml:space="preserve"> </w:t>
      </w:r>
      <w:r>
        <w:t xml:space="preserve">: définition du tarif moyen de 71 FCFA/kWh ; grille tarifaire ANARE-CI ; ajustements 2023 et suivants ; décomposition de la subvention de 234 M USD.</w:t>
      </w:r>
    </w:p>
    <w:bookmarkEnd w:id="135"/>
    <w:bookmarkStart w:id="136" w:name="inconnus-données-non-trouvées-5"/>
    <w:p>
      <w:pPr>
        <w:pStyle w:val="Heading3"/>
      </w:pPr>
      <w:r>
        <w:t xml:space="preserve">7. Inconnus / données non trouvées</w:t>
      </w:r>
    </w:p>
    <w:p>
      <w:pPr>
        <w:numPr>
          <w:ilvl w:val="0"/>
          <w:numId w:val="1125"/>
        </w:numPr>
        <w:pStyle w:val="Compact"/>
      </w:pPr>
      <w:r>
        <w:t xml:space="preserve">Taux d’accès urbain/rural [?].</w:t>
      </w:r>
    </w:p>
    <w:p>
      <w:pPr>
        <w:numPr>
          <w:ilvl w:val="0"/>
          <w:numId w:val="1125"/>
        </w:numPr>
        <w:pStyle w:val="Compact"/>
      </w:pPr>
      <w:r>
        <w:t xml:space="preserve">Pertes ATC&amp;C et objectifs de réduction (case vide dans le pacte) [?].</w:t>
      </w:r>
    </w:p>
    <w:p>
      <w:pPr>
        <w:numPr>
          <w:ilvl w:val="0"/>
          <w:numId w:val="1125"/>
        </w:numPr>
        <w:pStyle w:val="Compact"/>
      </w:pPr>
      <w:r>
        <w:t xml:space="preserve">Trajectoire chiffrée de recouvrement des coûts [?].</w:t>
      </w:r>
    </w:p>
    <w:p>
      <w:pPr>
        <w:numPr>
          <w:ilvl w:val="0"/>
          <w:numId w:val="1125"/>
        </w:numPr>
        <w:pStyle w:val="Compact"/>
      </w:pPr>
      <w:r>
        <w:t xml:space="preserve">Contenu du plan d’assainissement financier, et éventuelle adoption après juin 2025 [?].</w:t>
      </w:r>
    </w:p>
    <w:p>
      <w:pPr>
        <w:numPr>
          <w:ilvl w:val="0"/>
          <w:numId w:val="1125"/>
        </w:numPr>
        <w:pStyle w:val="Compact"/>
      </w:pPr>
      <w:r>
        <w:t xml:space="preserve">Nombre de kits solaires et de connexions à des mini-réseaux (« NA » dans l’annexe) [?].</w:t>
      </w:r>
    </w:p>
    <w:p>
      <w:pPr>
        <w:numPr>
          <w:ilvl w:val="0"/>
          <w:numId w:val="1125"/>
        </w:numPr>
        <w:pStyle w:val="Compact"/>
      </w:pPr>
      <w:r>
        <w:t xml:space="preserve">Coût de revient moyen du kWh [?].</w:t>
      </w:r>
    </w:p>
    <w:bookmarkEnd w:id="136"/>
    <w:bookmarkStart w:id="137" w:name="sources-6"/>
    <w:p>
      <w:pPr>
        <w:pStyle w:val="Heading3"/>
      </w:pPr>
      <w:r>
        <w:t xml:space="preserve">Sources</w:t>
      </w:r>
    </w:p>
    <w:p>
      <w:pPr>
        <w:pStyle w:val="FirstParagraph"/>
      </w:pPr>
      <w:r>
        <w:t xml:space="preserve">[1] Gouvernement de Côte d’Ivoire, « Pacte National Énergie pour la République de Côte d’Ivoire », janvier 2025, 43 p. (FR). https://www.worldbank.org/content/dam/theworldbankgroupasset/document/2026/m300-energy-compacts/Cote-divoire-M300-AES-Compact.pdf (lien depuis https://www.worldbank.org/ext/en/energizingafrica/national-energy-compacts, consulté le 18/10/2026).</w:t>
      </w:r>
      <w:r>
        <w:t xml:space="preserve"> </w:t>
      </w:r>
      <w:r>
        <w:t xml:space="preserve">[2] Mission 300, « Compact Progress Report — Côte d’Ivoire, Q1 2026, Second cycle of data collection 2025 », mars 2026 (EN). https://www.worldbank.org/content/dam/theworldbankgroupasset/document/2026/m300-energy-compacts/progress-reports/cote-divoire-(en)_mission-300_compact-progress-report-_q12026.pdf</w:t>
      </w:r>
    </w:p>
    <w:p>
      <w:r>
        <w:br w:type="page"/>
      </w:r>
    </w:p>
    <w:bookmarkEnd w:id="137"/>
    <w:bookmarkEnd w:id="138"/>
    <w:bookmarkStart w:id="154" w:name="X2035734c938bd56ca49a1d6cdfc04d3c26a8814"/>
    <w:p>
      <w:pPr>
        <w:pStyle w:val="Heading2"/>
      </w:pPr>
      <w:r>
        <w:t xml:space="preserve">Fiche pacte national de l’énergie — Cameroun</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139" w:name="métadonnées-6"/>
    <w:p>
      <w:pPr>
        <w:pStyle w:val="Heading3"/>
      </w:pPr>
      <w:r>
        <w:t xml:space="preserve">0. Métadonnées</w:t>
      </w:r>
    </w:p>
    <w:p>
      <w:pPr>
        <w:numPr>
          <w:ilvl w:val="0"/>
          <w:numId w:val="1126"/>
        </w:numPr>
        <w:pStyle w:val="Compact"/>
      </w:pPr>
      <w:r>
        <w:t xml:space="preserve">Cohorte / date de présentation : 2e vague ; la page Banque mondiale date le pacte de « Sep 2025 » [2] [V]. Le document n’est pas daté ; métadonnées PDF : création le 22-09-2025 [1] [V]. Événement de présentation : [?] non précisé dans les sources consultées. Aucun rapport d’avancement publié au 2026-10-18 sur la page BM [2] [V].</w:t>
      </w:r>
    </w:p>
    <w:p>
      <w:pPr>
        <w:numPr>
          <w:ilvl w:val="0"/>
          <w:numId w:val="1126"/>
        </w:numPr>
        <w:pStyle w:val="Compact"/>
      </w:pPr>
      <w:r>
        <w:t xml:space="preserve">Document du pacte consulté : « Compact énergétique de la République du Cameroun », en français, 58 p. (fichier</w:t>
      </w:r>
      <w:r>
        <w:t xml:space="preserve"> </w:t>
      </w:r>
      <w:r>
        <w:rPr>
          <w:rStyle w:val="VerbatimChar"/>
        </w:rPr>
        <w:t xml:space="preserve">Cameroon-National-Energy-Compact-Mission-300.pdf</w:t>
      </w:r>
      <w:r>
        <w:t xml:space="preserve">) [1].</w:t>
      </w:r>
    </w:p>
    <w:p>
      <w:pPr>
        <w:numPr>
          <w:ilvl w:val="0"/>
          <w:numId w:val="1126"/>
        </w:numPr>
        <w:pStyle w:val="Compact"/>
      </w:pPr>
      <w:r>
        <w:t xml:space="preserve">Accès au texte intégral :</w:t>
      </w:r>
      <w:r>
        <w:t xml:space="preserve"> </w:t>
      </w:r>
      <w:r>
        <w:rPr>
          <w:bCs/>
          <w:b/>
        </w:rPr>
        <w:t xml:space="preserve">oui</w:t>
      </w:r>
      <w:r>
        <w:t xml:space="preserve"> </w:t>
      </w:r>
      <w:r>
        <w:t xml:space="preserve">(PDF téléchargé et lu intégralement le 2026-10-18).</w:t>
      </w:r>
    </w:p>
    <w:p>
      <w:pPr>
        <w:numPr>
          <w:ilvl w:val="0"/>
          <w:numId w:val="1126"/>
        </w:numPr>
        <w:pStyle w:val="Compact"/>
      </w:pPr>
      <w:r>
        <w:t xml:space="preserve">Opérateur(s) national(aux) d’électricité : ENEO (concessionnaire de production/distribution/vente, détenu à 51 % par le fonds Actis, rachat des parts en cours par l’État) ; SONATREL (transport, capitaux publics, depuis 2018) ; EDC (stockage d’eau Sanaga, centrale de Memve’ele) ; IPP : DPDC (Dibamba, 88 MW), KPDC (Kribi, 216 MW), NHPC (Nachtigal, 420 MW) = 722,97 MW, soit 36 % de la capacité [1, §3.1 et Pilier IV] [V]. Agence d’électrification rurale (AER) [1] [V].</w:t>
      </w:r>
    </w:p>
    <w:p>
      <w:pPr>
        <w:numPr>
          <w:ilvl w:val="0"/>
          <w:numId w:val="1126"/>
        </w:numPr>
        <w:pStyle w:val="Compact"/>
      </w:pPr>
      <w:r>
        <w:t xml:space="preserve">Régulateur : Agence de Régulation du Secteur de l’Électricité (ARSEL) ; tutelle MINEE [1] [V].</w:t>
      </w:r>
    </w:p>
    <w:bookmarkEnd w:id="139"/>
    <w:bookmarkStart w:id="140" w:name="situation-de-départ-selon-le-pacte-6"/>
    <w:p>
      <w:pPr>
        <w:pStyle w:val="Heading3"/>
      </w:pPr>
      <w:r>
        <w:t xml:space="preserve">1. Situation de départ (selon le pacte)</w:t>
      </w:r>
    </w:p>
    <w:p>
      <w:pPr>
        <w:numPr>
          <w:ilvl w:val="0"/>
          <w:numId w:val="1127"/>
        </w:numPr>
        <w:pStyle w:val="Compact"/>
      </w:pPr>
      <w:r>
        <w:t xml:space="preserve">Taux d’accès national / urbain / rural : 74 % en 2025 [1, Déclaration] ; 61 % en 2017 → 73 % en 2023 [1, §3.2] ; urbain 94 %, rural &lt; 25 % [1, Pilier III] [V].</w:t>
      </w:r>
    </w:p>
    <w:p>
      <w:pPr>
        <w:numPr>
          <w:ilvl w:val="0"/>
          <w:numId w:val="1127"/>
        </w:numPr>
        <w:pStyle w:val="Compact"/>
      </w:pPr>
      <w:r>
        <w:t xml:space="preserve">Population : ~29 millions d’habitants en 2023, croissance 2,6 %/an [1, §3.1] [V].</w:t>
      </w:r>
    </w:p>
    <w:p>
      <w:pPr>
        <w:numPr>
          <w:ilvl w:val="0"/>
          <w:numId w:val="1127"/>
        </w:numPr>
        <w:pStyle w:val="Compact"/>
      </w:pPr>
      <w:r>
        <w:t xml:space="preserve">Population sans accès : non chiffrée explicitement [?] (≈ 7,5 M à 26 % de 29 M [E]).</w:t>
      </w:r>
    </w:p>
    <w:p>
      <w:pPr>
        <w:numPr>
          <w:ilvl w:val="0"/>
          <w:numId w:val="1127"/>
        </w:numPr>
        <w:pStyle w:val="Compact"/>
      </w:pPr>
      <w:r>
        <w:t xml:space="preserve">Capacité installée, mix : 2 011 MW en 2025 (70 % hydraulique, 16,13 % thermique fuel, 10,74 % gaz, 3 % solaire) [1, §3.1] [V] ; 1 727 MW disponibles [1, Annexe II] [V]. Offre passée de 800 MW (2010) à ~1 640 MW (2023) [1] [V]. ~23 % de l’énergie produite d’origine fossile [1, §3.2] [V]. Énergie produite : 7 933 000 MWh (ENEO, 2024) [1, Annexe II] [V]. Coût moyen 102,56 FCFA/kWh [1, Annexe II] [V]. Demande en croissance de 6 %/an [1] [V].</w:t>
      </w:r>
    </w:p>
    <w:p>
      <w:pPr>
        <w:numPr>
          <w:ilvl w:val="0"/>
          <w:numId w:val="1127"/>
        </w:numPr>
        <w:pStyle w:val="Compact"/>
      </w:pPr>
      <w:r>
        <w:t xml:space="preserve">Deux réseaux : RIS (7 régions) et RIN (3 régions du Nord), interconnexion 225 kV de 515 km prévue en 2028 [1] [V]. Transport 3 405 km (225 kV 1 921 ; 110 kV 338 ; 90 kV 1 097) ; distribution 37 939 km [1] [V].</w:t>
      </w:r>
    </w:p>
    <w:p>
      <w:pPr>
        <w:numPr>
          <w:ilvl w:val="0"/>
          <w:numId w:val="1127"/>
        </w:numPr>
        <w:pStyle w:val="Compact"/>
      </w:pPr>
      <w:r>
        <w:t xml:space="preserve">Clients : ~2 millions d’abonnés [1, Pilier V] ; 1 334 908 clients postpayés [1] ; 641 644 compteurs prépayés (ENEO 2024) [1, Annexe II] [V].</w:t>
      </w:r>
    </w:p>
    <w:p>
      <w:pPr>
        <w:numPr>
          <w:ilvl w:val="0"/>
          <w:numId w:val="1127"/>
        </w:numPr>
        <w:pStyle w:val="Compact"/>
      </w:pPr>
      <w:r>
        <w:t xml:space="preserve">Accès à la cuisson propre : 23,4 % en 2022 (ECAM 5) ; ~80 % des ménages utilisent des combustibles solides [1] [V].</w:t>
      </w:r>
    </w:p>
    <w:bookmarkEnd w:id="140"/>
    <w:bookmarkStart w:id="141" w:name="cibles-2030-6"/>
    <w:p>
      <w:pPr>
        <w:pStyle w:val="Heading3"/>
      </w:pPr>
      <w:r>
        <w:t xml:space="preserve">2. Cibles 2030</w:t>
      </w:r>
    </w:p>
    <w:p>
      <w:pPr>
        <w:numPr>
          <w:ilvl w:val="0"/>
          <w:numId w:val="1128"/>
        </w:numPr>
        <w:pStyle w:val="Compact"/>
      </w:pPr>
      <w:r>
        <w:t xml:space="preserve">Accès électricité : 100 % en 2030 (contre 74 % en 2025), « environ 8 millions de personnes supplémentaires » [1, Déclaration] [V].</w:t>
      </w:r>
      <w:r>
        <w:t xml:space="preserve"> </w:t>
      </w:r>
      <w:r>
        <w:rPr>
          <w:bCs/>
          <w:b/>
        </w:rPr>
        <w:t xml:space="preserve">Incohérence</w:t>
      </w:r>
      <w:r>
        <w:t xml:space="preserve"> </w:t>
      </w:r>
      <w:r>
        <w:t xml:space="preserve">: le préambule et le tableau d’objectifs parlent de « 33,5 millions » / « 33 millions de personnes, moyenne 1,7 million/an » [1, Préambule et §2.1] [V] (chiffre qui semble correspondre à la population totale en 2030 et non aux nouveaux raccordés [E]). Rythme cible : 5 %/an contre 2 %/an réalisé 2017-2023 [1, §2.1] [V]. Pas de ventilation réseau/hors réseau chiffrée [?].</w:t>
      </w:r>
    </w:p>
    <w:p>
      <w:pPr>
        <w:numPr>
          <w:ilvl w:val="0"/>
          <w:numId w:val="1128"/>
        </w:numPr>
        <w:pStyle w:val="Compact"/>
      </w:pPr>
      <w:r>
        <w:t xml:space="preserve">Part des renouvelables : 10 % en 2030 (source : CDN) [1] [V] — NB : il s’agit vraisemblablement des ENR hors grande hydro (solaire, petite hydro…), l’hydro représentant déjà 70 % de la capacité [E]. Le tableau donne une base « 36,525 MW » [1, §2.1] [V].</w:t>
      </w:r>
    </w:p>
    <w:p>
      <w:pPr>
        <w:numPr>
          <w:ilvl w:val="0"/>
          <w:numId w:val="1128"/>
        </w:numPr>
        <w:pStyle w:val="Compact"/>
      </w:pPr>
      <w:r>
        <w:t xml:space="preserve">Cuisson propre : 40 % en 2030 (contre 23,4 % en 2022) ; « 1,7 million de personnes supplémentaires chaque année » [1, Déclaration] ; tableau : 19,8 M de personnes (moy. 2,4 M/an), rythme 12,5 %/an ; préambule : 13,4 M [1] [V] — trois chiffres différents.</w:t>
      </w:r>
    </w:p>
    <w:p>
      <w:pPr>
        <w:numPr>
          <w:ilvl w:val="0"/>
          <w:numId w:val="1128"/>
        </w:numPr>
        <w:pStyle w:val="Compact"/>
      </w:pPr>
      <w:r>
        <w:t xml:space="preserve">Autres cibles chiffrées :</w:t>
      </w:r>
    </w:p>
    <w:p>
      <w:pPr>
        <w:numPr>
          <w:ilvl w:val="1"/>
          <w:numId w:val="1129"/>
        </w:numPr>
        <w:pStyle w:val="Compact"/>
      </w:pPr>
      <w:r>
        <w:t xml:space="preserve">Capacité installée : 3 000 MW (198 MW/an) ; SND30 : 5 000 MW [1] [V].</w:t>
      </w:r>
    </w:p>
    <w:p>
      <w:pPr>
        <w:numPr>
          <w:ilvl w:val="1"/>
          <w:numId w:val="1129"/>
        </w:numPr>
        <w:pStyle w:val="Compact"/>
      </w:pPr>
      <w:r>
        <w:t xml:space="preserve">Efficacité énergétique : −2,65 %/an d’intensité, −16,9 % en 2030 (400 tep/milliard FCFA) [1] [V].</w:t>
      </w:r>
    </w:p>
    <w:p>
      <w:pPr>
        <w:numPr>
          <w:ilvl w:val="1"/>
          <w:numId w:val="1129"/>
        </w:numPr>
        <w:pStyle w:val="Compact"/>
      </w:pPr>
      <w:r>
        <w:t xml:space="preserve">Interconnexions : 1 000 MW de capacité de transit d’ici 2030 [1, §2.1] [V].</w:t>
      </w:r>
    </w:p>
    <w:p>
      <w:pPr>
        <w:numPr>
          <w:ilvl w:val="1"/>
          <w:numId w:val="1129"/>
        </w:numPr>
        <w:pStyle w:val="Compact"/>
      </w:pPr>
      <w:r>
        <w:t xml:space="preserve">Recouvrement : de 72 % à 90 % en 2030 [1, §2.1] [V] ; rendement de distribution 88 % (Pilier V tableau) ou 90 % (déclaration) en 2030, contre 73 % [1] [V].</w:t>
      </w:r>
    </w:p>
    <w:p>
      <w:pPr>
        <w:numPr>
          <w:ilvl w:val="1"/>
          <w:numId w:val="1129"/>
        </w:numPr>
        <w:pStyle w:val="Compact"/>
      </w:pPr>
      <w:r>
        <w:t xml:space="preserve">Capital privé : 1,04 Md USD cumulés 2017-2023 → 5,924 Md USD additionnels en 2030 [1, §2.1] ; 6,4 Md (déclaration) ; 6,5 Md (préambule, Annexe II) ; 6 372 M USD (tableau) [1] [V].</w:t>
      </w:r>
    </w:p>
    <w:p>
      <w:pPr>
        <w:numPr>
          <w:ilvl w:val="1"/>
          <w:numId w:val="1129"/>
        </w:numPr>
        <w:pStyle w:val="Compact"/>
      </w:pPr>
      <w:r>
        <w:t xml:space="preserve">25 MW de petites centrales hydro (10 PCH de 2,5 MW) d’ici 2030, dans un programme de 50 PCH [1] [V].</w:t>
      </w:r>
    </w:p>
    <w:p>
      <w:pPr>
        <w:numPr>
          <w:ilvl w:val="1"/>
          <w:numId w:val="1129"/>
        </w:numPr>
        <w:pStyle w:val="Compact"/>
      </w:pPr>
      <w:r>
        <w:t xml:space="preserve">Genre : +10 % de femmes employées dans le secteur, +10 % de ménages dirigés par des femmes avec accès [1] [V].</w:t>
      </w:r>
    </w:p>
    <w:bookmarkEnd w:id="141"/>
    <w:bookmarkStart w:id="148" w:name="réformes-promises-cœur-de-lanalyse-3"/>
    <w:p>
      <w:pPr>
        <w:pStyle w:val="Heading3"/>
      </w:pPr>
      <w:r>
        <w:t xml:space="preserve">3. Réformes promises (cœur de l’analyse)</w:t>
      </w:r>
    </w:p>
    <w:bookmarkStart w:id="142" w:name="tarifs-et-subventions-6"/>
    <w:p>
      <w:pPr>
        <w:pStyle w:val="Heading4"/>
      </w:pPr>
      <w:r>
        <w:t xml:space="preserve">3.1 Tarifs et subventions</w:t>
      </w:r>
    </w:p>
    <w:p>
      <w:pPr>
        <w:numPr>
          <w:ilvl w:val="0"/>
          <w:numId w:val="1130"/>
        </w:numPr>
        <w:pStyle w:val="Compact"/>
      </w:pPr>
      <w:r>
        <w:t xml:space="preserve">Diagnostic :</w:t>
      </w:r>
      <w:r>
        <w:t xml:space="preserve"> </w:t>
      </w:r>
      <w:r>
        <w:rPr>
          <w:bCs/>
          <w:b/>
        </w:rPr>
        <w:t xml:space="preserve">gel des tarifs BT et MT régulés depuis 2012</w:t>
      </w:r>
      <w:r>
        <w:t xml:space="preserve">, entraînant des compensations tarifaires élevées ; ~300 milliards FCFA de compensation tarifaire versés par l’État sur 2012-2023 [1, Pilier V] [V].</w:t>
      </w:r>
    </w:p>
    <w:p>
      <w:pPr>
        <w:numPr>
          <w:ilvl w:val="0"/>
          <w:numId w:val="1130"/>
        </w:numPr>
        <w:pStyle w:val="Compact"/>
      </w:pPr>
      <w:r>
        <w:t xml:space="preserve">Depuis 2023, hausse des tarifs pour les clients MT (3 à 10 MW) de 10 %/an pour les arrimer au coût de service jusqu’en 2026 ; gain de ~18 milliards FCFA (30 M USD) de chiffre d’affaires ENEO sur 2023-2024 [1, Pilier V] [V]. Poursuite de l’arrimage MT en 2026 : +12-13 milliards/an [1] [V].</w:t>
      </w:r>
    </w:p>
    <w:p>
      <w:pPr>
        <w:numPr>
          <w:ilvl w:val="0"/>
          <w:numId w:val="1130"/>
        </w:numPr>
        <w:pStyle w:val="Compact"/>
      </w:pPr>
      <w:r>
        <w:rPr>
          <w:bCs/>
          <w:b/>
        </w:rPr>
        <w:t xml:space="preserve">Réduire la compensation tarifaire de 6 % par an</w:t>
      </w:r>
      <w:r>
        <w:t xml:space="preserve"> </w:t>
      </w:r>
      <w:r>
        <w:t xml:space="preserve">(horizon 2025-2028) [1, Plan d’actions Pilier V] [V].</w:t>
      </w:r>
    </w:p>
    <w:p>
      <w:pPr>
        <w:numPr>
          <w:ilvl w:val="0"/>
          <w:numId w:val="1130"/>
        </w:numPr>
        <w:pStyle w:val="Compact"/>
      </w:pPr>
      <w:r>
        <w:t xml:space="preserve">Subvention 2025 : 67 milliards FCFA, soit 122 M USD [1, Annexe II] [V].</w:t>
      </w:r>
    </w:p>
    <w:p>
      <w:pPr>
        <w:numPr>
          <w:ilvl w:val="0"/>
          <w:numId w:val="1130"/>
        </w:numPr>
        <w:pStyle w:val="Compact"/>
      </w:pPr>
      <w:r>
        <w:t xml:space="preserve">Finaliser le</w:t>
      </w:r>
      <w:r>
        <w:t xml:space="preserve"> </w:t>
      </w:r>
      <w:r>
        <w:rPr>
          <w:bCs/>
          <w:b/>
        </w:rPr>
        <w:t xml:space="preserve">modèle tarifaire du secteur d’ici fin 2025</w:t>
      </w:r>
      <w:r>
        <w:t xml:space="preserve"> </w:t>
      </w:r>
      <w:r>
        <w:t xml:space="preserve">; recruter un consultant mi-2026 ; élaborer et valider la</w:t>
      </w:r>
      <w:r>
        <w:t xml:space="preserve"> </w:t>
      </w:r>
      <w:r>
        <w:rPr>
          <w:bCs/>
          <w:b/>
        </w:rPr>
        <w:t xml:space="preserve">politique tarifaire fin 2027</w:t>
      </w:r>
      <w:r>
        <w:t xml:space="preserve"> </w:t>
      </w:r>
      <w:r>
        <w:t xml:space="preserve">[1] [V] (la déclaration dit « d’ici fin 2026 » [1] — incohérence). Politique tarifaire « en fonction de la typologie des clients » tenant compte des mini-grids ruraux [1] [V].</w:t>
      </w:r>
    </w:p>
    <w:p>
      <w:pPr>
        <w:numPr>
          <w:ilvl w:val="0"/>
          <w:numId w:val="1130"/>
        </w:numPr>
        <w:pStyle w:val="Compact"/>
      </w:pPr>
      <w:r>
        <w:t xml:space="preserve">Tarif moyen MT/BT : 102,65 FCFA/kWh (2025) [1, Annexe II] [V].</w:t>
      </w:r>
    </w:p>
    <w:p>
      <w:pPr>
        <w:numPr>
          <w:ilvl w:val="0"/>
          <w:numId w:val="1130"/>
        </w:numPr>
        <w:pStyle w:val="Compact"/>
      </w:pPr>
      <w:r>
        <w:t xml:space="preserve">Budgétisation de la compensation tarifaire, de la consommation des administrations et du prorata TVA « à due concurrence avec la décision tarifaire » de l’ARSEL, inscrite dans la circulaire d’exécution du budget [1] [V].</w:t>
      </w:r>
    </w:p>
    <w:p>
      <w:pPr>
        <w:numPr>
          <w:ilvl w:val="0"/>
          <w:numId w:val="1130"/>
        </w:numPr>
        <w:pStyle w:val="Compact"/>
      </w:pPr>
      <w:r>
        <w:t xml:space="preserve">Pas d’engagement explicite de hausse des tarifs BT résidentiels [1] [V].</w:t>
      </w:r>
    </w:p>
    <w:bookmarkEnd w:id="142"/>
    <w:bookmarkStart w:id="143" w:name="Xf72e4c9698b7d873b154ce0f7558e3423917b6a"/>
    <w:p>
      <w:pPr>
        <w:pStyle w:val="Heading4"/>
      </w:pPr>
      <w:r>
        <w:t xml:space="preserve">3.2 Opérateur (redressement, contrats de performance, pertes, recouvrement, compteurs)</w:t>
      </w:r>
    </w:p>
    <w:p>
      <w:pPr>
        <w:numPr>
          <w:ilvl w:val="0"/>
          <w:numId w:val="1131"/>
        </w:numPr>
        <w:pStyle w:val="Compact"/>
      </w:pPr>
      <w:r>
        <w:rPr>
          <w:bCs/>
          <w:b/>
        </w:rPr>
        <w:t xml:space="preserve">Restructuration d’ENEO d’ici fin 2026</w:t>
      </w:r>
      <w:r>
        <w:t xml:space="preserve"> </w:t>
      </w:r>
      <w:r>
        <w:t xml:space="preserve">: (i) finaliser le rachat des actions d’Actis (2025) ; (ii) diagnostic et plan de redressement d’ici février 2026 ; (iii) restructurer les dettes (2026) ; inventaire des actifs de distribution (2025) [1] [V].</w:t>
      </w:r>
    </w:p>
    <w:p>
      <w:pPr>
        <w:numPr>
          <w:ilvl w:val="0"/>
          <w:numId w:val="1131"/>
        </w:numPr>
        <w:pStyle w:val="Compact"/>
      </w:pPr>
      <w:r>
        <w:t xml:space="preserve">Dettes ENEO fin décembre 2024 ≈ 800 milliards FCFA ; dette fournisseurs ≈ 500 milliards ; créances ≈ 80 milliards [1, Pilier V] [V]. Annexe II : endettement 766,2 M USD ; arriérés administration 10 milliards, entités publiques 72 milliards [1] [V].</w:t>
      </w:r>
    </w:p>
    <w:p>
      <w:pPr>
        <w:numPr>
          <w:ilvl w:val="0"/>
          <w:numId w:val="1131"/>
        </w:numPr>
        <w:pStyle w:val="Compact"/>
      </w:pPr>
      <w:r>
        <w:t xml:space="preserve">Recouvrement global 72 % (sans monétisations) ; objectif 100 % des factures à partir de 2026 (Défis) ou 90 % en 2030 (tableau) [1] [V].</w:t>
      </w:r>
    </w:p>
    <w:p>
      <w:pPr>
        <w:numPr>
          <w:ilvl w:val="0"/>
          <w:numId w:val="1131"/>
        </w:numPr>
        <w:pStyle w:val="Compact"/>
      </w:pPr>
      <w:r>
        <w:t xml:space="preserve">Pertes : techniques 14 % et commerciales 14 % en 2023 (rapport ENEO) [1, Pilier V] ; Annexe II : 15 % + 15 % [1] [V]. Rendement de distribution 73 % → 88 % (2030) [1] [V].</w:t>
      </w:r>
    </w:p>
    <w:p>
      <w:pPr>
        <w:numPr>
          <w:ilvl w:val="0"/>
          <w:numId w:val="1131"/>
        </w:numPr>
        <w:pStyle w:val="Compact"/>
      </w:pPr>
      <w:r>
        <w:t xml:space="preserve">Compteurs : conversion de 600 000 des 1 334 908 clients postpayés au prépaiement ; compteurs intelligents dans les postes MT/BT (2025-2030) ; AMI/smart grid (2027) ; « une maison, un compteur » contre la fraude dès 2025 ; brigade anti-fraude au MINEE en 2026 [1] [V].</w:t>
      </w:r>
    </w:p>
    <w:p>
      <w:pPr>
        <w:numPr>
          <w:ilvl w:val="0"/>
          <w:numId w:val="1131"/>
        </w:numPr>
        <w:pStyle w:val="Compact"/>
      </w:pPr>
      <w:r>
        <w:t xml:space="preserve">Factures publiques : arrêté conjoint MINEE-MINFI en préparation ; compteurs communicants sur les points de livraison de l’État d’ici fin 2026 ; plan de règlement des dettes croisées État-concessionnaire d’ici fin 2025 ; prélèvement à la source (factures du mois n-1 dans le fichier de paie des établissements publics) [1] [V].</w:t>
      </w:r>
    </w:p>
    <w:p>
      <w:pPr>
        <w:numPr>
          <w:ilvl w:val="0"/>
          <w:numId w:val="1131"/>
        </w:numPr>
        <w:pStyle w:val="Compact"/>
      </w:pPr>
      <w:r>
        <w:rPr>
          <w:bCs/>
          <w:b/>
        </w:rPr>
        <w:t xml:space="preserve">Équilibre financier du secteur en 2028</w:t>
      </w:r>
      <w:r>
        <w:t xml:space="preserve"> </w:t>
      </w:r>
      <w:r>
        <w:t xml:space="preserve">; modèle financier du secteur fin 2025 ; mécanisme de cascade de paiement avec clé de répartition des recettes ; fonds de stabilisation des paiements (blended fund) en 2026 [1] [V].</w:t>
      </w:r>
    </w:p>
    <w:p>
      <w:pPr>
        <w:numPr>
          <w:ilvl w:val="0"/>
          <w:numId w:val="1131"/>
        </w:numPr>
        <w:pStyle w:val="Compact"/>
      </w:pPr>
      <w:r>
        <w:t xml:space="preserve">États financiers de toutes les entreprises du secteur publiés au plus tard 6 mois avant la fin de N+1 [1] [V].</w:t>
      </w:r>
    </w:p>
    <w:bookmarkEnd w:id="143"/>
    <w:bookmarkStart w:id="144" w:name="régulation-et-gouvernance-4"/>
    <w:p>
      <w:pPr>
        <w:pStyle w:val="Heading4"/>
      </w:pPr>
      <w:r>
        <w:t xml:space="preserve">3.3 Régulation et gouvernance</w:t>
      </w:r>
    </w:p>
    <w:p>
      <w:pPr>
        <w:numPr>
          <w:ilvl w:val="0"/>
          <w:numId w:val="1132"/>
        </w:numPr>
        <w:pStyle w:val="Compact"/>
      </w:pPr>
      <w:r>
        <w:t xml:space="preserve">Politique énergétique nationale (2027) ; plans directeurs production/transport/distribution ; mise à jour PDSE, PDER, PNADER ; stratégie nationale d’électrification ; plan directeur ENR [1] [V].</w:t>
      </w:r>
    </w:p>
    <w:p>
      <w:pPr>
        <w:numPr>
          <w:ilvl w:val="0"/>
          <w:numId w:val="1132"/>
        </w:numPr>
        <w:pStyle w:val="Compact"/>
      </w:pPr>
      <w:r>
        <w:t xml:space="preserve">Révision de la Loi n° 2011/022 sur l’électricité (2026, forum T1 2027), y compris PPP pour le transport [1] [V] ; loi spécifique ENR adoptée en 2027 [1] [V].</w:t>
      </w:r>
    </w:p>
    <w:p>
      <w:pPr>
        <w:numPr>
          <w:ilvl w:val="0"/>
          <w:numId w:val="1132"/>
        </w:numPr>
        <w:pStyle w:val="Compact"/>
      </w:pPr>
      <w:r>
        <w:t xml:space="preserve">Code des mini-réseaux d’ici fin 2026 (consultant recruté par la BM), incluant la compensation des développeurs en cas d’arrivée du réseau [1] [V].</w:t>
      </w:r>
    </w:p>
    <w:p>
      <w:pPr>
        <w:numPr>
          <w:ilvl w:val="0"/>
          <w:numId w:val="1132"/>
        </w:numPr>
        <w:pStyle w:val="Compact"/>
      </w:pPr>
      <w:r>
        <w:t xml:space="preserve">Stratégie de numérisation du secteur (2026, mise en œuvre 2027-2029) [1] [V].</w:t>
      </w:r>
    </w:p>
    <w:p>
      <w:pPr>
        <w:numPr>
          <w:ilvl w:val="0"/>
          <w:numId w:val="1132"/>
        </w:numPr>
        <w:pStyle w:val="Compact"/>
      </w:pPr>
      <w:r>
        <w:t xml:space="preserve">Unité permanente de coordination des PTF (2026) [1] [V].</w:t>
      </w:r>
    </w:p>
    <w:bookmarkEnd w:id="144"/>
    <w:bookmarkStart w:id="145" w:name="X4b6a8240fdf91d8bf982728228af593c79bacc3"/>
    <w:p>
      <w:pPr>
        <w:pStyle w:val="Heading4"/>
      </w:pPr>
      <w:r>
        <w:t xml:space="preserve">3.4 Participation du privé (producteurs indépendants, concessions, hors réseau)</w:t>
      </w:r>
    </w:p>
    <w:p>
      <w:pPr>
        <w:numPr>
          <w:ilvl w:val="0"/>
          <w:numId w:val="1133"/>
        </w:numPr>
        <w:pStyle w:val="Compact"/>
      </w:pPr>
      <w:r>
        <w:t xml:space="preserve">Plan national de passation des marchés de production (PNPP) pluriannuel (2026) ; sélection compétitive des IPP par AMI ; PPA types (2026-2027) ; critères publics (LCOE, E&amp;S, délai, contenu local) ; registre public des projets avec statut des PPA et tarifs (2026) [1] [V].</w:t>
      </w:r>
    </w:p>
    <w:p>
      <w:pPr>
        <w:numPr>
          <w:ilvl w:val="0"/>
          <w:numId w:val="1133"/>
        </w:numPr>
        <w:pStyle w:val="Compact"/>
      </w:pPr>
      <w:r>
        <w:rPr>
          <w:bCs/>
          <w:b/>
        </w:rPr>
        <w:t xml:space="preserve">Audit des MoU signés de gré à gré</w:t>
      </w:r>
      <w:r>
        <w:t xml:space="preserve"> </w:t>
      </w:r>
      <w:r>
        <w:t xml:space="preserve">et plan de transition/restructuration (2026) ; étude et évaluation des contrats IPP existants d’ici fin 2026 [1] [V]. Le pacte reconnaît que les BOT (Take or Pay) font porter des risques à l’État [1] [V].</w:t>
      </w:r>
    </w:p>
    <w:p>
      <w:pPr>
        <w:numPr>
          <w:ilvl w:val="0"/>
          <w:numId w:val="1133"/>
        </w:numPr>
        <w:pStyle w:val="Compact"/>
      </w:pPr>
      <w:r>
        <w:t xml:space="preserve">Garanties contractuelles : non-rétroactivité, protection contre modifications unilatérales, adhésion aux conventions de règlement des différends (dès 2026) [1] [V].</w:t>
      </w:r>
    </w:p>
    <w:p>
      <w:pPr>
        <w:numPr>
          <w:ilvl w:val="0"/>
          <w:numId w:val="1133"/>
        </w:numPr>
        <w:pStyle w:val="Compact"/>
      </w:pPr>
      <w:r>
        <w:t xml:space="preserve">PPP transport avec la SONATREL (projets identifiés fin 2026) [1] [V].</w:t>
      </w:r>
    </w:p>
    <w:p>
      <w:pPr>
        <w:numPr>
          <w:ilvl w:val="0"/>
          <w:numId w:val="1133"/>
        </w:numPr>
        <w:pStyle w:val="Compact"/>
      </w:pPr>
      <w:r>
        <w:t xml:space="preserve">Hors réseau : PAEHR (adoption 2027), fonds revolving pour kits solaires (2027), révision des frais d’instruction des titres (2026) [1] [V].</w:t>
      </w:r>
    </w:p>
    <w:p>
      <w:pPr>
        <w:numPr>
          <w:ilvl w:val="0"/>
          <w:numId w:val="1133"/>
        </w:numPr>
        <w:pStyle w:val="Compact"/>
      </w:pPr>
      <w:r>
        <w:t xml:space="preserve">Projets hydro privés : Kikot (500 MW, EDF), Bini à Warak (90 MW), Grand Eweng (1 035 MW), Minkouma (300 MW), Chollet (600 MW) [1] [V].</w:t>
      </w:r>
    </w:p>
    <w:bookmarkEnd w:id="145"/>
    <w:bookmarkStart w:id="146" w:name="Xd89edf27a220f88d103d986f61434781c26ac8c"/>
    <w:p>
      <w:pPr>
        <w:pStyle w:val="Heading4"/>
      </w:pPr>
      <w:r>
        <w:t xml:space="preserve">3.5 Intégration régionale (pools énergétiques, interconnexions)</w:t>
      </w:r>
    </w:p>
    <w:p>
      <w:pPr>
        <w:numPr>
          <w:ilvl w:val="0"/>
          <w:numId w:val="1134"/>
        </w:numPr>
        <w:pStyle w:val="Compact"/>
      </w:pPr>
      <w:r>
        <w:t xml:space="preserve">Ambition de devenir exportateur d’électricité d’ici 2030 [1] [V].</w:t>
      </w:r>
    </w:p>
    <w:p>
      <w:pPr>
        <w:numPr>
          <w:ilvl w:val="0"/>
          <w:numId w:val="1134"/>
        </w:numPr>
        <w:pStyle w:val="Compact"/>
      </w:pPr>
      <w:r>
        <w:t xml:space="preserve">Interconnexion Cameroun-Tchad achevée d’ici fin 2028 [1] [V] (le pacte tchadien dit 2027) ; études HT Cameroun-Nigeria d’ici fin 2027 (PEAC/WAPP) ; comités inter-États avec Nigeria, RCA, Guinée équatoriale, Congo, Gabon d’ici fin 2026 [1] [V].</w:t>
      </w:r>
    </w:p>
    <w:p>
      <w:pPr>
        <w:numPr>
          <w:ilvl w:val="0"/>
          <w:numId w:val="1134"/>
        </w:numPr>
        <w:pStyle w:val="Compact"/>
      </w:pPr>
      <w:r>
        <w:t xml:space="preserve">Tarification harmonisée du transport au PEAC d’ici 2027 ; code de raccordement transfrontalier fin 2026 ; appui à la CORREAC (2026) [1] [V].</w:t>
      </w:r>
    </w:p>
    <w:p>
      <w:pPr>
        <w:numPr>
          <w:ilvl w:val="0"/>
          <w:numId w:val="1134"/>
        </w:numPr>
        <w:pStyle w:val="Compact"/>
      </w:pPr>
      <w:r>
        <w:t xml:space="preserve">Faciliter l’interconnexion WAPP-PEAC [1] [V].</w:t>
      </w:r>
    </w:p>
    <w:bookmarkEnd w:id="146"/>
    <w:bookmarkStart w:id="147" w:name="autres-fiscalité-foncier-local-content-1"/>
    <w:p>
      <w:pPr>
        <w:pStyle w:val="Heading4"/>
      </w:pPr>
      <w:r>
        <w:t xml:space="preserve">3.6 Autres (fiscalité, foncier, local content)</w:t>
      </w:r>
    </w:p>
    <w:p>
      <w:pPr>
        <w:numPr>
          <w:ilvl w:val="0"/>
          <w:numId w:val="1135"/>
        </w:numPr>
        <w:pStyle w:val="Compact"/>
      </w:pPr>
      <w:r>
        <w:t xml:space="preserve">Incitations de l’ordonnance n° 2025/002 du 18-07-2025 ; prorogation et extension des exonérations des lois de finances 2012 et 2024 aux équipements de cuisson propre (2026) ; exonérations douanières pour la production de biocombustibles (2026) [1] [V].</w:t>
      </w:r>
    </w:p>
    <w:p>
      <w:pPr>
        <w:numPr>
          <w:ilvl w:val="0"/>
          <w:numId w:val="1135"/>
        </w:numPr>
        <w:pStyle w:val="Compact"/>
      </w:pPr>
      <w:r>
        <w:t xml:space="preserve">Cadre incitatif pour la production locale d’équipements électriques (câbles, isolateurs, transformateurs) et le recyclage (2026-2027) [1] [V].</w:t>
      </w:r>
    </w:p>
    <w:p>
      <w:pPr>
        <w:numPr>
          <w:ilvl w:val="0"/>
          <w:numId w:val="1135"/>
        </w:numPr>
        <w:pStyle w:val="Compact"/>
      </w:pPr>
      <w:r>
        <w:t xml:space="preserve">Académie/centre régional de formation aux métiers de l’électricité (2027) [1] [V].</w:t>
      </w:r>
    </w:p>
    <w:p>
      <w:pPr>
        <w:numPr>
          <w:ilvl w:val="0"/>
          <w:numId w:val="1135"/>
        </w:numPr>
        <w:pStyle w:val="Compact"/>
      </w:pPr>
      <w:r>
        <w:t xml:space="preserve">Normes : IEC/TS 62257-9-8 (ANOR) ; NMPE pour appareils (2027) [1] [V].</w:t>
      </w:r>
    </w:p>
    <w:bookmarkEnd w:id="147"/>
    <w:bookmarkEnd w:id="148"/>
    <w:bookmarkStart w:id="149" w:name="financement-6"/>
    <w:p>
      <w:pPr>
        <w:pStyle w:val="Heading3"/>
      </w:pPr>
      <w:r>
        <w:t xml:space="preserve">4. Financement</w:t>
      </w:r>
    </w:p>
    <w:p>
      <w:pPr>
        <w:numPr>
          <w:ilvl w:val="0"/>
          <w:numId w:val="1136"/>
        </w:numPr>
        <w:pStyle w:val="Compact"/>
      </w:pPr>
      <w:r>
        <w:t xml:space="preserve">Besoin total : 12 554 M USD 2025-2030 (≈ 7 751 milliards FCFA) ; public 1 588 M ; prêts concessionnels/philanthropes 4 594 M ; privé 6 372 M [1, tableau] [V]. « Dont 6,4 Md USD reste à financer » [1] [V]. Ventilation : production 6 667 ; transport 2 399 ; distribution 1 551 ; mini-réseaux/hors réseau 1 592 ; SHS 45 ; cuisson 114 ; efficacité énergétique 106 ; réformes/capacités 80 (M USD) [1] [V].</w:t>
      </w:r>
    </w:p>
    <w:p>
      <w:pPr>
        <w:numPr>
          <w:ilvl w:val="0"/>
          <w:numId w:val="1136"/>
        </w:numPr>
        <w:pStyle w:val="Compact"/>
      </w:pPr>
      <w:r>
        <w:t xml:space="preserve">Disponible en 2025 : 365,5 M USD (PARSEC et PforR) ; écart annuel à mobiliser : 2,4412 Md USD [1, Annexe II] [V].</w:t>
      </w:r>
    </w:p>
    <w:p>
      <w:pPr>
        <w:numPr>
          <w:ilvl w:val="0"/>
          <w:numId w:val="1136"/>
        </w:numPr>
        <w:pStyle w:val="Compact"/>
      </w:pPr>
      <w:r>
        <w:t xml:space="preserve">Engagements cités (Annexe I) [1] [V] :</w:t>
      </w:r>
    </w:p>
    <w:p>
      <w:pPr>
        <w:numPr>
          <w:ilvl w:val="1"/>
          <w:numId w:val="1137"/>
        </w:numPr>
        <w:pStyle w:val="Compact"/>
      </w:pPr>
      <w:r>
        <w:t xml:space="preserve">BM — PforR secteur électricité (2023-2027) : 300 M USD ;</w:t>
      </w:r>
    </w:p>
    <w:p>
      <w:pPr>
        <w:numPr>
          <w:ilvl w:val="1"/>
          <w:numId w:val="1137"/>
        </w:numPr>
        <w:pStyle w:val="Compact"/>
      </w:pPr>
      <w:r>
        <w:t xml:space="preserve">BM — PRRTERS (2017-2025) : 325 M USD BIRD + 50 M USD État ;</w:t>
      </w:r>
    </w:p>
    <w:p>
      <w:pPr>
        <w:numPr>
          <w:ilvl w:val="1"/>
          <w:numId w:val="1137"/>
        </w:numPr>
        <w:pStyle w:val="Compact"/>
      </w:pPr>
      <w:r>
        <w:t xml:space="preserve">BM — PERACE (2020-2025) : IDA 66 963 132 232 FCFA ; UE 10,2 milliards FCFA ; BEI 28,2 milliards FCFA ;</w:t>
      </w:r>
    </w:p>
    <w:p>
      <w:pPr>
        <w:numPr>
          <w:ilvl w:val="1"/>
          <w:numId w:val="1137"/>
        </w:numPr>
        <w:pStyle w:val="Compact"/>
      </w:pPr>
      <w:r>
        <w:t xml:space="preserve">Interconnexion Cameroun-Tchad : BM 296 M USD ; BAD 228,38 M USD ; BID 134 M USD ; FAD 7,75 M ; UE 31,48 M ; États 89,81 M ;</w:t>
      </w:r>
    </w:p>
    <w:p>
      <w:pPr>
        <w:numPr>
          <w:ilvl w:val="1"/>
          <w:numId w:val="1137"/>
        </w:numPr>
        <w:pStyle w:val="Compact"/>
      </w:pPr>
      <w:r>
        <w:t xml:space="preserve">BAD — PARSEC (2024-2025) : 74 251 800 EUR ;</w:t>
      </w:r>
    </w:p>
    <w:p>
      <w:pPr>
        <w:numPr>
          <w:ilvl w:val="1"/>
          <w:numId w:val="1137"/>
        </w:numPr>
        <w:pStyle w:val="Compact"/>
      </w:pPr>
      <w:r>
        <w:t xml:space="preserve">Lom Pangar : 276,332 milliards FCFA ; Nachtigal (IFC, EDF, Africa50, Stoa…) ; Kikot (EDF/État) ; électrification de 200 localités par solaire : 146,574 M EUR ;</w:t>
      </w:r>
    </w:p>
    <w:p>
      <w:pPr>
        <w:numPr>
          <w:ilvl w:val="1"/>
          <w:numId w:val="1137"/>
        </w:numPr>
        <w:pStyle w:val="Compact"/>
      </w:pPr>
      <w:r>
        <w:t xml:space="preserve">Appuis antérieurs au secteur : BM 180 milliards FCFA, BAD 48 milliards FCFA [1, Pilier V] [V].</w:t>
      </w:r>
    </w:p>
    <w:bookmarkEnd w:id="149"/>
    <w:bookmarkStart w:id="150" w:name="calendrier-et-suivi-6"/>
    <w:p>
      <w:pPr>
        <w:pStyle w:val="Heading3"/>
      </w:pPr>
      <w:r>
        <w:t xml:space="preserve">5. Calendrier et suivi</w:t>
      </w:r>
    </w:p>
    <w:p>
      <w:pPr>
        <w:numPr>
          <w:ilvl w:val="0"/>
          <w:numId w:val="1138"/>
        </w:numPr>
        <w:pStyle w:val="Compact"/>
      </w:pPr>
      <w:r>
        <w:t xml:space="preserve">Jalons : 2025 (rachat Actis, modèle tarifaire et modèle financier, plan dettes croisées, hybridation de 6 centrales attribuée) ; fév. 2026 (plan de redressement ENEO) ; 2026 (restructuration ENEO et dettes, code mini-réseaux, plateforme statistique, stratégie cuisson, fonds de stabilisation, PNPP, audit MoU) ; 2027 (politique énergétique, loi ENR, politique tarifaire, tarif PEAC) ; 2028 (équilibre financier, interconnexions RIS-RIN et Tchad) ; 2030 (accès universel, rendement 88 %) [1] [V].</w:t>
      </w:r>
    </w:p>
    <w:p>
      <w:pPr>
        <w:numPr>
          <w:ilvl w:val="0"/>
          <w:numId w:val="1138"/>
        </w:numPr>
        <w:pStyle w:val="Compact"/>
      </w:pPr>
      <w:r>
        <w:t xml:space="preserve">Suivi : Unité de suivi du Compact (USC) rattachée aux services du Premier ministre ; Comité technique interministériel (CTI) présidé par le ministre de l’Eau et de l’Énergie (réunions bimensuelles, approuve le PTBA avant le 30 juin) ; Unité opérationnelle au MINEE (coordonnée par le Directeur de l’Électricité) [1, Pilier V] [V].</w:t>
      </w:r>
    </w:p>
    <w:p>
      <w:pPr>
        <w:numPr>
          <w:ilvl w:val="0"/>
          <w:numId w:val="1138"/>
        </w:numPr>
        <w:pStyle w:val="Compact"/>
      </w:pPr>
      <w:r>
        <w:t xml:space="preserve">Aucun rapport d’avancement public trouvé [2] [V].</w:t>
      </w:r>
    </w:p>
    <w:bookmarkEnd w:id="150"/>
    <w:bookmarkStart w:id="151" w:name="lecture-critique-3"/>
    <w:p>
      <w:pPr>
        <w:pStyle w:val="Heading3"/>
      </w:pPr>
      <w:r>
        <w:t xml:space="preserve">6. Lecture critique</w:t>
      </w:r>
    </w:p>
    <w:p>
      <w:pPr>
        <w:numPr>
          <w:ilvl w:val="0"/>
          <w:numId w:val="1139"/>
        </w:numPr>
        <w:pStyle w:val="Compact"/>
      </w:pPr>
      <w:r>
        <w:t xml:space="preserve">Réalisme des cibles : 74 % → 100 % en 5 ans (+5 points/an contre +2/an réalisés) suppose de raccorder surtout le rural (&lt; 25 %), plus coûteux ; le pacte ne ventile pas réseau/hors réseau et ne consacre que 45 M USD aux SHS [1] [E]. Les chiffres de personnes (8 M vs 33 M) et de cuisson (13,4 / 19,8 M ; 1,7 vs 2,4 M/an) sont incohérents, ce qui affaiblit le suivi. La cible ENR de 10 % est modeste dans un système déjà ~70 % hydro (selon la définition retenue) [E].</w:t>
      </w:r>
    </w:p>
    <w:p>
      <w:pPr>
        <w:numPr>
          <w:ilvl w:val="0"/>
          <w:numId w:val="1139"/>
        </w:numPr>
        <w:pStyle w:val="Compact"/>
      </w:pPr>
      <w:r>
        <w:t xml:space="preserve">Engagements tarifaires :</w:t>
      </w:r>
      <w:r>
        <w:t xml:space="preserve"> </w:t>
      </w:r>
      <w:r>
        <w:rPr>
          <w:bCs/>
          <w:b/>
        </w:rPr>
        <w:t xml:space="preserve">parmi les plus précis du groupe</w:t>
      </w:r>
      <w:r>
        <w:t xml:space="preserve"> </w:t>
      </w:r>
      <w:r>
        <w:t xml:space="preserve">— réduction de la compensation de 6 %/an, arrimage MT au coût de service (+10 %/an), budgétisation de la compensation, cascade de paiements. Mais le gel BT résidentiel depuis 2012 n’est pas explicitement levé ; la politique tarifaire n’arrive qu’en 2027 ; deux dates (fin 2026/fin 2027) coexistent [E].</w:t>
      </w:r>
    </w:p>
    <w:p>
      <w:pPr>
        <w:numPr>
          <w:ilvl w:val="0"/>
          <w:numId w:val="1139"/>
        </w:numPr>
        <w:pStyle w:val="Compact"/>
      </w:pPr>
      <w:r>
        <w:t xml:space="preserve">Risques principaux : dette ENEO (~800 milliards FCFA) et sortie d’Actis — risque de renationalisation de fait sans capitalisation ; contrats BOT take-or-pay ; dépendance à l’offtaker pour toute la stratégie PPP ; arriérés publics ; risque hydrologique [1] [E].</w:t>
      </w:r>
    </w:p>
    <w:p>
      <w:pPr>
        <w:numPr>
          <w:ilvl w:val="0"/>
          <w:numId w:val="1139"/>
        </w:numPr>
        <w:pStyle w:val="Compact"/>
      </w:pPr>
      <w:r>
        <w:t xml:space="preserve">Points à approfondir : phase 2 — modalités et prix du rachat des parts d’Actis, plan de redressement ENEO (février 2026), statut du contrat de concession ENEO, contrats de performance ; phase 3 — modèle tarifaire 2025, trajectoire BT, compensation réelle (67 milliards FCFA en 2025), tarifs des IPP (Kribi, Dibamba, Nachtigal).</w:t>
      </w:r>
    </w:p>
    <w:bookmarkEnd w:id="151"/>
    <w:bookmarkStart w:id="152" w:name="inconnus-données-non-trouvées-6"/>
    <w:p>
      <w:pPr>
        <w:pStyle w:val="Heading3"/>
      </w:pPr>
      <w:r>
        <w:t xml:space="preserve">7. Inconnus / données non trouvées</w:t>
      </w:r>
    </w:p>
    <w:p>
      <w:pPr>
        <w:numPr>
          <w:ilvl w:val="0"/>
          <w:numId w:val="1140"/>
        </w:numPr>
        <w:pStyle w:val="Compact"/>
      </w:pPr>
      <w:r>
        <w:t xml:space="preserve">Événement et date exacte de présentation du pacte [?].</w:t>
      </w:r>
    </w:p>
    <w:p>
      <w:pPr>
        <w:numPr>
          <w:ilvl w:val="0"/>
          <w:numId w:val="1140"/>
        </w:numPr>
        <w:pStyle w:val="Compact"/>
      </w:pPr>
      <w:r>
        <w:t xml:space="preserve">Ventilation réseau / mini-réseau / SHS des nouveaux accès [?].</w:t>
      </w:r>
    </w:p>
    <w:p>
      <w:pPr>
        <w:numPr>
          <w:ilvl w:val="0"/>
          <w:numId w:val="1140"/>
        </w:numPr>
        <w:pStyle w:val="Compact"/>
      </w:pPr>
      <w:r>
        <w:t xml:space="preserve">Définition précise de la « part des ENR » (avec ou sans grande hydro) [?].</w:t>
      </w:r>
    </w:p>
    <w:p>
      <w:pPr>
        <w:numPr>
          <w:ilvl w:val="0"/>
          <w:numId w:val="1140"/>
        </w:numPr>
        <w:pStyle w:val="Compact"/>
      </w:pPr>
      <w:r>
        <w:t xml:space="preserve">Revenus par type de client ; rentabilité des sociétés (cases vides de l’Annexe II) [?].</w:t>
      </w:r>
    </w:p>
    <w:p>
      <w:pPr>
        <w:numPr>
          <w:ilvl w:val="0"/>
          <w:numId w:val="1140"/>
        </w:numPr>
        <w:pStyle w:val="Compact"/>
      </w:pPr>
      <w:r>
        <w:t xml:space="preserve">Date de finalisation effective du rachat Actis [?] (non vérifié hors pacte).</w:t>
      </w:r>
    </w:p>
    <w:bookmarkEnd w:id="152"/>
    <w:bookmarkStart w:id="153" w:name="sources-7"/>
    <w:p>
      <w:pPr>
        <w:pStyle w:val="Heading3"/>
      </w:pPr>
      <w:r>
        <w:t xml:space="preserve">Sources</w:t>
      </w:r>
    </w:p>
    <w:p>
      <w:pPr>
        <w:pStyle w:val="FirstParagraph"/>
      </w:pPr>
      <w:r>
        <w:t xml:space="preserve">[1] Gouvernement du Cameroun, « Compact énergétique de la République du Cameroun », Mission 300, s.d. (PDF créé le 22-09-2025), 58 p. https://www.worldbank.org/content/dam/theworldbankgroupasset/document/2026/m300-energy-compacts/Cameroon-National-Energy-Compact-Mission-300.pdf, consulté le 2026-10-18.</w:t>
      </w:r>
      <w:r>
        <w:t xml:space="preserve"> </w:t>
      </w:r>
      <w:r>
        <w:t xml:space="preserve">[2] Banque mondiale, « National Energy Compacts » (page de liste des pactes, date « Sep 2025 » affichée pour le Cameroun, pas de rapport d’avancement). https://www.worldbank.org/ext/en/energizingafrica/national-energy-compacts, consulté le 2026-10-18.</w:t>
      </w:r>
    </w:p>
    <w:p>
      <w:r>
        <w:br w:type="page"/>
      </w:r>
    </w:p>
    <w:bookmarkEnd w:id="153"/>
    <w:bookmarkEnd w:id="154"/>
    <w:bookmarkStart w:id="170" w:name="X63fd4dd8ff5f9b7664dd6ab59484882d190f4cb"/>
    <w:p>
      <w:pPr>
        <w:pStyle w:val="Heading2"/>
      </w:pPr>
      <w:r>
        <w:t xml:space="preserve">Fiche pacte national de l’énergie — République démocratique du Congo</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155" w:name="métadonnées-7"/>
    <w:p>
      <w:pPr>
        <w:pStyle w:val="Heading3"/>
      </w:pPr>
      <w:r>
        <w:t xml:space="preserve">0. Métadonnées</w:t>
      </w:r>
    </w:p>
    <w:p>
      <w:pPr>
        <w:numPr>
          <w:ilvl w:val="0"/>
          <w:numId w:val="1141"/>
        </w:numPr>
        <w:pStyle w:val="Compact"/>
      </w:pPr>
      <w:r>
        <w:t xml:space="preserve">Cohorte / date de présentation : 1re cohorte (12 pays), présenté en janvier 2025 au Sommet africain de l’énergie de Dar es Salaam [2] [V]. Le document lui-même n’est pas daté ; métadonnées PDF : création le 24-01-2025 [1] [V].</w:t>
      </w:r>
    </w:p>
    <w:p>
      <w:pPr>
        <w:numPr>
          <w:ilvl w:val="0"/>
          <w:numId w:val="1141"/>
        </w:numPr>
        <w:pStyle w:val="Compact"/>
      </w:pPr>
      <w:r>
        <w:t xml:space="preserve">Document du pacte consulté : « Compact énergétique de la République démocratique du Congo (RDC) », en français, 28 p. (fichier</w:t>
      </w:r>
      <w:r>
        <w:t xml:space="preserve"> </w:t>
      </w:r>
      <w:r>
        <w:rPr>
          <w:rStyle w:val="VerbatimChar"/>
        </w:rPr>
        <w:t xml:space="preserve">DRC-M300-AES-Compact.pdf</w:t>
      </w:r>
      <w:r>
        <w:t xml:space="preserve">) [1]. Consulté aussi : « Mission 300 Compact Progress Report Q1 2026 — Democratic Republic of Congo », mars 2026, en anglais [2].</w:t>
      </w:r>
    </w:p>
    <w:p>
      <w:pPr>
        <w:numPr>
          <w:ilvl w:val="0"/>
          <w:numId w:val="1141"/>
        </w:numPr>
        <w:pStyle w:val="Compact"/>
      </w:pPr>
      <w:r>
        <w:t xml:space="preserve">Accès au texte intégral :</w:t>
      </w:r>
      <w:r>
        <w:t xml:space="preserve"> </w:t>
      </w:r>
      <w:r>
        <w:rPr>
          <w:bCs/>
          <w:b/>
        </w:rPr>
        <w:t xml:space="preserve">oui</w:t>
      </w:r>
      <w:r>
        <w:t xml:space="preserve"> </w:t>
      </w:r>
      <w:r>
        <w:t xml:space="preserve">(PDF téléchargé et lu intégralement le 2026-10-18).</w:t>
      </w:r>
    </w:p>
    <w:p>
      <w:pPr>
        <w:numPr>
          <w:ilvl w:val="0"/>
          <w:numId w:val="1141"/>
        </w:numPr>
        <w:pStyle w:val="Compact"/>
      </w:pPr>
      <w:r>
        <w:t xml:space="preserve">Opérateur(s) national(aux) d’électricité : Société Nationale d’Électricité (SNEL), verticalement intégrée, &gt; 90 % de la capacité, &gt; 1 million de clients [1, §2.1] [V]. ~30 petits IPP (100 kW à 39 MW) et une cinquantaine d’opérateurs privés enregistrés (Virunga Energie, ENK, Nuru, SOCODEE, EDC, Equatorial Power…) [1] [V]. Un</w:t>
      </w:r>
      <w:r>
        <w:t xml:space="preserve"> </w:t>
      </w:r>
      <w:r>
        <w:rPr>
          <w:bCs/>
          <w:b/>
        </w:rPr>
        <w:t xml:space="preserve">2e opérateur public</w:t>
      </w:r>
      <w:r>
        <w:t xml:space="preserve"> </w:t>
      </w:r>
      <w:r>
        <w:t xml:space="preserve">est prévu [1] [V].</w:t>
      </w:r>
    </w:p>
    <w:p>
      <w:pPr>
        <w:numPr>
          <w:ilvl w:val="0"/>
          <w:numId w:val="1141"/>
        </w:numPr>
        <w:pStyle w:val="Compact"/>
      </w:pPr>
      <w:r>
        <w:t xml:space="preserve">Régulateur : Autorité de Régulation du secteur de l’Électricité (ARE), créée par la Loi n° 14/011 du 17 juin 2014 ; agence d’électrification rurale : ANSER ; tutelle : Ministère des Ressources Hydrauliques et de l’Électricité (MRHE) [1] [V].</w:t>
      </w:r>
    </w:p>
    <w:bookmarkEnd w:id="155"/>
    <w:bookmarkStart w:id="156" w:name="situation-de-départ-selon-le-pacte-7"/>
    <w:p>
      <w:pPr>
        <w:pStyle w:val="Heading3"/>
      </w:pPr>
      <w:r>
        <w:t xml:space="preserve">1. Situation de départ (selon le pacte)</w:t>
      </w:r>
    </w:p>
    <w:p>
      <w:pPr>
        <w:numPr>
          <w:ilvl w:val="0"/>
          <w:numId w:val="1142"/>
        </w:numPr>
        <w:pStyle w:val="Compact"/>
      </w:pPr>
      <w:r>
        <w:t xml:space="preserve">Taux d’accès national / urbain / rural : 21,5 % (Rapport de suivi ODD7 2022, cité comme « actuel en 2024 ») ; les données gouvernementales indiquent 19 % [1, §2.1] [V]. Tableau des connexions (2022, en personnes) : national 21 219 000 (20,5 %) ; urbain 21 157 000 (52 %) ; rural 62 000 (0,1 %) en réseau, plus 767 000 (1 %) en mini-réseaux/SHS [1, §1.1] [V]. Kinshasa 60,8 % ; 22 provinces &lt; 5 % [1] [V].</w:t>
      </w:r>
    </w:p>
    <w:p>
      <w:pPr>
        <w:numPr>
          <w:ilvl w:val="0"/>
          <w:numId w:val="1142"/>
        </w:numPr>
        <w:pStyle w:val="Compact"/>
      </w:pPr>
      <w:r>
        <w:t xml:space="preserve">Base 2024 confirmée dans le rapport : 23 415 650 personnes avec accès [2] [V].</w:t>
      </w:r>
    </w:p>
    <w:p>
      <w:pPr>
        <w:numPr>
          <w:ilvl w:val="0"/>
          <w:numId w:val="1142"/>
        </w:numPr>
        <w:pStyle w:val="Compact"/>
      </w:pPr>
      <w:r>
        <w:t xml:space="preserve">Population : « entre 92 et 116 millions » [1, §2.1] ; « 130 millions d’habitants » en 2030 [1, Préambule] [V].</w:t>
      </w:r>
    </w:p>
    <w:p>
      <w:pPr>
        <w:numPr>
          <w:ilvl w:val="0"/>
          <w:numId w:val="1142"/>
        </w:numPr>
        <w:pStyle w:val="Compact"/>
      </w:pPr>
      <w:r>
        <w:t xml:space="preserve">Population sans accès : non chiffrée explicitement [?] (≈ 70-90 M selon la fourchette démographique [E]).</w:t>
      </w:r>
    </w:p>
    <w:p>
      <w:pPr>
        <w:numPr>
          <w:ilvl w:val="0"/>
          <w:numId w:val="1142"/>
        </w:numPr>
        <w:pStyle w:val="Compact"/>
      </w:pPr>
      <w:r>
        <w:t xml:space="preserve">Capacité installée, mix : 3 067 MW installés, 70 % disponibles ; Inga I et II = 1 775 MW ; 99 % de la production hydroélectrique (Annexe II : « 98 % hydro, 1 % solaire ») [1] [V]. Production 15 261 GWh (§1.1) vs 14 000 000 MWh (Annexe II) [1] [V]. Importations 1 753 000 MWh ; exportations 4 418 000 MWh [1, Annexe II] [V]. Potentiel hydro ≈ 100 GW dont ~3 % exploité [1] [V].</w:t>
      </w:r>
    </w:p>
    <w:p>
      <w:pPr>
        <w:numPr>
          <w:ilvl w:val="0"/>
          <w:numId w:val="1142"/>
        </w:numPr>
        <w:pStyle w:val="Compact"/>
      </w:pPr>
      <w:r>
        <w:t xml:space="preserve">Réseau : HT 6 937 km ; MT 5 640 km ; BT 17 986 km [1, Annexe II] [V].</w:t>
      </w:r>
    </w:p>
    <w:p>
      <w:pPr>
        <w:numPr>
          <w:ilvl w:val="0"/>
          <w:numId w:val="1142"/>
        </w:numPr>
        <w:pStyle w:val="Compact"/>
      </w:pPr>
      <w:r>
        <w:t xml:space="preserve">Accès à la cuisson propre : 1 % [1, §1] [V] ; &gt; 95 % des ménages utilisent la biomasse ; à Kinshasa charbon de bois 98 %, GPL 2 % (mais aussi « 14 % de la population de Kinshasa, soit 250 000 ménages » pour le GPL — chiffres contradictoires) [1] [V]. Coût sanitaire estimé 13,6 Md USD/an ; perte de productivité 16,1 Md USD/an [1] [V].</w:t>
      </w:r>
    </w:p>
    <w:bookmarkEnd w:id="156"/>
    <w:bookmarkStart w:id="157" w:name="cibles-2030-7"/>
    <w:p>
      <w:pPr>
        <w:pStyle w:val="Heading3"/>
      </w:pPr>
      <w:r>
        <w:t xml:space="preserve">2. Cibles 2030</w:t>
      </w:r>
    </w:p>
    <w:p>
      <w:pPr>
        <w:numPr>
          <w:ilvl w:val="0"/>
          <w:numId w:val="1143"/>
        </w:numPr>
        <w:pStyle w:val="Compact"/>
      </w:pPr>
      <w:r>
        <w:t xml:space="preserve">Accès électricité : 62 % en 2030 (contre 21,5 %), +60 millions de personnes (moyenne 12 M/an), rythme de 1 %/an à 6 %/an [1] [V]. Ventilation planifiée (personnes) : réseau 15 499 000 (13 %) ; mini-réseaux 19 919 000 (26,5 %) ; SHS 79 000 (1 %) ; total planifié 57 325 000 (62 %) [1, §1.1] [V]. Le rapport : +57 862 064 personnes, total 81 277 714 [2] [V]. → Les mini-réseaux portent davantage que le réseau [E].</w:t>
      </w:r>
    </w:p>
    <w:p>
      <w:pPr>
        <w:numPr>
          <w:ilvl w:val="0"/>
          <w:numId w:val="1143"/>
        </w:numPr>
        <w:pStyle w:val="Compact"/>
      </w:pPr>
      <w:r>
        <w:t xml:space="preserve">Part des renouvelables : maintenir 95 % ; capacité 3 067 → 13 576 MW ; production 15 261 → 65 000 GWh [1, §1.1] [V]. Le texte dit tantôt que la production « devrait doubler d’ici 2030 et quintupler d’ici 2040 » (préambule), tantôt que la capacité « devrait quintupler d’ici 2030 » (déclaration) [1] [V] — incohérence.</w:t>
      </w:r>
    </w:p>
    <w:p>
      <w:pPr>
        <w:numPr>
          <w:ilvl w:val="0"/>
          <w:numId w:val="1143"/>
        </w:numPr>
        <w:pStyle w:val="Compact"/>
      </w:pPr>
      <w:r>
        <w:t xml:space="preserve">Cuisson propre : 30 % en 2030 (contre 1 %), 40 millions de personnes / 5 millions de ménages, 5 %/an [1] [V].</w:t>
      </w:r>
    </w:p>
    <w:p>
      <w:pPr>
        <w:numPr>
          <w:ilvl w:val="0"/>
          <w:numId w:val="1143"/>
        </w:numPr>
        <w:pStyle w:val="Compact"/>
      </w:pPr>
      <w:r>
        <w:t xml:space="preserve">Autres cibles chiffrées :</w:t>
      </w:r>
    </w:p>
    <w:p>
      <w:pPr>
        <w:numPr>
          <w:ilvl w:val="1"/>
          <w:numId w:val="1144"/>
        </w:numPr>
        <w:pStyle w:val="Compact"/>
      </w:pPr>
      <w:r>
        <w:t xml:space="preserve">Pertes système : 46 % → 15 % en 2030 [1, §1.1] [V].</w:t>
      </w:r>
    </w:p>
    <w:p>
      <w:pPr>
        <w:numPr>
          <w:ilvl w:val="1"/>
          <w:numId w:val="1144"/>
        </w:numPr>
        <w:pStyle w:val="Compact"/>
      </w:pPr>
      <w:r>
        <w:t xml:space="preserve">Capital privé : référence 3,5 Md USD → 20 Md USD (production et réseaux) + 100 M USD cuisson propre [1, §1.1] [V]. Le rapport retient une base 2024 de 500 M USD [2] [V].</w:t>
      </w:r>
    </w:p>
    <w:p>
      <w:pPr>
        <w:numPr>
          <w:ilvl w:val="1"/>
          <w:numId w:val="1144"/>
        </w:numPr>
        <w:pStyle w:val="Compact"/>
      </w:pPr>
      <w:r>
        <w:t xml:space="preserve">4 000 MWc de solaire privé en modèle de concession [1, §1] [V].</w:t>
      </w:r>
    </w:p>
    <w:p>
      <w:pPr>
        <w:numPr>
          <w:ilvl w:val="1"/>
          <w:numId w:val="1144"/>
        </w:numPr>
        <w:pStyle w:val="Compact"/>
      </w:pPr>
      <w:r>
        <w:t xml:space="preserve">Norme qualité solaire CEI TS 62257-9-8 d’ici 2026 [1] [V].</w:t>
      </w:r>
    </w:p>
    <w:bookmarkEnd w:id="157"/>
    <w:bookmarkStart w:id="164" w:name="réformes-promises-cœur-de-lanalyse-4"/>
    <w:p>
      <w:pPr>
        <w:pStyle w:val="Heading3"/>
      </w:pPr>
      <w:r>
        <w:t xml:space="preserve">3. Réformes promises (cœur de l’analyse)</w:t>
      </w:r>
    </w:p>
    <w:bookmarkStart w:id="158" w:name="tarifs-et-subventions-7"/>
    <w:p>
      <w:pPr>
        <w:pStyle w:val="Heading4"/>
      </w:pPr>
      <w:r>
        <w:t xml:space="preserve">3.1 Tarifs et subventions</w:t>
      </w:r>
    </w:p>
    <w:p>
      <w:pPr>
        <w:numPr>
          <w:ilvl w:val="0"/>
          <w:numId w:val="1145"/>
        </w:numPr>
        <w:pStyle w:val="Compact"/>
      </w:pPr>
      <w:r>
        <w:rPr>
          <w:bCs/>
          <w:b/>
        </w:rPr>
        <w:t xml:space="preserve">Régime tarifaire permettant à la SNEL de couvrir ses coûts, à adopter et mettre en œuvre d’ici janvier 2026</w:t>
      </w:r>
      <w:r>
        <w:t xml:space="preserve"> </w:t>
      </w:r>
      <w:r>
        <w:t xml:space="preserve">[1, Plan d’actions Pilier V] [V] ; « ajustements tarifaires graduels » pour atteindre le recouvrement de 100 % des coûts opérationnels de la SNEL d’ici 2029 [1, §1] [V]. NB : l’intitulé de l’indicateur dit « Garantir 95 % de recouvrement des coûts opérationnels » d’ici fin 2029 [1] [V] — écart 95 %/100 %.</w:t>
      </w:r>
    </w:p>
    <w:p>
      <w:pPr>
        <w:numPr>
          <w:ilvl w:val="0"/>
          <w:numId w:val="1145"/>
        </w:numPr>
        <w:pStyle w:val="Compact"/>
      </w:pPr>
      <w:r>
        <w:t xml:space="preserve">Diagnostic : tarifs inférieurs aux coûts (« en moyenne 9 cents US$/kWh ») ; tarifs domestiques ne couvrant pas les coûts opérationnels ; coût moyen par kWh 0,4 US$/kWh (Annexe II) [1] [V]. Tarifs mini-réseaux validés : 25 à 70 cents USD/kWh [1] [V].</w:t>
      </w:r>
    </w:p>
    <w:p>
      <w:pPr>
        <w:numPr>
          <w:ilvl w:val="0"/>
          <w:numId w:val="1145"/>
        </w:numPr>
        <w:pStyle w:val="Compact"/>
      </w:pPr>
      <w:r>
        <w:t xml:space="preserve">Moratoire sur la parafiscalité, les droits indirects « ainsi que sur les tarifs préférentiels » d’ici fin 2029 [1] [V].</w:t>
      </w:r>
    </w:p>
    <w:p>
      <w:pPr>
        <w:numPr>
          <w:ilvl w:val="0"/>
          <w:numId w:val="1145"/>
        </w:numPr>
        <w:pStyle w:val="Compact"/>
      </w:pPr>
      <w:r>
        <w:t xml:space="preserve">Révision de la politique tarifaire d’électrification rurale d’ici fin 2025 [1] [V].</w:t>
      </w:r>
    </w:p>
    <w:p>
      <w:pPr>
        <w:numPr>
          <w:ilvl w:val="0"/>
          <w:numId w:val="1145"/>
        </w:numPr>
        <w:pStyle w:val="Compact"/>
      </w:pPr>
      <w:r>
        <w:t xml:space="preserve">Subventions : montant non renseigné (Annexe II vide) [1] → [?].</w:t>
      </w:r>
    </w:p>
    <w:p>
      <w:pPr>
        <w:numPr>
          <w:ilvl w:val="0"/>
          <w:numId w:val="1145"/>
        </w:numPr>
        <w:pStyle w:val="Compact"/>
      </w:pPr>
      <w:r>
        <w:t xml:space="preserve">Cuisson propre : suppression des droits d’importation sur composants, ou prise en charge par l’État jusqu’en 2030 [1] [V].</w:t>
      </w:r>
    </w:p>
    <w:bookmarkEnd w:id="158"/>
    <w:bookmarkStart w:id="159" w:name="Xeeb32a3a12ef1bdd4ec654b4308f3a1902fa668"/>
    <w:p>
      <w:pPr>
        <w:pStyle w:val="Heading4"/>
      </w:pPr>
      <w:r>
        <w:t xml:space="preserve">3.2 Opérateur (redressement, contrats de performance, pertes, recouvrement, compteurs)</w:t>
      </w:r>
    </w:p>
    <w:p>
      <w:pPr>
        <w:numPr>
          <w:ilvl w:val="0"/>
          <w:numId w:val="1146"/>
        </w:numPr>
        <w:pStyle w:val="Compact"/>
      </w:pPr>
      <w:r>
        <w:t xml:space="preserve">Plan de redressement actualisé et feuille de route de réformes (nouvelle structure, restructuration de la dette) adoptés en Conseil des ministres d’ici fin 2025 ; accompagnement par le CPCC pour la conformité comptable ; contrat de performance [1] [V].</w:t>
      </w:r>
    </w:p>
    <w:p>
      <w:pPr>
        <w:numPr>
          <w:ilvl w:val="0"/>
          <w:numId w:val="1146"/>
        </w:numPr>
        <w:pStyle w:val="Compact"/>
      </w:pPr>
      <w:r>
        <w:t xml:space="preserve">Séparation interne par métier (production, transport, distribution, vente) d’ici fin 2026 [1] [V].</w:t>
      </w:r>
    </w:p>
    <w:p>
      <w:pPr>
        <w:numPr>
          <w:ilvl w:val="0"/>
          <w:numId w:val="1146"/>
        </w:numPr>
        <w:pStyle w:val="Compact"/>
      </w:pPr>
      <w:r>
        <w:t xml:space="preserve">Restructuration de la dette : rachat de la dette intérieure par les PTF ; dette totale ≈ 3 Md USD (75 % financière, 13 % commerciale, 11 % fiscale, ~0,3-1 % sociale) ; dette envers sociétés minières ≈ 835 M USD, bailleurs ≈ 58 M USD, banques locales ≈ 38 M USD [1] [V]. Décret sur le passif non assurable d’ici fin 2026 ; amnistie fiscale sur arriérés SNEL envers DGDA/DGI/DGRAD [1] [V].</w:t>
      </w:r>
    </w:p>
    <w:p>
      <w:pPr>
        <w:numPr>
          <w:ilvl w:val="0"/>
          <w:numId w:val="1146"/>
        </w:numPr>
        <w:pStyle w:val="Compact"/>
      </w:pPr>
      <w:r>
        <w:t xml:space="preserve">Arriérés de l’État envers la SNEL ≈ 110 M USD ; règlement prévu en décembre 2025 avec mécanisme de paiement régulier des institutions publiques (projet AGREE) [1] [V]. Recouvrement auprès de l’État : 38 % ; recouvrement global 61 % (2022) [1] [V].</w:t>
      </w:r>
    </w:p>
    <w:p>
      <w:pPr>
        <w:numPr>
          <w:ilvl w:val="0"/>
          <w:numId w:val="1146"/>
        </w:numPr>
        <w:pStyle w:val="Compact"/>
      </w:pPr>
      <w:r>
        <w:t xml:space="preserve">Pertes : 46 % fin 2022 (dont 35 % en distribution) → 15 % en 2030 [1] [V]. Compteurs à prépaiement et digitalisation (« modèle SNEL &amp; MOI ») à généraliser [1] [V] ; ERP d’ici juin 2026 ; paiement numérique généralisé [1] [V].</w:t>
      </w:r>
    </w:p>
    <w:p>
      <w:pPr>
        <w:numPr>
          <w:ilvl w:val="0"/>
          <w:numId w:val="1146"/>
        </w:numPr>
        <w:pStyle w:val="Compact"/>
      </w:pPr>
      <w:r>
        <w:t xml:space="preserve">États financiers audités : 2023 publiés d’ici fin 2025 ; 2024 d’ici 30-06-2026 ; derniers audités datent de 2020 [1] [V].</w:t>
      </w:r>
    </w:p>
    <w:p>
      <w:pPr>
        <w:numPr>
          <w:ilvl w:val="0"/>
          <w:numId w:val="1146"/>
        </w:numPr>
        <w:pStyle w:val="Compact"/>
      </w:pPr>
      <w:r>
        <w:t xml:space="preserve">Création d’un</w:t>
      </w:r>
      <w:r>
        <w:t xml:space="preserve"> </w:t>
      </w:r>
      <w:r>
        <w:rPr>
          <w:bCs/>
          <w:b/>
        </w:rPr>
        <w:t xml:space="preserve">2e opérateur public</w:t>
      </w:r>
      <w:r>
        <w:t xml:space="preserve"> </w:t>
      </w:r>
      <w:r>
        <w:t xml:space="preserve">(nouveaux corridors et lignes) d’ici 2026/2027 avec contrat de performance et firme internationale d’accompagnement ; participation privée « explorée » [1] [V].</w:t>
      </w:r>
    </w:p>
    <w:p>
      <w:pPr>
        <w:numPr>
          <w:ilvl w:val="0"/>
          <w:numId w:val="1146"/>
        </w:numPr>
        <w:pStyle w:val="Compact"/>
      </w:pPr>
      <w:r>
        <w:t xml:space="preserve">Statut fin 2025 [2] [V] : aucune des 44 actions achevée ; 14 retardées dont 5 prioritaires (PSMP, tarification de transport, MTF, stratégie d’électrification, décrets ERD/cuisson).</w:t>
      </w:r>
    </w:p>
    <w:bookmarkEnd w:id="159"/>
    <w:bookmarkStart w:id="160" w:name="régulation-et-gouvernance-5"/>
    <w:p>
      <w:pPr>
        <w:pStyle w:val="Heading4"/>
      </w:pPr>
      <w:r>
        <w:t xml:space="preserve">3.3 Régulation et gouvernance</w:t>
      </w:r>
    </w:p>
    <w:p>
      <w:pPr>
        <w:numPr>
          <w:ilvl w:val="0"/>
          <w:numId w:val="1147"/>
        </w:numPr>
        <w:pStyle w:val="Compact"/>
      </w:pPr>
      <w:r>
        <w:t xml:space="preserve">Plan directeur intégré au moindre coût d’ici fin 2025, mise à jour tous les 3 ans [1] [V] —</w:t>
      </w:r>
      <w:r>
        <w:t xml:space="preserve"> </w:t>
      </w:r>
      <w:r>
        <w:rPr>
          <w:bCs/>
          <w:b/>
        </w:rPr>
        <w:t xml:space="preserve">retardé</w:t>
      </w:r>
      <w:r>
        <w:t xml:space="preserve"> </w:t>
      </w:r>
      <w:r>
        <w:t xml:space="preserve">[2] [V].</w:t>
      </w:r>
    </w:p>
    <w:p>
      <w:pPr>
        <w:numPr>
          <w:ilvl w:val="0"/>
          <w:numId w:val="1147"/>
        </w:numPr>
        <w:pStyle w:val="Compact"/>
      </w:pPr>
      <w:r>
        <w:t xml:space="preserve">Dispatching national d’ici fin 2027 [1] [V].</w:t>
      </w:r>
    </w:p>
    <w:p>
      <w:pPr>
        <w:numPr>
          <w:ilvl w:val="0"/>
          <w:numId w:val="1147"/>
        </w:numPr>
        <w:pStyle w:val="Compact"/>
      </w:pPr>
      <w:r>
        <w:t xml:space="preserve">Révision de la Loi sur l’électricité de 2014 (concessions incitatives, mini-réseaux) d’ici fin 2025/2026 [1] [V].</w:t>
      </w:r>
    </w:p>
    <w:p>
      <w:pPr>
        <w:numPr>
          <w:ilvl w:val="0"/>
          <w:numId w:val="1147"/>
        </w:numPr>
        <w:pStyle w:val="Compact"/>
      </w:pPr>
      <w:r>
        <w:t xml:space="preserve">Formalisation par décret de la politique énergétique nationale (adoptée partiellement en décembre 2022) d’ici fin 2025 [1] [V] — retardée [2].</w:t>
      </w:r>
    </w:p>
    <w:p>
      <w:pPr>
        <w:numPr>
          <w:ilvl w:val="0"/>
          <w:numId w:val="1147"/>
        </w:numPr>
        <w:pStyle w:val="Compact"/>
      </w:pPr>
      <w:r>
        <w:t xml:space="preserve">Clarification des rôles central/provinces/ETD [1] [V].</w:t>
      </w:r>
    </w:p>
    <w:bookmarkEnd w:id="160"/>
    <w:bookmarkStart w:id="161" w:name="X523ca5a81b21f7c0787dbe6588e16311dd1da92"/>
    <w:p>
      <w:pPr>
        <w:pStyle w:val="Heading4"/>
      </w:pPr>
      <w:r>
        <w:t xml:space="preserve">3.4 Participation du privé (producteurs indépendants, concessions, hors réseau)</w:t>
      </w:r>
    </w:p>
    <w:p>
      <w:pPr>
        <w:numPr>
          <w:ilvl w:val="0"/>
          <w:numId w:val="1148"/>
        </w:numPr>
        <w:pStyle w:val="Compact"/>
      </w:pPr>
      <w:r>
        <w:t xml:space="preserve">Appels d’offres concurrentiels pour 4 000 MWc solaires en concession [1] [V].</w:t>
      </w:r>
    </w:p>
    <w:p>
      <w:pPr>
        <w:numPr>
          <w:ilvl w:val="0"/>
          <w:numId w:val="1148"/>
        </w:numPr>
        <w:pStyle w:val="Compact"/>
      </w:pPr>
      <w:r>
        <w:t xml:space="preserve">Fonds RBF/Mwinda porté de 500 M à 1 Md USD ; ligne de crédit renouvelable à 200 M USD (fin 2026) [1] [V].</w:t>
      </w:r>
    </w:p>
    <w:p>
      <w:pPr>
        <w:numPr>
          <w:ilvl w:val="0"/>
          <w:numId w:val="1148"/>
        </w:numPr>
        <w:pStyle w:val="Compact"/>
      </w:pPr>
      <w:r>
        <w:t xml:space="preserve">Guichet unique des permis, contrats types avec tarifs pluriannuels pour le transit et la vente directe aux acheteurs privés (mines), mécanismes de rehaussement de crédit (fin 2026) [1] [V].</w:t>
      </w:r>
    </w:p>
    <w:p>
      <w:pPr>
        <w:numPr>
          <w:ilvl w:val="0"/>
          <w:numId w:val="1148"/>
        </w:numPr>
        <w:pStyle w:val="Compact"/>
      </w:pPr>
      <w:r>
        <w:t xml:space="preserve">Révision du code fiscal (fin 2027 / fin 2028 — deux dates citées) ; clauses de stabilité ; vacances fiscales à étudier [1] [V].</w:t>
      </w:r>
    </w:p>
    <w:p>
      <w:pPr>
        <w:numPr>
          <w:ilvl w:val="0"/>
          <w:numId w:val="1148"/>
        </w:numPr>
        <w:pStyle w:val="Compact"/>
      </w:pPr>
      <w:r>
        <w:t xml:space="preserve">Pool de capital d’urgence pour les ERD à explorer [1] [V].</w:t>
      </w:r>
    </w:p>
    <w:bookmarkEnd w:id="161"/>
    <w:bookmarkStart w:id="162" w:name="Xe0e93e4e9b3ccfbe47b1ec7a15404be063f0283"/>
    <w:p>
      <w:pPr>
        <w:pStyle w:val="Heading4"/>
      </w:pPr>
      <w:r>
        <w:t xml:space="preserve">3.5 Intégration régionale (pools énergétiques, interconnexions)</w:t>
      </w:r>
    </w:p>
    <w:p>
      <w:pPr>
        <w:numPr>
          <w:ilvl w:val="0"/>
          <w:numId w:val="1149"/>
        </w:numPr>
        <w:pStyle w:val="Compact"/>
      </w:pPr>
      <w:r>
        <w:t xml:space="preserve">Membre du PEAC (CAPP), SAPP et EAPP [1] [V]. Tarifs de transport harmonisés d’ici 2026 (déclaration) / fin 2025 (plan d’actions) ; la SNEL deviendrait opérateur de transport et de système (OTS) [1] [V].</w:t>
      </w:r>
    </w:p>
    <w:p>
      <w:pPr>
        <w:numPr>
          <w:ilvl w:val="0"/>
          <w:numId w:val="1149"/>
        </w:numPr>
        <w:pStyle w:val="Compact"/>
      </w:pPr>
      <w:r>
        <w:t xml:space="preserve">MoU intergouvernemental pour le système de transport d’Inga (vers l’Afrique du Sud) d’ici fin 2026 [1] [V].</w:t>
      </w:r>
    </w:p>
    <w:p>
      <w:pPr>
        <w:numPr>
          <w:ilvl w:val="0"/>
          <w:numId w:val="1149"/>
        </w:numPr>
        <w:pStyle w:val="Compact"/>
      </w:pPr>
      <w:r>
        <w:t xml:space="preserve">Corridors Inga-Kolwezi et Inga-Bunia (dorsale SAPP-EAPP) d’ici 2030 [1] [V]. Interconnexions existantes : RDC-Congo 220 kV 150 MW ; RDC-Burundi-Rwanda 220 kV 500 MW ; RDC-Zambie 220 kV 300 MW [1, Annexe II] [V].</w:t>
      </w:r>
    </w:p>
    <w:p>
      <w:pPr>
        <w:numPr>
          <w:ilvl w:val="0"/>
          <w:numId w:val="1149"/>
        </w:numPr>
        <w:pStyle w:val="Compact"/>
      </w:pPr>
      <w:r>
        <w:t xml:space="preserve">Ruzizi III (206 MW, partagés entre trois pays) [1, Annexe I] [V].</w:t>
      </w:r>
    </w:p>
    <w:bookmarkEnd w:id="162"/>
    <w:bookmarkStart w:id="163" w:name="autres-fiscalité-foncier-local-content-2"/>
    <w:p>
      <w:pPr>
        <w:pStyle w:val="Heading4"/>
      </w:pPr>
      <w:r>
        <w:t xml:space="preserve">3.6 Autres (fiscalité, foncier, local content)</w:t>
      </w:r>
    </w:p>
    <w:p>
      <w:pPr>
        <w:numPr>
          <w:ilvl w:val="0"/>
          <w:numId w:val="1150"/>
        </w:numPr>
        <w:pStyle w:val="Compact"/>
      </w:pPr>
      <w:r>
        <w:t xml:space="preserve">Révision de la nomenclature des impôts, taxes et redevances centraux/provinciaux/ETD [1] [V].</w:t>
      </w:r>
    </w:p>
    <w:p>
      <w:pPr>
        <w:numPr>
          <w:ilvl w:val="0"/>
          <w:numId w:val="1150"/>
        </w:numPr>
        <w:pStyle w:val="Compact"/>
      </w:pPr>
      <w:r>
        <w:t xml:space="preserve">Foncier : litiges récurrents sur les terres des projets solaires ; besoin de réglementations exécutoires (diagnostic, sans engagement daté) [1] [V].</w:t>
      </w:r>
    </w:p>
    <w:p>
      <w:pPr>
        <w:numPr>
          <w:ilvl w:val="0"/>
          <w:numId w:val="1150"/>
        </w:numPr>
        <w:pStyle w:val="Compact"/>
      </w:pPr>
      <w:r>
        <w:t xml:space="preserve">Production locale d’équipements de cuisson et parcs industriels (stratégie cuisson) [1] [V].</w:t>
      </w:r>
    </w:p>
    <w:bookmarkEnd w:id="163"/>
    <w:bookmarkEnd w:id="164"/>
    <w:bookmarkStart w:id="165" w:name="financement-7"/>
    <w:p>
      <w:pPr>
        <w:pStyle w:val="Heading3"/>
      </w:pPr>
      <w:r>
        <w:t xml:space="preserve">4. Financement</w:t>
      </w:r>
    </w:p>
    <w:p>
      <w:pPr>
        <w:numPr>
          <w:ilvl w:val="0"/>
          <w:numId w:val="1151"/>
        </w:numPr>
        <w:pStyle w:val="Compact"/>
      </w:pPr>
      <w:r>
        <w:t xml:space="preserve">Besoin total : 37 048,66 M USD d’ici 2030 (public 17 314,10 M ; privé 19 734,55 M) [1, tableau] [V] ; arrondi à 37 Md USD (17 public + 20 privé) dans le texte ; Annexe II donne 36 Md (16 + 20) [1] [V]. Ventilation : production 20 301,24 M ; transport 2 412,52 M ; distribution 862,42 M ; dernier km 4 280,10 M ; réseau isolé hydro 188,25 M ; hors réseau 8 304,13 M ; cuisson propre 600 M ; capacités 100 M [1] [V]. +20 Md USD supplémentaires d’ici 2040 [1] [V].</w:t>
      </w:r>
    </w:p>
    <w:p>
      <w:pPr>
        <w:numPr>
          <w:ilvl w:val="0"/>
          <w:numId w:val="1151"/>
        </w:numPr>
        <w:pStyle w:val="Compact"/>
      </w:pPr>
      <w:r>
        <w:t xml:space="preserve">Engagements cités (Annexe I) [1] [V] :</w:t>
      </w:r>
    </w:p>
    <w:p>
      <w:pPr>
        <w:numPr>
          <w:ilvl w:val="1"/>
          <w:numId w:val="1152"/>
        </w:numPr>
        <w:pStyle w:val="Compact"/>
      </w:pPr>
      <w:r>
        <w:t xml:space="preserve">BM — AGREE (2022-2029) : 600 M USD (dont 400 M électricité), cofinancement AFD 41 M ; vise 339 M USD de privé ;</w:t>
      </w:r>
    </w:p>
    <w:p>
      <w:pPr>
        <w:numPr>
          <w:ilvl w:val="1"/>
          <w:numId w:val="1152"/>
        </w:numPr>
        <w:pStyle w:val="Compact"/>
      </w:pPr>
      <w:r>
        <w:t xml:space="preserve">BM et al. — Ruzizi III : production 538 M USD (dont 190 M IDA) ;</w:t>
      </w:r>
    </w:p>
    <w:p>
      <w:pPr>
        <w:numPr>
          <w:ilvl w:val="1"/>
          <w:numId w:val="1152"/>
        </w:numPr>
        <w:pStyle w:val="Compact"/>
      </w:pPr>
      <w:r>
        <w:t xml:space="preserve">BM — Programme forêts et savanes : 300 M USD (dont 15 M cuisson) ;</w:t>
      </w:r>
    </w:p>
    <w:p>
      <w:pPr>
        <w:numPr>
          <w:ilvl w:val="1"/>
          <w:numId w:val="1152"/>
        </w:numPr>
        <w:pStyle w:val="Compact"/>
      </w:pPr>
      <w:r>
        <w:t xml:space="preserve">SFI — mini-réseaux à l’échelle : 723 M USD (3,58 M personnes) ;</w:t>
      </w:r>
    </w:p>
    <w:p>
      <w:pPr>
        <w:numPr>
          <w:ilvl w:val="1"/>
          <w:numId w:val="1152"/>
        </w:numPr>
        <w:pStyle w:val="Compact"/>
      </w:pPr>
      <w:r>
        <w:t xml:space="preserve">BAD — PAGASE (2017-2025) : 136 M USD ;</w:t>
      </w:r>
    </w:p>
    <w:p>
      <w:pPr>
        <w:numPr>
          <w:ilvl w:val="1"/>
          <w:numId w:val="1152"/>
        </w:numPr>
        <w:pStyle w:val="Compact"/>
      </w:pPr>
      <w:r>
        <w:t xml:space="preserve">Moyi Power (Gemena, Bumba, Isiro) : 118 M USD (phases 1-2) ;</w:t>
      </w:r>
    </w:p>
    <w:p>
      <w:pPr>
        <w:numPr>
          <w:ilvl w:val="1"/>
          <w:numId w:val="1152"/>
        </w:numPr>
        <w:pStyle w:val="Compact"/>
      </w:pPr>
      <w:r>
        <w:t xml:space="preserve">Tembo Power : 275 M USD (67 MW) ; KfW (Ruzizi 1 : 25 M EUR ; Inga : 24 M EUR…) ; AFD-UE Kisangani (70 M EUR + 20 M EUR) et Boma (40 M + 10 M EUR).</w:t>
      </w:r>
    </w:p>
    <w:p>
      <w:pPr>
        <w:numPr>
          <w:ilvl w:val="0"/>
          <w:numId w:val="1151"/>
        </w:numPr>
        <w:pStyle w:val="Compact"/>
      </w:pPr>
      <w:r>
        <w:t xml:space="preserve">Avancement : ~650 M USD de capital privé mobilisés en 2025 [2] [V].</w:t>
      </w:r>
    </w:p>
    <w:bookmarkEnd w:id="165"/>
    <w:bookmarkStart w:id="166" w:name="calendrier-et-suivi-7"/>
    <w:p>
      <w:pPr>
        <w:pStyle w:val="Heading3"/>
      </w:pPr>
      <w:r>
        <w:t xml:space="preserve">5. Calendrier et suivi</w:t>
      </w:r>
    </w:p>
    <w:p>
      <w:pPr>
        <w:numPr>
          <w:ilvl w:val="0"/>
          <w:numId w:val="1153"/>
        </w:numPr>
        <w:pStyle w:val="Compact"/>
      </w:pPr>
      <w:r>
        <w:t xml:space="preserve">Jalons majeurs : fin 2025 (plan directeur, plan de redressement SNEL, MTF, stratégie d’électrification, règlement arriérés État) ; janvier 2026 (régime tarifaire couvrant les coûts) ; 2026 (séparation interne, restructuration dette, guichet unique, 2e opérateur) ; 2027 (dispatching, mise en œuvre feuille de route SNEL) ; 2029 (100 % recouvrement des coûts) ; 2030 (corridors) [1] [V].</w:t>
      </w:r>
    </w:p>
    <w:p>
      <w:pPr>
        <w:numPr>
          <w:ilvl w:val="0"/>
          <w:numId w:val="1153"/>
        </w:numPr>
        <w:pStyle w:val="Compact"/>
      </w:pPr>
      <w:r>
        <w:t xml:space="preserve">Suivi : cadre de S&amp;E avec SIG, piloté par le MRHE, intégré au budget du programme [1] [V] ; CDMU pour le rapport [2] [V].</w:t>
      </w:r>
    </w:p>
    <w:p>
      <w:pPr>
        <w:numPr>
          <w:ilvl w:val="0"/>
          <w:numId w:val="1153"/>
        </w:numPr>
        <w:pStyle w:val="Compact"/>
      </w:pPr>
      <w:r>
        <w:t xml:space="preserve">Avancement 2025 [2] [V] : +652 000 personnes électrifiées ; cuisson ~1 % ; ER 95 % ; 0 action achevée / 30 en cours / 14 retardées.</w:t>
      </w:r>
    </w:p>
    <w:bookmarkEnd w:id="166"/>
    <w:bookmarkStart w:id="167" w:name="lecture-critique-4"/>
    <w:p>
      <w:pPr>
        <w:pStyle w:val="Heading3"/>
      </w:pPr>
      <w:r>
        <w:t xml:space="preserve">6. Lecture critique</w:t>
      </w:r>
    </w:p>
    <w:p>
      <w:pPr>
        <w:numPr>
          <w:ilvl w:val="0"/>
          <w:numId w:val="1154"/>
        </w:numPr>
        <w:pStyle w:val="Compact"/>
      </w:pPr>
      <w:r>
        <w:t xml:space="preserve">Réalisme des cibles : +57,9 M de personnes en 6 ans exige ~9,6 M/an, contre 0,65 M en 2025 [2] — un écart d’un facteur ~15 [E]. Cuisson propre de 1 % à 30 % sans base de marché (GPL quasi absent hors Kinshasa) paraît hors de portée [E]. Capacité ×4,4 et production ×4,3 en 6 ans, pour un pays qui a mis des décennies à installer 3 GW, est irréaliste sans Grand Inga [E].</w:t>
      </w:r>
    </w:p>
    <w:p>
      <w:pPr>
        <w:numPr>
          <w:ilvl w:val="0"/>
          <w:numId w:val="1154"/>
        </w:numPr>
        <w:pStyle w:val="Compact"/>
      </w:pPr>
      <w:r>
        <w:t xml:space="preserve">Engagements tarifaires :</w:t>
      </w:r>
      <w:r>
        <w:t xml:space="preserve"> </w:t>
      </w:r>
      <w:r>
        <w:rPr>
          <w:bCs/>
          <w:b/>
        </w:rPr>
        <w:t xml:space="preserve">relativement précis sur le principe</w:t>
      </w:r>
      <w:r>
        <w:t xml:space="preserve"> </w:t>
      </w:r>
      <w:r>
        <w:t xml:space="preserve">(régime tarifaire couvrant les coûts dès janvier 2026, 100 % recouvrement en 2029, moratoire sur tarifs préférentiels) mais sans niveaux, trajectoire en % ni mécanisme de protection sociale ; montant des subventions absent. L’écart entre tarif moyen (≈ 9 c/kWh) et « coût moyen » de 0,4 US$/kWh cité en Annexe II est énorme et mal défini [E].</w:t>
      </w:r>
    </w:p>
    <w:p>
      <w:pPr>
        <w:numPr>
          <w:ilvl w:val="0"/>
          <w:numId w:val="1154"/>
        </w:numPr>
        <w:pStyle w:val="Compact"/>
      </w:pPr>
      <w:r>
        <w:t xml:space="preserve">Risques principaux : dette SNEL ≈ 3 Md USD et contrats miniers générateurs de dette ; dépendance au Grand Inga ; conflits (Est) ; gouvernance multi-niveaux (provinces/ETD) ; retard généralisé des réformes (0/44 achevées fin 2025) [1][2] [E].</w:t>
      </w:r>
    </w:p>
    <w:p>
      <w:pPr>
        <w:numPr>
          <w:ilvl w:val="0"/>
          <w:numId w:val="1154"/>
        </w:numPr>
        <w:pStyle w:val="Compact"/>
      </w:pPr>
      <w:r>
        <w:t xml:space="preserve">Points à approfondir : phase 2 — contenu du plan de redressement SNEL, statut du contrat de performance (action ajoutée « audit du contrat de performance SNEL-Gouv », échéance 30-10-2026 [2]), structure du 2e opérateur, contrats miniers ; phase 3 — régime tarifaire de janvier 2026 (adopté ou non ?), grille actuelle par catégorie, tarifs préférentiels, régulation tarifaire des mini-réseaux (25-70 c/kWh).</w:t>
      </w:r>
    </w:p>
    <w:bookmarkEnd w:id="167"/>
    <w:bookmarkStart w:id="168" w:name="inconnus-données-non-trouvées-7"/>
    <w:p>
      <w:pPr>
        <w:pStyle w:val="Heading3"/>
      </w:pPr>
      <w:r>
        <w:t xml:space="preserve">7. Inconnus / données non trouvées</w:t>
      </w:r>
    </w:p>
    <w:p>
      <w:pPr>
        <w:numPr>
          <w:ilvl w:val="0"/>
          <w:numId w:val="1155"/>
        </w:numPr>
        <w:pStyle w:val="Compact"/>
      </w:pPr>
      <w:r>
        <w:t xml:space="preserve">Date exacte du document [?] ; taux d’accès urbain/rural 2024 [?].</w:t>
      </w:r>
    </w:p>
    <w:p>
      <w:pPr>
        <w:numPr>
          <w:ilvl w:val="0"/>
          <w:numId w:val="1155"/>
        </w:numPr>
        <w:pStyle w:val="Compact"/>
      </w:pPr>
      <w:r>
        <w:t xml:space="preserve">Montant des subventions et trajectoire de réflectivité des coûts [?] (Annexe II vide).</w:t>
      </w:r>
    </w:p>
    <w:p>
      <w:pPr>
        <w:numPr>
          <w:ilvl w:val="0"/>
          <w:numId w:val="1155"/>
        </w:numPr>
        <w:pStyle w:val="Compact"/>
      </w:pPr>
      <w:r>
        <w:t xml:space="preserve">Nombre de compteurs prépayés et clients comptés/non comptés [?].</w:t>
      </w:r>
    </w:p>
    <w:p>
      <w:pPr>
        <w:numPr>
          <w:ilvl w:val="0"/>
          <w:numId w:val="1155"/>
        </w:numPr>
        <w:pStyle w:val="Compact"/>
      </w:pPr>
      <w:r>
        <w:t xml:space="preserve">Adoption effective du régime tarifaire de janvier 2026 [?] (non mentionné dans [2]).</w:t>
      </w:r>
    </w:p>
    <w:p>
      <w:pPr>
        <w:numPr>
          <w:ilvl w:val="0"/>
          <w:numId w:val="1155"/>
        </w:numPr>
        <w:pStyle w:val="Compact"/>
      </w:pPr>
      <w:r>
        <w:t xml:space="preserve">Le chiffre « 129 US$/MW » pour le coût des importations est d’unité incertaine [?].</w:t>
      </w:r>
    </w:p>
    <w:bookmarkEnd w:id="168"/>
    <w:bookmarkStart w:id="169" w:name="sources-8"/>
    <w:p>
      <w:pPr>
        <w:pStyle w:val="Heading3"/>
      </w:pPr>
      <w:r>
        <w:t xml:space="preserve">Sources</w:t>
      </w:r>
    </w:p>
    <w:p>
      <w:pPr>
        <w:pStyle w:val="FirstParagraph"/>
      </w:pPr>
      <w:r>
        <w:t xml:space="preserve">[1] Gouvernement de la RDC, « Compact énergétique de la République démocratique du Congo (RDC) », Mission 300, s.d. (PDF créé le 24-01-2025), 28 p. https://www.worldbank.org/content/dam/theworldbankgroupasset/document/2026/m300-energy-compacts/DRC-M300-AES-Compact.pdf (lien depuis https://www.worldbank.org/ext/en/energizingafrica/national-energy-compacts), consulté le 2026-10-18.</w:t>
      </w:r>
      <w:r>
        <w:t xml:space="preserve"> </w:t>
      </w:r>
      <w:r>
        <w:t xml:space="preserve">[2] Government of DRC (CDMU) / Mission 300, « Mission 300 Compact Progress Report Q1 2026 — Democratic Republic of Congo », mars 2026. https://www.worldbank.org/content/dam/theworldbankgroupasset/document/2026/m300-energy-compacts/progress-reports/drc_mission-300_compact-progress-report_q12026.pdf, consulté le 2026-10-18.</w:t>
      </w:r>
    </w:p>
    <w:p>
      <w:r>
        <w:br w:type="page"/>
      </w:r>
    </w:p>
    <w:bookmarkEnd w:id="169"/>
    <w:bookmarkEnd w:id="170"/>
    <w:bookmarkStart w:id="186" w:name="X0a9c1c399624fbc073d287ab169a7300d5de802"/>
    <w:p>
      <w:pPr>
        <w:pStyle w:val="Heading2"/>
      </w:pPr>
      <w:r>
        <w:t xml:space="preserve">Fiche pacte national de l’énergie — République du Congo</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171" w:name="métadonnées-8"/>
    <w:p>
      <w:pPr>
        <w:pStyle w:val="Heading3"/>
      </w:pPr>
      <w:r>
        <w:t xml:space="preserve">0. Métadonnées</w:t>
      </w:r>
    </w:p>
    <w:p>
      <w:pPr>
        <w:numPr>
          <w:ilvl w:val="0"/>
          <w:numId w:val="1156"/>
        </w:numPr>
        <w:pStyle w:val="Compact"/>
      </w:pPr>
      <w:r>
        <w:t xml:space="preserve">Cohorte / date de présentation :</w:t>
      </w:r>
      <w:r>
        <w:t xml:space="preserve"> </w:t>
      </w:r>
      <w:r>
        <w:rPr>
          <w:bCs/>
          <w:b/>
        </w:rPr>
        <w:t xml:space="preserve">2e cohorte</w:t>
      </w:r>
      <w:r>
        <w:t xml:space="preserve"> </w:t>
      </w:r>
      <w:r>
        <w:t xml:space="preserve">(le pacte le dit explicitement) ; le Congo a « signé la Convention de Dar es Salaam de janvier 2025 » [1, Préambule] [V]. La page BM date le pacte de « Sep 2025 » [2] [V] ; métadonnées PDF : création le 23-09-2025 [1] [V]. Événement de présentation : [?]. Aucun rapport d’avancement publié sur la page BM au 2026-10-18 [2] [V].</w:t>
      </w:r>
    </w:p>
    <w:p>
      <w:pPr>
        <w:numPr>
          <w:ilvl w:val="0"/>
          <w:numId w:val="1156"/>
        </w:numPr>
        <w:pStyle w:val="Compact"/>
      </w:pPr>
      <w:r>
        <w:t xml:space="preserve">Document du pacte consulté : « Pacte National Énergétique de la République du Congo » (PNE), en français, 37 p., mention « Official Use Only » sur chaque page (fichier</w:t>
      </w:r>
      <w:r>
        <w:t xml:space="preserve"> </w:t>
      </w:r>
      <w:r>
        <w:rPr>
          <w:rStyle w:val="VerbatimChar"/>
        </w:rPr>
        <w:t xml:space="preserve">Congo-National-Energy-Compact-Mission-300.pdf</w:t>
      </w:r>
      <w:r>
        <w:t xml:space="preserve">) [1].</w:t>
      </w:r>
    </w:p>
    <w:p>
      <w:pPr>
        <w:numPr>
          <w:ilvl w:val="0"/>
          <w:numId w:val="1156"/>
        </w:numPr>
        <w:pStyle w:val="Compact"/>
      </w:pPr>
      <w:r>
        <w:t xml:space="preserve">Accès au texte intégral :</w:t>
      </w:r>
      <w:r>
        <w:t xml:space="preserve"> </w:t>
      </w:r>
      <w:r>
        <w:rPr>
          <w:bCs/>
          <w:b/>
        </w:rPr>
        <w:t xml:space="preserve">oui</w:t>
      </w:r>
      <w:r>
        <w:t xml:space="preserve"> </w:t>
      </w:r>
      <w:r>
        <w:t xml:space="preserve">(PDF téléchargé et lu intégralement le 2026-10-18).</w:t>
      </w:r>
    </w:p>
    <w:p>
      <w:pPr>
        <w:numPr>
          <w:ilvl w:val="0"/>
          <w:numId w:val="1156"/>
        </w:numPr>
        <w:pStyle w:val="Compact"/>
      </w:pPr>
      <w:r>
        <w:t xml:space="preserve">Opérateur(s) national(aux) d’électricité : Énergie Électrique du Congo (E2C), société de patrimoine « à titre transitoire » depuis 2018 (décret 2018-295, après dissolution de la SNE par la loi 22-2018), monopole transport-distribution + centrales hydro [1, §3.1] [V]. Production gaz : CEC SA (Centrale électrique du Congo, Côte Matève, 484 MW ; État 80 %, ENI 20 %) et AKSA Energy (50 MW) [1] [V]. Société de transport en création (statuts élaborés, producteurs appelés à 15 % du capital) [1] [V].</w:t>
      </w:r>
    </w:p>
    <w:p>
      <w:pPr>
        <w:numPr>
          <w:ilvl w:val="0"/>
          <w:numId w:val="1156"/>
        </w:numPr>
        <w:pStyle w:val="Compact"/>
      </w:pPr>
      <w:r>
        <w:t xml:space="preserve">Régulateur : Agence de Régulation du Secteur de l’Électricité (ARSEL, loi 16-2003) ; ANER (électrification rurale, loi 15-2003) ; FDSEL (fonds, loi 17-2003) ; tutelle : Ministère de l’Énergie et de l’Hydraulique (MEH) [1] [V].</w:t>
      </w:r>
    </w:p>
    <w:bookmarkEnd w:id="171"/>
    <w:bookmarkStart w:id="172" w:name="situation-de-départ-selon-le-pacte-8"/>
    <w:p>
      <w:pPr>
        <w:pStyle w:val="Heading3"/>
      </w:pPr>
      <w:r>
        <w:t xml:space="preserve">1. Situation de départ (selon le pacte)</w:t>
      </w:r>
    </w:p>
    <w:p>
      <w:pPr>
        <w:numPr>
          <w:ilvl w:val="0"/>
          <w:numId w:val="1157"/>
        </w:numPr>
        <w:pStyle w:val="Compact"/>
      </w:pPr>
      <w:r>
        <w:t xml:space="preserve">Taux d’accès national / urbain / rural : 31,66 % (38,67 % urbain ; 1,01 % rural) [1, Tableau 1] [V] — défini comme ménages clients réguliers d’E2C (polices BT / ménages). Le suivi ODD7 donne 47,5 % national, 67 % (ou 69,4 %) urbain, 12,4 % rural [1, notes 1 et 7] [V]. Tableau 4 (2024) : 494 313 polices BT pour 1 561 491 ménages = 32 % ; Brazzaville 47 %, Pointe-Noire 40 %, reste 12 % [1] [V]. Le pacte reconnaît plusieurs chiffres (31, 32, 32,8 %).</w:t>
      </w:r>
    </w:p>
    <w:p>
      <w:pPr>
        <w:numPr>
          <w:ilvl w:val="0"/>
          <w:numId w:val="1157"/>
        </w:numPr>
        <w:pStyle w:val="Compact"/>
      </w:pPr>
      <w:r>
        <w:t xml:space="preserve">Population : 6 524 940 (2024) ; 7 791 118 projetés en 2030 [1, Annexe III] [V].</w:t>
      </w:r>
    </w:p>
    <w:p>
      <w:pPr>
        <w:numPr>
          <w:ilvl w:val="0"/>
          <w:numId w:val="1157"/>
        </w:numPr>
        <w:pStyle w:val="Compact"/>
      </w:pPr>
      <w:r>
        <w:t xml:space="preserve">Population sans accès : 1 067 178 ménages à raccorder pour l’accès universel [1, Tableau 4] [V].</w:t>
      </w:r>
    </w:p>
    <w:p>
      <w:pPr>
        <w:numPr>
          <w:ilvl w:val="0"/>
          <w:numId w:val="1157"/>
        </w:numPr>
        <w:pStyle w:val="Compact"/>
      </w:pPr>
      <w:r>
        <w:t xml:space="preserve">Capacité installée, mix : 748 MW (dont 29 % ENR, 214 MW hydro) [1, Tableau 1] ; Annexe II : 743 installés / 630 disponibles [1] [V]. 2/3 de la capacité chez les IPP gaz (CEC 484 MW, AKSA 50 MW) ; hydro : Imboulou 120 MW (60 dispo), Moukoukoulou 74 MW, Liouesso 20 MW (13,2 dispo), Djoué 15 MW (0 dispo) [1, §3.1] [V]. Production 2024 : 3 520 GWh, dont 68 % CEC [1] [V]. Imports RDC 12 GWh, exports 26 GWh (2024) [1] (Annexe II : 2023 imports 8 735 MWh, exports 150 609 MWh) [V].</w:t>
      </w:r>
    </w:p>
    <w:p>
      <w:pPr>
        <w:numPr>
          <w:ilvl w:val="0"/>
          <w:numId w:val="1157"/>
        </w:numPr>
        <w:pStyle w:val="Compact"/>
      </w:pPr>
      <w:r>
        <w:t xml:space="preserve">Réseau : 220 kV Pointe-Noire–Brazzaville (440 km, radial, 350 MVA) ; MT 1 319 km ; BT 8 585 km [1] [V]. Dépendance à la RDC pour la puissance réactive ; 60 % des incidents E2C en 2021 venaient de la RDC [1] [V].</w:t>
      </w:r>
    </w:p>
    <w:p>
      <w:pPr>
        <w:numPr>
          <w:ilvl w:val="0"/>
          <w:numId w:val="1157"/>
        </w:numPr>
        <w:pStyle w:val="Compact"/>
      </w:pPr>
      <w:r>
        <w:t xml:space="preserve">Accès à la cuisson propre : 39,6 % (2023, suivi ODD : 54,5 % urbain, 4,7 % rural) [1, Tableau 1] ; « 40 % actuellement » [1, Déclaration] [V].</w:t>
      </w:r>
    </w:p>
    <w:bookmarkEnd w:id="172"/>
    <w:bookmarkStart w:id="173" w:name="cibles-2030-8"/>
    <w:p>
      <w:pPr>
        <w:pStyle w:val="Heading3"/>
      </w:pPr>
      <w:r>
        <w:t xml:space="preserve">2. Cibles 2030</w:t>
      </w:r>
    </w:p>
    <w:p>
      <w:pPr>
        <w:numPr>
          <w:ilvl w:val="0"/>
          <w:numId w:val="1158"/>
        </w:numPr>
        <w:pStyle w:val="Compact"/>
      </w:pPr>
      <w:r>
        <w:t xml:space="preserve">Accès électricité : 81,3 % (90 % urbain, 50 % rural), priorité aux localités de &gt; 1 000 habitants ; ~953 000 branchements (874 000 urbains = 175 000/an ; 79 000 ruraux = 16 000/an) ; ~2,5 M d’habitants urbains + 0,5 M ruraux [1] [V]. Hypothèse : 90 % de la hausse rurale via systèmes solaires autonomes, 10 % via mini-réseaux, à confirmer par la SEN [1, §2.1] [V]. Une partie de la hausse urbaine = régularisation de branchements clandestins [1] [V].</w:t>
      </w:r>
    </w:p>
    <w:p>
      <w:pPr>
        <w:numPr>
          <w:ilvl w:val="0"/>
          <w:numId w:val="1158"/>
        </w:numPr>
        <w:pStyle w:val="Compact"/>
      </w:pPr>
      <w:r>
        <w:t xml:space="preserve">Part des renouvelables : la déclaration dit « maintenir sa part à 33 % » [1, §1] ; le Tableau 1 vise 2 697 MW d’ENR, soit</w:t>
      </w:r>
      <w:r>
        <w:t xml:space="preserve"> </w:t>
      </w:r>
      <w:r>
        <w:rPr>
          <w:bCs/>
          <w:b/>
        </w:rPr>
        <w:t xml:space="preserve">72,8 %</w:t>
      </w:r>
      <w:r>
        <w:t xml:space="preserve"> </w:t>
      </w:r>
      <w:r>
        <w:t xml:space="preserve">de 3 701 MW installés (+2 953 MW dont 470 MW gaz et 2 483 MW ENR) [1] [V] — contradiction interne. Seuls 751,36 MW seraient réalisables d’ici 2030 (470 MW gaz + 281,36 MW ENR) [1, note 3] [V] ; les grands barrages (Sounda 800 MW, Mbandza Ndounga 630 MW, Kitéké 515 MW…) entreraient en service vers 2033 [1, Annexe III] [V].</w:t>
      </w:r>
    </w:p>
    <w:p>
      <w:pPr>
        <w:numPr>
          <w:ilvl w:val="0"/>
          <w:numId w:val="1158"/>
        </w:numPr>
        <w:pStyle w:val="Compact"/>
      </w:pPr>
      <w:r>
        <w:t xml:space="preserve">Cuisson propre : 81,3 % (90 % urbain / 50 % rural) ; +672 827 ménages urbains et +160 146 ruraux [1] [V].</w:t>
      </w:r>
    </w:p>
    <w:p>
      <w:pPr>
        <w:numPr>
          <w:ilvl w:val="0"/>
          <w:numId w:val="1158"/>
        </w:numPr>
        <w:pStyle w:val="Compact"/>
      </w:pPr>
      <w:r>
        <w:t xml:space="preserve">Autres cibles chiffrées :</w:t>
      </w:r>
    </w:p>
    <w:p>
      <w:pPr>
        <w:numPr>
          <w:ilvl w:val="1"/>
          <w:numId w:val="1159"/>
        </w:numPr>
        <w:pStyle w:val="Compact"/>
      </w:pPr>
      <w:r>
        <w:t xml:space="preserve">Capital privé : de 0 à 1 437 M USD supplémentaires 2025-2030 (« toute la nouvelle production supposée via IPPs ») [1, Tableau 1] [V].</w:t>
      </w:r>
    </w:p>
    <w:p>
      <w:pPr>
        <w:numPr>
          <w:ilvl w:val="1"/>
          <w:numId w:val="1159"/>
        </w:numPr>
        <w:pStyle w:val="Compact"/>
      </w:pPr>
      <w:r>
        <w:t xml:space="preserve">Pertes : −3 %/an ; recouvrement de 73 % à 95 % en 3 ans / d’ici 2028 [1, Annexe II] [V].</w:t>
      </w:r>
    </w:p>
    <w:p>
      <w:pPr>
        <w:numPr>
          <w:ilvl w:val="1"/>
          <w:numId w:val="1159"/>
        </w:numPr>
        <w:pStyle w:val="Compact"/>
      </w:pPr>
      <w:r>
        <w:t xml:space="preserve">Demande totale supplémentaire 2030 : 3 508 MW (localités 2 503, industriels 805, export 200) [1, Annexe III] [V].</w:t>
      </w:r>
    </w:p>
    <w:bookmarkEnd w:id="173"/>
    <w:bookmarkStart w:id="180" w:name="réformes-promises-cœur-de-lanalyse-5"/>
    <w:p>
      <w:pPr>
        <w:pStyle w:val="Heading3"/>
      </w:pPr>
      <w:r>
        <w:t xml:space="preserve">3. Réformes promises (cœur de l’analyse)</w:t>
      </w:r>
    </w:p>
    <w:bookmarkStart w:id="174" w:name="tarifs-et-subventions-8"/>
    <w:p>
      <w:pPr>
        <w:pStyle w:val="Heading4"/>
      </w:pPr>
      <w:r>
        <w:t xml:space="preserve">3.1 Tarifs et subventions</w:t>
      </w:r>
    </w:p>
    <w:p>
      <w:pPr>
        <w:numPr>
          <w:ilvl w:val="0"/>
          <w:numId w:val="1160"/>
        </w:numPr>
        <w:pStyle w:val="Compact"/>
      </w:pPr>
      <w:r>
        <w:t xml:space="preserve">Diagnostic :</w:t>
      </w:r>
      <w:r>
        <w:t xml:space="preserve"> </w:t>
      </w:r>
      <w:r>
        <w:rPr>
          <w:bCs/>
          <w:b/>
        </w:rPr>
        <w:t xml:space="preserve">tarifs inchangés depuis 1994</w:t>
      </w:r>
      <w:r>
        <w:t xml:space="preserve">, couvrant 56 % du coût de service (0,09 USD/kWh contre 0,16 USD/kWh) ; structure</w:t>
      </w:r>
      <w:r>
        <w:t xml:space="preserve"> </w:t>
      </w:r>
      <w:r>
        <w:rPr>
          <w:bCs/>
          <w:b/>
        </w:rPr>
        <w:t xml:space="preserve">régressive</w:t>
      </w:r>
      <w:r>
        <w:t xml:space="preserve">, sans tarif social [1, §3.1] [V] ; coût moyen du kWh 0,091 $ depuis 1994 [1, Annexe II] [V].</w:t>
      </w:r>
    </w:p>
    <w:p>
      <w:pPr>
        <w:numPr>
          <w:ilvl w:val="0"/>
          <w:numId w:val="1160"/>
        </w:numPr>
        <w:pStyle w:val="Compact"/>
      </w:pPr>
      <w:r>
        <w:t xml:space="preserve">Engagement à « l’instauration de la vérité des coûts de service » [1, §1] [V].</w:t>
      </w:r>
    </w:p>
    <w:p>
      <w:pPr>
        <w:numPr>
          <w:ilvl w:val="0"/>
          <w:numId w:val="1160"/>
        </w:numPr>
        <w:pStyle w:val="Compact"/>
      </w:pPr>
      <w:r>
        <w:rPr>
          <w:bCs/>
          <w:b/>
        </w:rPr>
        <w:t xml:space="preserve">Décembre 2025</w:t>
      </w:r>
      <w:r>
        <w:t xml:space="preserve"> </w:t>
      </w:r>
      <w:r>
        <w:t xml:space="preserve">: adoption d’un tarif social pour les consommateurs à faible revenu ; politique de branchements fondée sur la capacité de paiement (frais actuels ~110 000 XAF / 180 USD) [1, Tableau 3 et §3.1] [V].</w:t>
      </w:r>
    </w:p>
    <w:p>
      <w:pPr>
        <w:numPr>
          <w:ilvl w:val="0"/>
          <w:numId w:val="1160"/>
        </w:numPr>
        <w:pStyle w:val="Compact"/>
      </w:pPr>
      <w:r>
        <w:rPr>
          <w:bCs/>
          <w:b/>
        </w:rPr>
        <w:t xml:space="preserve">Décembre 2026</w:t>
      </w:r>
      <w:r>
        <w:t xml:space="preserve"> </w:t>
      </w:r>
      <w:r>
        <w:t xml:space="preserve">: nouvelle méthodologie du revenu requis des opérateurs (recouvrant au moins 100 % des coûts d’exploitation efficaces) ;</w:t>
      </w:r>
      <w:r>
        <w:t xml:space="preserve"> </w:t>
      </w:r>
      <w:r>
        <w:rPr>
          <w:bCs/>
          <w:b/>
        </w:rPr>
        <w:t xml:space="preserve">nouvelle grille tarifaire</w:t>
      </w:r>
      <w:r>
        <w:t xml:space="preserve"> </w:t>
      </w:r>
      <w:r>
        <w:t xml:space="preserve">avec charges fixes, de demande et d’énergie reflétant les coûts, incluant un tarif social [1, Tableau 3] [V].</w:t>
      </w:r>
    </w:p>
    <w:p>
      <w:pPr>
        <w:numPr>
          <w:ilvl w:val="0"/>
          <w:numId w:val="1160"/>
        </w:numPr>
        <w:pStyle w:val="Compact"/>
      </w:pPr>
      <w:r>
        <w:t xml:space="preserve">Montant des subventions : non chiffré [?] (E2C « dépendante des subventions publiques », notamment en production [1, Tableau 5] [V]).</w:t>
      </w:r>
    </w:p>
    <w:bookmarkEnd w:id="174"/>
    <w:bookmarkStart w:id="175" w:name="X1807eed6cc0568ad9b4f0838ba591991ff15ebd"/>
    <w:p>
      <w:pPr>
        <w:pStyle w:val="Heading4"/>
      </w:pPr>
      <w:r>
        <w:t xml:space="preserve">3.2 Opérateur (redressement, contrats de performance, pertes, recouvrement, compteurs)</w:t>
      </w:r>
    </w:p>
    <w:p>
      <w:pPr>
        <w:numPr>
          <w:ilvl w:val="0"/>
          <w:numId w:val="1161"/>
        </w:numPr>
        <w:pStyle w:val="Compact"/>
      </w:pPr>
      <w:r>
        <w:t xml:space="preserve">Pertes totales 45 % en 2022 (moyenne ASS 22 %) ; recouvrement 73 % ; &gt; 40 % des clients facturés au forfait ou gratuitement ; 117 clients par employé ; sureffectif [1] [V].</w:t>
      </w:r>
    </w:p>
    <w:p>
      <w:pPr>
        <w:numPr>
          <w:ilvl w:val="0"/>
          <w:numId w:val="1161"/>
        </w:numPr>
        <w:pStyle w:val="Compact"/>
      </w:pPr>
      <w:r>
        <w:t xml:space="preserve">Programme de protection des revenus : juin 2026 ;</w:t>
      </w:r>
      <w:r>
        <w:t xml:space="preserve"> </w:t>
      </w:r>
      <w:r>
        <w:rPr>
          <w:bCs/>
          <w:b/>
        </w:rPr>
        <w:t xml:space="preserve">facturation de tous les clients au comptage : décembre 2026</w:t>
      </w:r>
      <w:r>
        <w:t xml:space="preserve"> </w:t>
      </w:r>
      <w:r>
        <w:t xml:space="preserve">; compteurs à tous les points de consommation de l’État : juin 2026 ; généralisation des compteurs intelligents [1] [V].</w:t>
      </w:r>
    </w:p>
    <w:p>
      <w:pPr>
        <w:numPr>
          <w:ilvl w:val="0"/>
          <w:numId w:val="1161"/>
        </w:numPr>
        <w:pStyle w:val="Compact"/>
      </w:pPr>
      <w:r>
        <w:t xml:space="preserve">Mécanisme de paiement intégral des factures de l’État et de ses démembrements [1] [V] (sans date précise ni montant d’arriérés [?]).</w:t>
      </w:r>
    </w:p>
    <w:p>
      <w:pPr>
        <w:numPr>
          <w:ilvl w:val="0"/>
          <w:numId w:val="1161"/>
        </w:numPr>
        <w:pStyle w:val="Compact"/>
      </w:pPr>
      <w:r>
        <w:t xml:space="preserve">ERP : décembre 2026 ; états financiers audités d’E2C publiés en juin 2027 [1] [V]. États financiers actuels non certifiés [1] [V].</w:t>
      </w:r>
    </w:p>
    <w:p>
      <w:pPr>
        <w:numPr>
          <w:ilvl w:val="0"/>
          <w:numId w:val="1161"/>
        </w:numPr>
        <w:pStyle w:val="Compact"/>
      </w:pPr>
      <w:r>
        <w:t xml:space="preserve">Poursuite de la réforme : création de la société de gestion du réseau de transport, amélioration des centrales hydro, service public de distribution conforme au code de l’électricité [1] [V]. Pas de contrat de performance ni de plan de restructuration de la dette chiffré [?].</w:t>
      </w:r>
    </w:p>
    <w:p>
      <w:pPr>
        <w:numPr>
          <w:ilvl w:val="0"/>
          <w:numId w:val="1161"/>
        </w:numPr>
        <w:pStyle w:val="Compact"/>
      </w:pPr>
      <w:r>
        <w:t xml:space="preserve">Dette E2C : « fortement endettée », montant non donné [?].</w:t>
      </w:r>
    </w:p>
    <w:bookmarkEnd w:id="175"/>
    <w:bookmarkStart w:id="176" w:name="régulation-et-gouvernance-6"/>
    <w:p>
      <w:pPr>
        <w:pStyle w:val="Heading4"/>
      </w:pPr>
      <w:r>
        <w:t xml:space="preserve">3.3 Régulation et gouvernance</w:t>
      </w:r>
    </w:p>
    <w:p>
      <w:pPr>
        <w:numPr>
          <w:ilvl w:val="0"/>
          <w:numId w:val="1162"/>
        </w:numPr>
        <w:pStyle w:val="Compact"/>
      </w:pPr>
      <w:r>
        <w:t xml:space="preserve">PDEMC : procédure de mise à jour biennale (juin 2026), adoption en Conseil des ministres (décembre 2026), 1re mise à jour (décembre 2028) [1] [V].</w:t>
      </w:r>
    </w:p>
    <w:p>
      <w:pPr>
        <w:numPr>
          <w:ilvl w:val="0"/>
          <w:numId w:val="1162"/>
        </w:numPr>
        <w:pStyle w:val="Compact"/>
      </w:pPr>
      <w:r>
        <w:t xml:space="preserve">3e Lettre de politique sectorielle (LPNS) avant fin 2025 ; SEN adoptée en décembre 2025 ; Plan d’électrification national à moindre coût en décembre 2026 [1] [V].</w:t>
      </w:r>
    </w:p>
    <w:p>
      <w:pPr>
        <w:numPr>
          <w:ilvl w:val="0"/>
          <w:numId w:val="1162"/>
        </w:numPr>
        <w:pStyle w:val="Compact"/>
      </w:pPr>
      <w:r>
        <w:t xml:space="preserve">Standards techniques réseau (décembre 2025) ; stratégie numérique-énergie (décembre 2026) ; stratégie genre et énergie (décembre 2026) [1] [V].</w:t>
      </w:r>
    </w:p>
    <w:p>
      <w:pPr>
        <w:numPr>
          <w:ilvl w:val="0"/>
          <w:numId w:val="1162"/>
        </w:numPr>
        <w:pStyle w:val="Compact"/>
      </w:pPr>
      <w:r>
        <w:t xml:space="preserve">Cadre réglementaire complété en 2017 (décrets 2017-247 à 252) et décret 2020-133 sur les catégories tarifaires [1] [V].</w:t>
      </w:r>
    </w:p>
    <w:bookmarkEnd w:id="176"/>
    <w:bookmarkStart w:id="177" w:name="X868b4637dcfe6eda5320d1f1d937eb489d2ee08"/>
    <w:p>
      <w:pPr>
        <w:pStyle w:val="Heading4"/>
      </w:pPr>
      <w:r>
        <w:t xml:space="preserve">3.4 Participation du privé (producteurs indépendants, concessions, hors réseau)</w:t>
      </w:r>
    </w:p>
    <w:p>
      <w:pPr>
        <w:numPr>
          <w:ilvl w:val="0"/>
          <w:numId w:val="1163"/>
        </w:numPr>
        <w:pStyle w:val="Compact"/>
      </w:pPr>
      <w:r>
        <w:t xml:space="preserve">Analyse des écarts loi PPP / cadre sectoriel (décembre 2025) ; cadre de passation concurrentiel pour les investissements du PDEMC (juin 2026) ; appels d’offres concurrentiels exigés pour la production [1] [V].</w:t>
      </w:r>
    </w:p>
    <w:p>
      <w:pPr>
        <w:numPr>
          <w:ilvl w:val="0"/>
          <w:numId w:val="1163"/>
        </w:numPr>
        <w:pStyle w:val="Compact"/>
      </w:pPr>
      <w:r>
        <w:t xml:space="preserve">Hors réseau : options de participation privée (juin 2026) ; simplification de l’exonération des taxes à l’importation des produits solaires et de cuisson (décembre 2025) ; application de la charte des investissements (juin 2026) ; vérification de conformité des importations (juin 2028) [1] [V].</w:t>
      </w:r>
    </w:p>
    <w:p>
      <w:pPr>
        <w:numPr>
          <w:ilvl w:val="0"/>
          <w:numId w:val="1163"/>
        </w:numPr>
        <w:pStyle w:val="Compact"/>
      </w:pPr>
      <w:r>
        <w:t xml:space="preserve">Hypothèse de financement : production 100 % privée ; transport/distribution 100 % publics ; SHS, mini-réseaux, cuisson, réseaux transfrontaliers 50/50 [1, Tableau 2] [V].</w:t>
      </w:r>
    </w:p>
    <w:p>
      <w:pPr>
        <w:numPr>
          <w:ilvl w:val="0"/>
          <w:numId w:val="1163"/>
        </w:numPr>
        <w:pStyle w:val="Compact"/>
      </w:pPr>
      <w:r>
        <w:t xml:space="preserve">Extension de la CEC de 484 à 954 MW (Eni, État, SFI) en préparation, 300 M USD [1, Annexe I] [V].</w:t>
      </w:r>
    </w:p>
    <w:bookmarkEnd w:id="177"/>
    <w:bookmarkStart w:id="178" w:name="Xa80e57d3274867ef916dcb3d7c2d218ffe4d8bd"/>
    <w:p>
      <w:pPr>
        <w:pStyle w:val="Heading4"/>
      </w:pPr>
      <w:r>
        <w:t xml:space="preserve">3.5 Intégration régionale (pools énergétiques, interconnexions)</w:t>
      </w:r>
    </w:p>
    <w:p>
      <w:pPr>
        <w:numPr>
          <w:ilvl w:val="0"/>
          <w:numId w:val="1164"/>
        </w:numPr>
        <w:pStyle w:val="Compact"/>
      </w:pPr>
      <w:r>
        <w:t xml:space="preserve">Schéma de tarification du service de transport sur le réseau national : juin 2027 [1] [V].</w:t>
      </w:r>
    </w:p>
    <w:p>
      <w:pPr>
        <w:numPr>
          <w:ilvl w:val="0"/>
          <w:numId w:val="1164"/>
        </w:numPr>
        <w:pStyle w:val="Compact"/>
      </w:pPr>
      <w:r>
        <w:t xml:space="preserve">Études de faisabilité de la ligne Congo-Gabon : juin 2027 [1] [V]. Projets : 400 kV Pointe-Noire–Cabinda (Bayshore), 400 kV Pointe-Noire–Brazzaville–Kinshasa (UE), 400 kV Congo-Gabon (UE), électrification transfrontalière PEAC [1, Annexe I et III] [V].</w:t>
      </w:r>
    </w:p>
    <w:p>
      <w:pPr>
        <w:numPr>
          <w:ilvl w:val="0"/>
          <w:numId w:val="1164"/>
        </w:numPr>
        <w:pStyle w:val="Compact"/>
      </w:pPr>
      <w:r>
        <w:t xml:space="preserve">Normalisation commune pour construction/exploitation des réseaux [1] [V]. Export prévu de 200 MW vers Kinshasa et Cabinda [1] [V].</w:t>
      </w:r>
    </w:p>
    <w:bookmarkEnd w:id="178"/>
    <w:bookmarkStart w:id="179" w:name="autres-fiscalité-foncier-local-content-3"/>
    <w:p>
      <w:pPr>
        <w:pStyle w:val="Heading4"/>
      </w:pPr>
      <w:r>
        <w:t xml:space="preserve">3.6 Autres (fiscalité, foncier, local content)</w:t>
      </w:r>
    </w:p>
    <w:p>
      <w:pPr>
        <w:numPr>
          <w:ilvl w:val="0"/>
          <w:numId w:val="1165"/>
        </w:numPr>
        <w:pStyle w:val="Compact"/>
      </w:pPr>
      <w:r>
        <w:t xml:space="preserve">Exonérations douanières et charte des investissements pour ENR hors réseau et cuisson [1] [V].</w:t>
      </w:r>
    </w:p>
    <w:p>
      <w:pPr>
        <w:numPr>
          <w:ilvl w:val="0"/>
          <w:numId w:val="1165"/>
        </w:numPr>
        <w:pStyle w:val="Compact"/>
      </w:pPr>
      <w:r>
        <w:t xml:space="preserve">Pas d’engagement sur le foncier ni le contenu local [?].</w:t>
      </w:r>
    </w:p>
    <w:bookmarkEnd w:id="179"/>
    <w:bookmarkEnd w:id="180"/>
    <w:bookmarkStart w:id="181" w:name="financement-8"/>
    <w:p>
      <w:pPr>
        <w:pStyle w:val="Heading3"/>
      </w:pPr>
      <w:r>
        <w:t xml:space="preserve">4. Financement</w:t>
      </w:r>
    </w:p>
    <w:p>
      <w:pPr>
        <w:numPr>
          <w:ilvl w:val="0"/>
          <w:numId w:val="1166"/>
        </w:numPr>
        <w:pStyle w:val="Compact"/>
      </w:pPr>
      <w:r>
        <w:rPr>
          <w:bCs/>
          <w:b/>
        </w:rPr>
        <w:t xml:space="preserve">Chiffres incohérents</w:t>
      </w:r>
      <w:r>
        <w:t xml:space="preserve"> </w:t>
      </w:r>
      <w:r>
        <w:t xml:space="preserve">: le préambule appelle à « mobiliser 2,31 milliards de dollars supplémentaires, dont 1,5 milliard du secteur privé » [1] [V] ; le Tableau 2 chiffre le besoin total à</w:t>
      </w:r>
      <w:r>
        <w:t xml:space="preserve"> </w:t>
      </w:r>
      <w:r>
        <w:rPr>
          <w:bCs/>
          <w:b/>
        </w:rPr>
        <w:t xml:space="preserve">11,543 Md USD (2,31 Md/an)</w:t>
      </w:r>
      <w:r>
        <w:t xml:space="preserve">, dont 71,6 % privé (8,267 Md USD) et 28,4 % public (3,276 Md USD, soit 655,2 M/an) [1] [V] ; le Tableau 1 vise 1 437 M USD de capital privé [1] [V]. → les « 2,31 Md » du préambule correspondent probablement au montant annuel [E].</w:t>
      </w:r>
    </w:p>
    <w:p>
      <w:pPr>
        <w:numPr>
          <w:ilvl w:val="0"/>
          <w:numId w:val="1166"/>
        </w:numPr>
        <w:pStyle w:val="Compact"/>
      </w:pPr>
      <w:r>
        <w:t xml:space="preserve">Ventilation (M USD) : production 7 691 ; transport 986 ; distribution 1 282 ; HTA 432 ; SHS 338 ; hydroliennes 46 ; mini-réseaux 606 ; transfrontalier 112 ; cuisson 50 [1, Tableau 2] [V].</w:t>
      </w:r>
    </w:p>
    <w:p>
      <w:pPr>
        <w:numPr>
          <w:ilvl w:val="0"/>
          <w:numId w:val="1166"/>
        </w:numPr>
        <w:pStyle w:val="Compact"/>
      </w:pPr>
      <w:r>
        <w:t xml:space="preserve">Annexe III : total production+transport+distribution 7 701,363 milliards FCFA (avec industriels et export), soit 1 540,273 milliards FCFA/an 2026-2030 [1] [V].</w:t>
      </w:r>
    </w:p>
    <w:p>
      <w:pPr>
        <w:numPr>
          <w:ilvl w:val="0"/>
          <w:numId w:val="1166"/>
        </w:numPr>
        <w:pStyle w:val="Compact"/>
      </w:pPr>
      <w:r>
        <w:t xml:space="preserve">Engagements cités (Annexe I) : BM — Projet d’amélioration des services d’électricité (PASEL) 100 M USD, 25 000 branchements [1] [V] ; BAD — PAPASE (gouvernance et accès), études Mbandza Ndounga et ligne 220 kV Loudima–Djambala [1] [V] ; AFD — réhabilitation ligne 110 kV Moukoukoulou–Mindouli ; UE — lignes 400 kV ; PNUD — électrification rurale et micro-hydro [1] [V]. Montants non précisés hors PASEL et CEC [?].</w:t>
      </w:r>
    </w:p>
    <w:bookmarkEnd w:id="181"/>
    <w:bookmarkStart w:id="182" w:name="calendrier-et-suivi-8"/>
    <w:p>
      <w:pPr>
        <w:pStyle w:val="Heading3"/>
      </w:pPr>
      <w:r>
        <w:t xml:space="preserve">5. Calendrier et suivi</w:t>
      </w:r>
    </w:p>
    <w:p>
      <w:pPr>
        <w:numPr>
          <w:ilvl w:val="0"/>
          <w:numId w:val="1167"/>
        </w:numPr>
        <w:pStyle w:val="Compact"/>
      </w:pPr>
      <w:r>
        <w:t xml:space="preserve">Jalons : déc. 2025 (SEN, tarif social, politique de branchement, analyse PPP, exonérations) ; juin 2026 (passation concurrentielle, protection des revenus, compteurs État) ; déc. 2026 (PDEMC, SNCP, méthodologie revenu requis, nouvelle grille tarifaire, comptage de tous les clients, ERP) ; juin 2027 (états financiers audités, tarif de transport, étude Congo-Gabon) ; déc. 2028 (mise à jour PDEMC) [1, Tableau 3] [V].</w:t>
      </w:r>
    </w:p>
    <w:p>
      <w:pPr>
        <w:numPr>
          <w:ilvl w:val="0"/>
          <w:numId w:val="1167"/>
        </w:numPr>
        <w:pStyle w:val="Compact"/>
      </w:pPr>
      <w:r>
        <w:t xml:space="preserve">Suivi : Unité de Gestion du PNE (UGPNE), rattachée au ministre de l’Énergie, représentants Finances, Plan, Aménagement du territoire, régulateurs ; financée par le budget et les partenaires [1, §1] [V].</w:t>
      </w:r>
    </w:p>
    <w:p>
      <w:pPr>
        <w:numPr>
          <w:ilvl w:val="0"/>
          <w:numId w:val="1167"/>
        </w:numPr>
        <w:pStyle w:val="Compact"/>
      </w:pPr>
      <w:r>
        <w:t xml:space="preserve">Aucun rapport d’avancement public [2] [V].</w:t>
      </w:r>
    </w:p>
    <w:bookmarkEnd w:id="182"/>
    <w:bookmarkStart w:id="183" w:name="lecture-critique-5"/>
    <w:p>
      <w:pPr>
        <w:pStyle w:val="Heading3"/>
      </w:pPr>
      <w:r>
        <w:t xml:space="preserve">6. Lecture critique</w:t>
      </w:r>
    </w:p>
    <w:p>
      <w:pPr>
        <w:numPr>
          <w:ilvl w:val="0"/>
          <w:numId w:val="1168"/>
        </w:numPr>
        <w:pStyle w:val="Compact"/>
      </w:pPr>
      <w:r>
        <w:t xml:space="preserve">Réalisme des cibles : passer de 1 % à 50 % d’accès rural et de 4,7 % à 50 % de cuisson propre rurale en 5 ans (croissance « 35,4 %/an » et « 60,5 %/an ») est très ambitieux [E]. Le pacte assume que la hausse urbaine sera en partie de la régularisation, ce qui est réaliste [E]. La cible ENR (33 % vs 72,8 %) et le financement (2,31 vs 11,5 Md) sont contradictoires ; le besoin de 3 701 MW installés pour 7,8 M d’habitants paraît surdimensionné (hypothèse de 1,5 à 3 kW par ménage) [1] [E].</w:t>
      </w:r>
    </w:p>
    <w:p>
      <w:pPr>
        <w:numPr>
          <w:ilvl w:val="0"/>
          <w:numId w:val="1168"/>
        </w:numPr>
        <w:pStyle w:val="Compact"/>
      </w:pPr>
      <w:r>
        <w:t xml:space="preserve">Engagements tarifaires :</w:t>
      </w:r>
      <w:r>
        <w:t xml:space="preserve"> </w:t>
      </w:r>
      <w:r>
        <w:rPr>
          <w:bCs/>
          <w:b/>
        </w:rPr>
        <w:t xml:space="preserve">précis et datés</w:t>
      </w:r>
      <w:r>
        <w:t xml:space="preserve"> </w:t>
      </w:r>
      <w:r>
        <w:t xml:space="preserve">(tarif social déc. 2025, nouvelle grille tarifaire binôme/trinôme déc. 2026, ≥ 100 % des coûts d’exploitation efficaces), dans un contexte de tarif gelé depuis 1994 — c’est l’un des engagements les plus forts du groupe, mais le plus risqué politiquement ; pas de trajectoire de hausse ni de montant de subvention [E].</w:t>
      </w:r>
    </w:p>
    <w:p>
      <w:pPr>
        <w:numPr>
          <w:ilvl w:val="0"/>
          <w:numId w:val="1168"/>
        </w:numPr>
        <w:pStyle w:val="Compact"/>
      </w:pPr>
      <w:r>
        <w:t xml:space="preserve">Risques principaux : statut transitoire d’E2C depuis 2018 ; dépendance à une seule centrale gaz (CEC) et à une ligne radiale ; dette E2C non chiffrée ; arriérés de l’État ; incohérences de chiffrage ; document marqué « Official Use Only » (statut de publication à vérifier) [1] [E].</w:t>
      </w:r>
    </w:p>
    <w:p>
      <w:pPr>
        <w:numPr>
          <w:ilvl w:val="0"/>
          <w:numId w:val="1168"/>
        </w:numPr>
        <w:pStyle w:val="Compact"/>
      </w:pPr>
      <w:r>
        <w:t xml:space="preserve">Points à approfondir : phase 2 — statut juridique d’E2C et de la future société de transport, comptes 2023-2025, contrat CEC (prix d’achat du gaz/électricité) ; phase 3 — application effective du tarif social et de la nouvelle grille (déc. 2025/2026), structure tarifaire actuelle, frais de branchement.</w:t>
      </w:r>
    </w:p>
    <w:bookmarkEnd w:id="183"/>
    <w:bookmarkStart w:id="184" w:name="inconnus-données-non-trouvées-8"/>
    <w:p>
      <w:pPr>
        <w:pStyle w:val="Heading3"/>
      </w:pPr>
      <w:r>
        <w:t xml:space="preserve">7. Inconnus / données non trouvées</w:t>
      </w:r>
    </w:p>
    <w:p>
      <w:pPr>
        <w:numPr>
          <w:ilvl w:val="0"/>
          <w:numId w:val="1169"/>
        </w:numPr>
        <w:pStyle w:val="Compact"/>
      </w:pPr>
      <w:r>
        <w:t xml:space="preserve">Événement et date de présentation [?] ; montant de la dette E2C et des arriérés de l’État [?] ; montant des subventions [?].</w:t>
      </w:r>
    </w:p>
    <w:p>
      <w:pPr>
        <w:numPr>
          <w:ilvl w:val="0"/>
          <w:numId w:val="1169"/>
        </w:numPr>
        <w:pStyle w:val="Compact"/>
      </w:pPr>
      <w:r>
        <w:t xml:space="preserve">Coût moyen de production thermique/renouvelable (case vide de l’Annexe II) [?].</w:t>
      </w:r>
    </w:p>
    <w:p>
      <w:pPr>
        <w:numPr>
          <w:ilvl w:val="0"/>
          <w:numId w:val="1169"/>
        </w:numPr>
        <w:pStyle w:val="Compact"/>
      </w:pPr>
      <w:r>
        <w:t xml:space="preserve">Nombre de compteurs prépayés [?] ; nombre de SHS et de mini-réseaux existants [?] (Annexe II vide).</w:t>
      </w:r>
    </w:p>
    <w:p>
      <w:pPr>
        <w:numPr>
          <w:ilvl w:val="0"/>
          <w:numId w:val="1169"/>
        </w:numPr>
        <w:pStyle w:val="Compact"/>
      </w:pPr>
      <w:r>
        <w:t xml:space="preserve">Mise en œuvre effective des engagements de décembre 2025 [?] (pas de rapport d’avancement).</w:t>
      </w:r>
    </w:p>
    <w:bookmarkEnd w:id="184"/>
    <w:bookmarkStart w:id="185" w:name="sources-9"/>
    <w:p>
      <w:pPr>
        <w:pStyle w:val="Heading3"/>
      </w:pPr>
      <w:r>
        <w:t xml:space="preserve">Sources</w:t>
      </w:r>
    </w:p>
    <w:p>
      <w:pPr>
        <w:pStyle w:val="FirstParagraph"/>
      </w:pPr>
      <w:r>
        <w:t xml:space="preserve">[1] Gouvernement de la République du Congo, « Pacte National Énergétique de la République du Congo », Mission 300, s.d. (PDF créé le 23-09-2025), 37 p. https://www.worldbank.org/content/dam/theworldbankgroupasset/document/2026/m300-energy-compacts/Congo-National-Energy-Compact-Mission-300.pdf, consulté le 2026-10-18.</w:t>
      </w:r>
      <w:r>
        <w:t xml:space="preserve"> </w:t>
      </w:r>
      <w:r>
        <w:t xml:space="preserve">[2] Banque mondiale, « National Energy Compacts » (page de liste ; date « Sep 2025 » affichée pour la République du Congo, pas de rapport d’avancement). https://www.worldbank.org/ext/en/energizingafrica/national-energy-compacts, consulté le 2026-10-18.</w:t>
      </w:r>
    </w:p>
    <w:p>
      <w:r>
        <w:br w:type="page"/>
      </w:r>
    </w:p>
    <w:bookmarkEnd w:id="185"/>
    <w:bookmarkEnd w:id="186"/>
    <w:bookmarkStart w:id="202" w:name="X0ecd261a808c6f24d6e4212a17160ee8ec8fda0"/>
    <w:p>
      <w:pPr>
        <w:pStyle w:val="Heading2"/>
      </w:pPr>
      <w:r>
        <w:t xml:space="preserve">Fiche pacte national de l’énergie — Comores (Union des)</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187" w:name="métadonnées-9"/>
    <w:p>
      <w:pPr>
        <w:pStyle w:val="Heading3"/>
      </w:pPr>
      <w:r>
        <w:t xml:space="preserve">0. Métadonnées</w:t>
      </w:r>
    </w:p>
    <w:p>
      <w:pPr>
        <w:numPr>
          <w:ilvl w:val="0"/>
          <w:numId w:val="1170"/>
        </w:numPr>
        <w:pStyle w:val="Compact"/>
      </w:pPr>
      <w:r>
        <w:t xml:space="preserve">Cohorte / date de présentation : cohorte 2. Pacte endossé le 24 sept. 2025 à New York (Bloomberg Philanthropies Global Forum, semaine de l’AGNU) [V][2]. La page BM indique « September 2025 » [V][3].</w:t>
      </w:r>
    </w:p>
    <w:p>
      <w:pPr>
        <w:numPr>
          <w:ilvl w:val="0"/>
          <w:numId w:val="1170"/>
        </w:numPr>
        <w:pStyle w:val="Compact"/>
      </w:pPr>
      <w:r>
        <w:t xml:space="preserve">Document du pacte consulté : « Pacte National sur l’Énergie de l’Union des Comores », 32 p., en français, PDF créé le 22/09/2025 (métadonnées). Le texte se présente lui-même comme un « Pacte révisé » : objectif de cuisson « réajusté », calendrier « revu ». URL : https://www.worldbank.org/content/dam/theworldbankgroupasset/document/2026/m300-energy-compacts/Comoros-National-Energy-Compact-Mission-300.pdf [V][1]</w:t>
      </w:r>
    </w:p>
    <w:p>
      <w:pPr>
        <w:numPr>
          <w:ilvl w:val="0"/>
          <w:numId w:val="1170"/>
        </w:numPr>
        <w:pStyle w:val="Compact"/>
      </w:pPr>
      <w:r>
        <w:t xml:space="preserve">Accès au texte intégral : oui (pdftotext).</w:t>
      </w:r>
      <w:r>
        <w:t xml:space="preserve"> </w:t>
      </w:r>
      <w:r>
        <w:rPr>
          <w:bCs/>
          <w:b/>
        </w:rPr>
        <w:t xml:space="preserve">Aucun rapport d’avancement</w:t>
      </w:r>
      <w:r>
        <w:t xml:space="preserve"> </w:t>
      </w:r>
      <w:r>
        <w:t xml:space="preserve">des Comores n’est publié sur la page BM au 18/10/2026 [V][3].</w:t>
      </w:r>
    </w:p>
    <w:p>
      <w:pPr>
        <w:numPr>
          <w:ilvl w:val="0"/>
          <w:numId w:val="1170"/>
        </w:numPr>
        <w:pStyle w:val="Compact"/>
      </w:pPr>
      <w:r>
        <w:t xml:space="preserve">Opérateur national d’électricité : SONELEC (Société nationale de l’électricité des Comores), entreprise publique verticalement intégrée sur les 3 îles. Elle a un statut fixé par le décret n° 18-081/PR [V][1].</w:t>
      </w:r>
    </w:p>
    <w:p>
      <w:pPr>
        <w:numPr>
          <w:ilvl w:val="0"/>
          <w:numId w:val="1170"/>
        </w:numPr>
        <w:pStyle w:val="Compact"/>
      </w:pPr>
      <w:r>
        <w:t xml:space="preserve">Régulateur : Agence de Régulation de l’Énergie et de l’Eau (AREE/ARE). Elle a été créée par le Code de l’énergie électrique (loi n° 78/PR/2023) mais n’est « pas encore effectivement établie ». Son opérationnalisation est promise pour fin 2025 [V][1].</w:t>
      </w:r>
    </w:p>
    <w:p>
      <w:pPr>
        <w:numPr>
          <w:ilvl w:val="0"/>
          <w:numId w:val="1170"/>
        </w:numPr>
        <w:pStyle w:val="Compact"/>
      </w:pPr>
      <w:r>
        <w:t xml:space="preserve">Ministère : Ministère de l’Énergie, de l’Eau et des Hydrocarbures (MEEH) et sa Direction Générale de l’Énergie, des Mines et de l’Eau (DGEME) [V][1].</w:t>
      </w:r>
    </w:p>
    <w:bookmarkEnd w:id="187"/>
    <w:bookmarkStart w:id="188" w:name="situation-de-départ-selon-le-pacte-9"/>
    <w:p>
      <w:pPr>
        <w:pStyle w:val="Heading3"/>
      </w:pPr>
      <w:r>
        <w:t xml:space="preserve">1. Situation de départ (selon le pacte)</w:t>
      </w:r>
    </w:p>
    <w:p>
      <w:pPr>
        <w:numPr>
          <w:ilvl w:val="0"/>
          <w:numId w:val="1171"/>
        </w:numPr>
        <w:pStyle w:val="Compact"/>
      </w:pPr>
      <w:r>
        <w:t xml:space="preserve">Taux d’accès par île : Grande Comore (Ngazidja) environ 95 %, Anjouan 49 %, Mohéli 87 % (année non précisée, contexte 2024) [V][1].</w:t>
      </w:r>
      <w:r>
        <w:t xml:space="preserve"> </w:t>
      </w:r>
      <w:r>
        <w:rPr>
          <w:bCs/>
          <w:b/>
        </w:rPr>
        <w:t xml:space="preserve">Pas de taux national</w:t>
      </w:r>
      <w:r>
        <w:t xml:space="preserve"> </w:t>
      </w:r>
      <w:r>
        <w:t xml:space="preserve">dans le pacte [V : absence constatée][1].</w:t>
      </w:r>
    </w:p>
    <w:p>
      <w:pPr>
        <w:numPr>
          <w:ilvl w:val="0"/>
          <w:numId w:val="1171"/>
        </w:numPr>
        <w:pStyle w:val="Compact"/>
      </w:pPr>
      <w:r>
        <w:t xml:space="preserve">Population sans accès : « plus de 62 310 ménages » [V][1]. Le pacte vise 311 550 personnes (62 310 ménages) à raccorder entre 2025 et 2030 [V][1]. Au rythme actuel (+1,35 % par an), 45 323 ménages (226 615 personnes) seraient encore sans électricité en 2030 [V][1]. Population totale : environ 837 000 habitants [V][1].</w:t>
      </w:r>
    </w:p>
    <w:p>
      <w:pPr>
        <w:numPr>
          <w:ilvl w:val="0"/>
          <w:numId w:val="1171"/>
        </w:numPr>
        <w:pStyle w:val="Compact"/>
      </w:pPr>
      <w:r>
        <w:t xml:space="preserve">Capacité installée : environ 53 MW (2024), dont seulement 22 MW disponibles (41,5 %). Ces 22 MW comprennent 11,3 MW solaires de deux IPP et 712 kW hydro [V][1]. Demande de pointe : 26,2 MW (§2) ou 29,5 MW (§3) [V][1] (cf. §7).</w:t>
      </w:r>
    </w:p>
    <w:p>
      <w:pPr>
        <w:numPr>
          <w:ilvl w:val="0"/>
          <w:numId w:val="1171"/>
        </w:numPr>
        <w:pStyle w:val="Compact"/>
      </w:pPr>
      <w:r>
        <w:t xml:space="preserve">Mix de production 2024 (GWh) : 94 % thermique, 6 % renouvelable [V][1]. Le préambule parle de diesel à « 91 % du mix » et d’une part renouvelable de « 9 % » [V][1] (cf. §7).</w:t>
      </w:r>
    </w:p>
    <w:p>
      <w:pPr>
        <w:numPr>
          <w:ilvl w:val="0"/>
          <w:numId w:val="1171"/>
        </w:numPr>
        <w:pStyle w:val="Compact"/>
      </w:pPr>
      <w:r>
        <w:t xml:space="preserve">Parc :</w:t>
      </w:r>
    </w:p>
    <w:p>
      <w:pPr>
        <w:numPr>
          <w:ilvl w:val="1"/>
          <w:numId w:val="1172"/>
        </w:numPr>
        <w:pStyle w:val="Compact"/>
      </w:pPr>
      <w:r>
        <w:t xml:space="preserve">centrales thermiques SONELEC : Voidjou 18,2 MW, Itsambouni 12,19 MW, Trenani (Anjouan) 15,7 MW, Fomboni (Mohéli) 4 MW ;</w:t>
      </w:r>
    </w:p>
    <w:p>
      <w:pPr>
        <w:numPr>
          <w:ilvl w:val="1"/>
          <w:numId w:val="1172"/>
        </w:numPr>
        <w:pStyle w:val="Compact"/>
      </w:pPr>
      <w:r>
        <w:t xml:space="preserve">solaire : Foumbouni 4,08 MWc avec 3 MW / 7 MWh de stockage (2021), Mitsamiouli 5 MW avec 10 MWh (déc. 2024), Wachili 6,3 MW (EPC, févr. 2025), 3 MWc avec 1,7 MW / 2,6 MWh à Anjouan [V][1].</w:t>
      </w:r>
    </w:p>
    <w:p>
      <w:pPr>
        <w:numPr>
          <w:ilvl w:val="0"/>
          <w:numId w:val="1171"/>
        </w:numPr>
        <w:pStyle w:val="Compact"/>
      </w:pPr>
      <w:r>
        <w:t xml:space="preserve">Abonnés (juillet 2023) : Grande Comore 78 991 BT et 74 MT ; Anjouan 35 091 BT et 26 MT ; Mohéli 10 840 BT et 2 MT [V][1].</w:t>
      </w:r>
    </w:p>
    <w:p>
      <w:pPr>
        <w:numPr>
          <w:ilvl w:val="0"/>
          <w:numId w:val="1171"/>
        </w:numPr>
        <w:pStyle w:val="Compact"/>
      </w:pPr>
      <w:r>
        <w:t xml:space="preserve">Économie du service : coût de production 0,76 USD/kWh contre un tarif moyen de 0,43 USD/kWh, soit 56,6 % du coût couvert (source citée : FMI 2024) [V][1]. Subventions publiques d’environ 22 M USD par an, soit environ 2 % du PIB [V][1]. Diesel cédé à la SONELEC à 315 KMF (0,69 USD) contre 615 KMF (1,36 USD) au public [V][1].</w:t>
      </w:r>
    </w:p>
    <w:p>
      <w:pPr>
        <w:numPr>
          <w:ilvl w:val="0"/>
          <w:numId w:val="1171"/>
        </w:numPr>
        <w:pStyle w:val="Compact"/>
      </w:pPr>
      <w:r>
        <w:t xml:space="preserve">Pertes techniques et commerciales : 37 % [V][1]. Recouvrement d’environ 80 % (2024) [V][1].</w:t>
      </w:r>
    </w:p>
    <w:p>
      <w:pPr>
        <w:numPr>
          <w:ilvl w:val="0"/>
          <w:numId w:val="1171"/>
        </w:numPr>
        <w:pStyle w:val="Compact"/>
      </w:pPr>
      <w:r>
        <w:t xml:space="preserve">Arriérés : 4,8 M USD d’impôts non perçus (2015-2022) ; 16 M USD envers d’autres entreprises publiques, dont 13,3 M USD envers la Société Comorienne des Hydrocarbures (SCH) et 2,7 M USD envers l’ORTC (source citée : revue BAD, sept. 2023) [V][1].</w:t>
      </w:r>
    </w:p>
    <w:p>
      <w:pPr>
        <w:numPr>
          <w:ilvl w:val="0"/>
          <w:numId w:val="1171"/>
        </w:numPr>
        <w:pStyle w:val="Compact"/>
      </w:pPr>
      <w:r>
        <w:t xml:space="preserve">Accès à la cuisson propre : 0,5 % de la population. Moins de 14 % des ménages ont un foyer amélioré [V][1]. La biomasse représente 57 % de la consommation d’énergie [V][1].</w:t>
      </w:r>
    </w:p>
    <w:bookmarkEnd w:id="188"/>
    <w:bookmarkStart w:id="189" w:name="cibles-2030-9"/>
    <w:p>
      <w:pPr>
        <w:pStyle w:val="Heading3"/>
      </w:pPr>
      <w:r>
        <w:t xml:space="preserve">2. Cibles 2030</w:t>
      </w:r>
    </w:p>
    <w:p>
      <w:pPr>
        <w:numPr>
          <w:ilvl w:val="0"/>
          <w:numId w:val="1173"/>
        </w:numPr>
        <w:pStyle w:val="Compact"/>
      </w:pPr>
      <w:r>
        <w:t xml:space="preserve">Accès à l’électricité : 100 % sur les 3 îles en 2030, soit +4,4 % par an (contre +1,35 % par an sur 2017-2024) [V][1]. Cela représente 12 462 nouveaux raccordements par an [V][1] :</w:t>
      </w:r>
    </w:p>
    <w:p>
      <w:pPr>
        <w:numPr>
          <w:ilvl w:val="1"/>
          <w:numId w:val="1174"/>
        </w:numPr>
        <w:pStyle w:val="Compact"/>
      </w:pPr>
      <w:r>
        <w:t xml:space="preserve">78 % réseau SONELEC (9 720 par an) ;</w:t>
      </w:r>
    </w:p>
    <w:p>
      <w:pPr>
        <w:numPr>
          <w:ilvl w:val="1"/>
          <w:numId w:val="1174"/>
        </w:numPr>
        <w:pStyle w:val="Compact"/>
      </w:pPr>
      <w:r>
        <w:t xml:space="preserve">8 % hors réseau (997 par an) ;</w:t>
      </w:r>
    </w:p>
    <w:p>
      <w:pPr>
        <w:numPr>
          <w:ilvl w:val="1"/>
          <w:numId w:val="1174"/>
        </w:numPr>
        <w:pStyle w:val="Compact"/>
      </w:pPr>
      <w:r>
        <w:t xml:space="preserve">14 % mini-réseaux (1 745 par an) [V][1].</w:t>
      </w:r>
    </w:p>
    <w:p>
      <w:pPr>
        <w:numPr>
          <w:ilvl w:val="0"/>
          <w:numId w:val="1000"/>
        </w:numPr>
        <w:pStyle w:val="Compact"/>
      </w:pPr>
      <w:r>
        <w:t xml:space="preserve">Le tableau 1 donne 311 550 personnes à raccorder en 2025-2030, dont 243 009 via la SONELEC, 24 924 via des kits solaires et 43 617 via des mini-réseaux [V][1].</w:t>
      </w:r>
    </w:p>
    <w:p>
      <w:pPr>
        <w:numPr>
          <w:ilvl w:val="0"/>
          <w:numId w:val="1173"/>
        </w:numPr>
        <w:pStyle w:val="Compact"/>
      </w:pPr>
      <w:r>
        <w:t xml:space="preserve">Part des renouvelables : au moins 45 % en 2030, contre 9 % (moyenne sur 3 ans) [V][1]. Le Plan Comores Émergent (PCE, 2019) visait 33 MW renouvelables installés en 2030 [V][1].</w:t>
      </w:r>
    </w:p>
    <w:p>
      <w:pPr>
        <w:numPr>
          <w:ilvl w:val="0"/>
          <w:numId w:val="1173"/>
        </w:numPr>
        <w:pStyle w:val="Compact"/>
      </w:pPr>
      <w:r>
        <w:t xml:space="preserve">Cuisson propre :</w:t>
      </w:r>
      <w:r>
        <w:t xml:space="preserve"> </w:t>
      </w:r>
      <w:r>
        <w:rPr>
          <w:bCs/>
          <w:b/>
        </w:rPr>
        <w:t xml:space="preserve">30 % en 2030</w:t>
      </w:r>
      <w:r>
        <w:t xml:space="preserve">, « réajusté » [V][1]. Le préambule évoque aussi « 45 % en 2030 » [V][1] (cf. §7).</w:t>
      </w:r>
    </w:p>
    <w:p>
      <w:pPr>
        <w:numPr>
          <w:ilvl w:val="0"/>
          <w:numId w:val="1173"/>
        </w:numPr>
        <w:pStyle w:val="Compact"/>
      </w:pPr>
      <w:r>
        <w:t xml:space="preserve">Autres cibles chiffrées :</w:t>
      </w:r>
    </w:p>
    <w:p>
      <w:pPr>
        <w:numPr>
          <w:ilvl w:val="1"/>
          <w:numId w:val="1175"/>
        </w:numPr>
        <w:pStyle w:val="Compact"/>
      </w:pPr>
      <w:r>
        <w:t xml:space="preserve">recouvrement de la SONELEC supérieur à 90 % en 2030 (contre 80 % en 2024) [V][1] ;</w:t>
      </w:r>
    </w:p>
    <w:p>
      <w:pPr>
        <w:numPr>
          <w:ilvl w:val="1"/>
          <w:numId w:val="1175"/>
        </w:numPr>
        <w:pStyle w:val="Compact"/>
      </w:pPr>
      <w:r>
        <w:t xml:space="preserve">pertes : « moins de 14 % » (§1.1)</w:t>
      </w:r>
      <w:r>
        <w:t xml:space="preserve"> </w:t>
      </w:r>
      <w:r>
        <w:rPr>
          <w:bCs/>
          <w:b/>
        </w:rPr>
        <w:t xml:space="preserve">ou</w:t>
      </w:r>
      <w:r>
        <w:t xml:space="preserve"> </w:t>
      </w:r>
      <w:r>
        <w:t xml:space="preserve">« 20 % d’ici 2030 » (contre 37 %, plan d’action) [V][1] ;</w:t>
      </w:r>
    </w:p>
    <w:p>
      <w:pPr>
        <w:numPr>
          <w:ilvl w:val="1"/>
          <w:numId w:val="1175"/>
        </w:numPr>
        <w:pStyle w:val="Compact"/>
      </w:pPr>
      <w:r>
        <w:t xml:space="preserve">genre : 35 % ou 32,5 % de participation féminine [V][1] ;</w:t>
      </w:r>
    </w:p>
    <w:p>
      <w:pPr>
        <w:numPr>
          <w:ilvl w:val="1"/>
          <w:numId w:val="1175"/>
        </w:numPr>
        <w:pStyle w:val="Compact"/>
      </w:pPr>
      <w:r>
        <w:t xml:space="preserve">emplois : 1 000 (préambule), 750 + 250 (objectifs) ou 250 (§1.1) [V][1] ;</w:t>
      </w:r>
    </w:p>
    <w:p>
      <w:pPr>
        <w:numPr>
          <w:ilvl w:val="1"/>
          <w:numId w:val="1175"/>
        </w:numPr>
        <w:pStyle w:val="Compact"/>
      </w:pPr>
      <w:r>
        <w:t xml:space="preserve">capitaux privés : 273 M USD (sur 390 M USD), contre une base de 21 M USD (2019-2021) [V][1].</w:t>
      </w:r>
    </w:p>
    <w:bookmarkEnd w:id="189"/>
    <w:bookmarkStart w:id="196" w:name="réformes-promises-cœur-de-lanalyse-6"/>
    <w:p>
      <w:pPr>
        <w:pStyle w:val="Heading3"/>
      </w:pPr>
      <w:r>
        <w:t xml:space="preserve">3. Réformes promises (cœur de l’analyse)</w:t>
      </w:r>
    </w:p>
    <w:bookmarkStart w:id="190" w:name="tarifs-et-subventions-9"/>
    <w:p>
      <w:pPr>
        <w:pStyle w:val="Heading4"/>
      </w:pPr>
      <w:r>
        <w:t xml:space="preserve">3.1 Tarifs et subventions</w:t>
      </w:r>
    </w:p>
    <w:p>
      <w:pPr>
        <w:numPr>
          <w:ilvl w:val="0"/>
          <w:numId w:val="1176"/>
        </w:numPr>
        <w:pStyle w:val="Compact"/>
      </w:pPr>
      <w:r>
        <w:t xml:space="preserve">Réforme tarifaire progressive « dès 2026 », avec une méthodologie pluriannuelle (modèle des « recettes autorisées ») [V][1].</w:t>
      </w:r>
    </w:p>
    <w:p>
      <w:pPr>
        <w:numPr>
          <w:ilvl w:val="0"/>
          <w:numId w:val="1176"/>
        </w:numPr>
        <w:pStyle w:val="Compact"/>
      </w:pPr>
      <w:r>
        <w:t xml:space="preserve">Méthodologie et structure tarifaire, avec des tarifs sociaux réservés aux consommateurs vulnérables, d’ici juin 2026. Première application d’ici déc. 2026 pour un « équilibre opérationnel à moyen terme » [V][1].</w:t>
      </w:r>
    </w:p>
    <w:p>
      <w:pPr>
        <w:numPr>
          <w:ilvl w:val="0"/>
          <w:numId w:val="1176"/>
        </w:numPr>
        <w:pStyle w:val="Compact"/>
      </w:pPr>
      <w:r>
        <w:t xml:space="preserve">Évaluation de l’accessibilité financière d’ici juin 2026. Feuille de route de sortie des subventions pour les clients solvables d’ici juin 2026 ; tarifs couvrant les coûts d’ici 2030 [V][1].</w:t>
      </w:r>
    </w:p>
    <w:p>
      <w:pPr>
        <w:numPr>
          <w:ilvl w:val="0"/>
          <w:numId w:val="1176"/>
        </w:numPr>
        <w:pStyle w:val="Compact"/>
      </w:pPr>
      <w:r>
        <w:t xml:space="preserve">Le pacte constate que « presque toutes les catégories » de la structure tarifaire actuelle sont subventionnées [V][1].</w:t>
      </w:r>
    </w:p>
    <w:p>
      <w:pPr>
        <w:numPr>
          <w:ilvl w:val="0"/>
          <w:numId w:val="1176"/>
        </w:numPr>
        <w:pStyle w:val="Compact"/>
      </w:pPr>
      <w:r>
        <w:t xml:space="preserve">Aucun tarif cible chiffré. Aucune trajectoire de la subvention au carburant (51 % selon le §3) [V : absence constatée][1].</w:t>
      </w:r>
    </w:p>
    <w:bookmarkEnd w:id="190"/>
    <w:bookmarkStart w:id="191" w:name="X2f3b6347e10bfee9f652bd456c90619edd96b20"/>
    <w:p>
      <w:pPr>
        <w:pStyle w:val="Heading4"/>
      </w:pPr>
      <w:r>
        <w:t xml:space="preserve">3.2 Opérateur (redressement, contrats de performance, pertes, recouvrement, compteurs)</w:t>
      </w:r>
    </w:p>
    <w:p>
      <w:pPr>
        <w:numPr>
          <w:ilvl w:val="0"/>
          <w:numId w:val="1177"/>
        </w:numPr>
        <w:pStyle w:val="Compact"/>
      </w:pPr>
      <w:r>
        <w:t xml:space="preserve">Deux contrats de performance avec obligation de résultat : État–Direction générale et État–Conseil d’administration, « signés en 2025 » [V][1]. Le §3 indique qu’un contrat État–DG « a été signé » et qu’un CA a été nommé en févr. 2025 [V][1].</w:t>
      </w:r>
    </w:p>
    <w:p>
      <w:pPr>
        <w:numPr>
          <w:ilvl w:val="0"/>
          <w:numId w:val="1177"/>
        </w:numPr>
        <w:pStyle w:val="Compact"/>
      </w:pPr>
      <w:r>
        <w:t xml:space="preserve">Plan de redressement. Stratégie et plan de remboursement de la dette (IPP, carburant, fournisseurs) d’ici juin 2026 [V][1].</w:t>
      </w:r>
    </w:p>
    <w:p>
      <w:pPr>
        <w:numPr>
          <w:ilvl w:val="0"/>
          <w:numId w:val="1177"/>
        </w:numPr>
        <w:pStyle w:val="Compact"/>
      </w:pPr>
      <w:r>
        <w:t xml:space="preserve">États financiers audités : le bilan d’ouverture et les exercices 2019-2023 ont été « préparés et audités » [V][1]. Engagement de publication dans les 30 jours après approbation par le CA [V][1].</w:t>
      </w:r>
    </w:p>
    <w:p>
      <w:pPr>
        <w:numPr>
          <w:ilvl w:val="0"/>
          <w:numId w:val="1177"/>
        </w:numPr>
        <w:pStyle w:val="Compact"/>
      </w:pPr>
      <w:r>
        <w:t xml:space="preserve">Compteurs : un peu plus de 103 000 compteurs prépayés acquis (environ 80 % des clients), en cours de déploiement depuis 2024 [V][1]. Compteurs intelligents, ERP, SIG, paiement mobile [V][1]. Système d’information de gestion prévu fin 2026 [V][1].</w:t>
      </w:r>
    </w:p>
    <w:p>
      <w:pPr>
        <w:numPr>
          <w:ilvl w:val="0"/>
          <w:numId w:val="1177"/>
        </w:numPr>
        <w:pStyle w:val="Compact"/>
      </w:pPr>
      <w:r>
        <w:t xml:space="preserve">Cadre pénal contre la fraude électrique (code pénal révisé en 2022) [V][1].</w:t>
      </w:r>
    </w:p>
    <w:p>
      <w:pPr>
        <w:numPr>
          <w:ilvl w:val="0"/>
          <w:numId w:val="1177"/>
        </w:numPr>
        <w:pStyle w:val="Compact"/>
      </w:pPr>
      <w:r>
        <w:t xml:space="preserve">Le pacte retient l’« option de l’opérateur unique », vu l’étroitesse du marché, avec possible sous-traitance de la commercialisation [V][1].</w:t>
      </w:r>
    </w:p>
    <w:p>
      <w:pPr>
        <w:numPr>
          <w:ilvl w:val="0"/>
          <w:numId w:val="1177"/>
        </w:numPr>
        <w:pStyle w:val="Compact"/>
      </w:pPr>
      <w:r>
        <w:t xml:space="preserve">Réformes prévues sous appui budgétaire : réforme tarifaire, audit technique, mise à jour du plan d’amélioration de la performance, étude des options de restructuration [V][1].</w:t>
      </w:r>
    </w:p>
    <w:bookmarkEnd w:id="191"/>
    <w:bookmarkStart w:id="192" w:name="régulation-et-gouvernance-7"/>
    <w:p>
      <w:pPr>
        <w:pStyle w:val="Heading4"/>
      </w:pPr>
      <w:r>
        <w:t xml:space="preserve">3.3 Régulation et gouvernance</w:t>
      </w:r>
    </w:p>
    <w:p>
      <w:pPr>
        <w:numPr>
          <w:ilvl w:val="0"/>
          <w:numId w:val="1178"/>
        </w:numPr>
        <w:pStyle w:val="Compact"/>
      </w:pPr>
      <w:r>
        <w:t xml:space="preserve">Opérationnaliser l’AREE d’ici déc. 2025, avec mandat sur le suivi tarifaire et les mini-réseaux [V][1].</w:t>
      </w:r>
    </w:p>
    <w:p>
      <w:pPr>
        <w:numPr>
          <w:ilvl w:val="0"/>
          <w:numId w:val="1178"/>
        </w:numPr>
        <w:pStyle w:val="Compact"/>
      </w:pPr>
      <w:r>
        <w:t xml:space="preserve">Décret « relatif à l’autoproduction d’énergie renouvelable et l’organisation des mini-réseaux » d’ici déc. 2025 [V][1].</w:t>
      </w:r>
    </w:p>
    <w:p>
      <w:pPr>
        <w:numPr>
          <w:ilvl w:val="0"/>
          <w:numId w:val="1178"/>
        </w:numPr>
        <w:pStyle w:val="Compact"/>
      </w:pPr>
      <w:r>
        <w:t xml:space="preserve">Unité de planification au MEEH et cellule de passation des marchés d’ici fin 2025 [V][1].</w:t>
      </w:r>
    </w:p>
    <w:p>
      <w:pPr>
        <w:numPr>
          <w:ilvl w:val="0"/>
          <w:numId w:val="1178"/>
        </w:numPr>
        <w:pStyle w:val="Compact"/>
      </w:pPr>
      <w:r>
        <w:t xml:space="preserve">Mise en œuvre du PDMC (2024-2043, actualisant le plan de 2018) via le Code de l’énergie électrique d’ici déc. 2025 [V][1].</w:t>
      </w:r>
    </w:p>
    <w:p>
      <w:pPr>
        <w:numPr>
          <w:ilvl w:val="0"/>
          <w:numId w:val="1178"/>
        </w:numPr>
        <w:pStyle w:val="Compact"/>
      </w:pPr>
      <w:r>
        <w:t xml:space="preserve">Unité de suivi des pactes (CDMU) sous l’autorité de la Présidence en 2025. Enquête MTF en oct. 2026. Rapports annuels dans les 90 jours [V][1].</w:t>
      </w:r>
    </w:p>
    <w:p>
      <w:pPr>
        <w:numPr>
          <w:ilvl w:val="0"/>
          <w:numId w:val="1178"/>
        </w:numPr>
        <w:pStyle w:val="Compact"/>
      </w:pPr>
      <w:r>
        <w:t xml:space="preserve">Mise à jour de la politique énergétique nationale d’ici fin 2025. Stratégie de cuisson propre d’ici déc. 2026 [V][1].</w:t>
      </w:r>
    </w:p>
    <w:bookmarkEnd w:id="192"/>
    <w:bookmarkStart w:id="193" w:name="X7ba9d95ccb334dbee8091e8a906f4a37c06b165"/>
    <w:p>
      <w:pPr>
        <w:pStyle w:val="Heading4"/>
      </w:pPr>
      <w:r>
        <w:t xml:space="preserve">3.4 Participation du privé (producteurs indépendants, concessions, hors réseau)</w:t>
      </w:r>
    </w:p>
    <w:p>
      <w:pPr>
        <w:numPr>
          <w:ilvl w:val="0"/>
          <w:numId w:val="1179"/>
        </w:numPr>
        <w:pStyle w:val="Compact"/>
      </w:pPr>
      <w:r>
        <w:t xml:space="preserve">Faciliter l’attribution de concessions renouvelables, sur des sites choisis par l’État ou par les promoteurs [V][1].</w:t>
      </w:r>
    </w:p>
    <w:p>
      <w:pPr>
        <w:numPr>
          <w:ilvl w:val="0"/>
          <w:numId w:val="1179"/>
        </w:numPr>
        <w:pStyle w:val="Compact"/>
      </w:pPr>
      <w:r>
        <w:t xml:space="preserve">Procédure simplifiée pour les mini-réseaux d’ici mars 2026. Contrat type de concession pour les grands mini-réseaux d’ici fin 2026 [V][1]. Principe « acheteur volontaire / vendeur volontaire » sous un seuil [V][1].</w:t>
      </w:r>
    </w:p>
    <w:p>
      <w:pPr>
        <w:numPr>
          <w:ilvl w:val="0"/>
          <w:numId w:val="1179"/>
        </w:numPr>
        <w:pStyle w:val="Compact"/>
      </w:pPr>
      <w:r>
        <w:t xml:space="preserve">FBR de 16 M USD (mini-réseaux, hors réseau, électrification) d’ici 2027, et de 11,2 M USD pour la cuisson d’ici 2030 [V][1].</w:t>
      </w:r>
    </w:p>
    <w:p>
      <w:pPr>
        <w:numPr>
          <w:ilvl w:val="0"/>
          <w:numId w:val="1179"/>
        </w:numPr>
        <w:pStyle w:val="Compact"/>
      </w:pPr>
      <w:r>
        <w:t xml:space="preserve">Régime fiscal incitatif pour les IPP. Garanties de paiement pour les obligations de la SONELEC [V][1]. Mécanismes d’atténuation des risques d’ici fin 2026 [V][1].</w:t>
      </w:r>
    </w:p>
    <w:p>
      <w:pPr>
        <w:numPr>
          <w:ilvl w:val="0"/>
          <w:numId w:val="1179"/>
        </w:numPr>
        <w:pStyle w:val="Compact"/>
      </w:pPr>
      <w:r>
        <w:t xml:space="preserve">Le pacte constate que les projets privés passent jusqu’ici par des offres non sollicitées et des négociations bilatérales ou d’État à État, ce qui pose un « problème de transparence » [V][1].</w:t>
      </w:r>
    </w:p>
    <w:bookmarkEnd w:id="193"/>
    <w:bookmarkStart w:id="194" w:name="Xeaecf6317b08a4bf1abb05e0bfb2bd180c0de61"/>
    <w:p>
      <w:pPr>
        <w:pStyle w:val="Heading4"/>
      </w:pPr>
      <w:r>
        <w:t xml:space="preserve">3.5 Intégration régionale (pools énergétiques, interconnexions)</w:t>
      </w:r>
    </w:p>
    <w:p>
      <w:pPr>
        <w:numPr>
          <w:ilvl w:val="0"/>
          <w:numId w:val="1180"/>
        </w:numPr>
        <w:pStyle w:val="Compact"/>
      </w:pPr>
      <w:r>
        <w:t xml:space="preserve">Pilier II « non applicable aux Comores » [V][1].</w:t>
      </w:r>
    </w:p>
    <w:bookmarkEnd w:id="194"/>
    <w:bookmarkStart w:id="195" w:name="autres-fiscalité-foncier-local-content-4"/>
    <w:p>
      <w:pPr>
        <w:pStyle w:val="Heading4"/>
      </w:pPr>
      <w:r>
        <w:t xml:space="preserve">3.6 Autres (fiscalité, foncier, local content)</w:t>
      </w:r>
    </w:p>
    <w:p>
      <w:pPr>
        <w:numPr>
          <w:ilvl w:val="0"/>
          <w:numId w:val="1181"/>
        </w:numPr>
        <w:pStyle w:val="Compact"/>
      </w:pPr>
      <w:r>
        <w:t xml:space="preserve">Exonérations douanières sur les équipements renouvelables (arrêté de 2012) à étendre à la cuisson propre, avec une liste publiée en ligne [V][1].</w:t>
      </w:r>
    </w:p>
    <w:p>
      <w:pPr>
        <w:numPr>
          <w:ilvl w:val="0"/>
          <w:numId w:val="1181"/>
        </w:numPr>
        <w:pStyle w:val="Compact"/>
      </w:pPr>
      <w:r>
        <w:t xml:space="preserve">Cibles genre, emplois et numérique : cf. §2 [V][1].</w:t>
      </w:r>
    </w:p>
    <w:p>
      <w:pPr>
        <w:numPr>
          <w:ilvl w:val="0"/>
          <w:numId w:val="1181"/>
        </w:numPr>
        <w:pStyle w:val="Compact"/>
      </w:pPr>
      <w:r>
        <w:t xml:space="preserve">Géothermie : phase exploratoire au Karthala (jusqu’à 45 MW de potentiel selon les études préliminaires) [V][1].</w:t>
      </w:r>
    </w:p>
    <w:p>
      <w:pPr>
        <w:numPr>
          <w:ilvl w:val="0"/>
          <w:numId w:val="1181"/>
        </w:numPr>
        <w:pStyle w:val="Compact"/>
      </w:pPr>
      <w:r>
        <w:t xml:space="preserve">Pas d’engagement sur le foncier [V : absence constatée][1].</w:t>
      </w:r>
    </w:p>
    <w:bookmarkEnd w:id="195"/>
    <w:bookmarkEnd w:id="196"/>
    <w:bookmarkStart w:id="197" w:name="financement-9"/>
    <w:p>
      <w:pPr>
        <w:pStyle w:val="Heading3"/>
      </w:pPr>
      <w:r>
        <w:t xml:space="preserve">4. Financement</w:t>
      </w:r>
    </w:p>
    <w:p>
      <w:pPr>
        <w:numPr>
          <w:ilvl w:val="0"/>
          <w:numId w:val="1182"/>
        </w:numPr>
      </w:pPr>
      <w:r>
        <w:t xml:space="preserve">Besoin total : environ 390 M USD (tableau 1 : 390,21 M USD) [V][1] :</w:t>
      </w:r>
    </w:p>
    <w:p>
      <w:pPr>
        <w:numPr>
          <w:ilvl w:val="1"/>
          <w:numId w:val="1183"/>
        </w:numPr>
        <w:pStyle w:val="Compact"/>
      </w:pPr>
      <w:r>
        <w:t xml:space="preserve">transport et distribution : 162 M USD (privé 0, bailleurs 113,4, État 48,6) ;</w:t>
      </w:r>
    </w:p>
    <w:p>
      <w:pPr>
        <w:numPr>
          <w:ilvl w:val="1"/>
          <w:numId w:val="1183"/>
        </w:numPr>
        <w:pStyle w:val="Compact"/>
      </w:pPr>
      <w:r>
        <w:t xml:space="preserve">nouvelle production : 187,8 M USD (privé 131,46, bailleurs 46,95, État 9,39) ;</w:t>
      </w:r>
    </w:p>
    <w:p>
      <w:pPr>
        <w:numPr>
          <w:ilvl w:val="1"/>
          <w:numId w:val="1183"/>
        </w:numPr>
        <w:pStyle w:val="Compact"/>
      </w:pPr>
      <w:r>
        <w:t xml:space="preserve">cuisson propre : 11,2 M USD ;</w:t>
      </w:r>
    </w:p>
    <w:p>
      <w:pPr>
        <w:numPr>
          <w:ilvl w:val="1"/>
          <w:numId w:val="1183"/>
        </w:numPr>
        <w:pStyle w:val="Compact"/>
      </w:pPr>
      <w:r>
        <w:t xml:space="preserve">mini-réseaux et kits : environ 29 M USD [V][1].</w:t>
      </w:r>
    </w:p>
    <w:p>
      <w:pPr>
        <w:numPr>
          <w:ilvl w:val="0"/>
          <w:numId w:val="1182"/>
        </w:numPr>
      </w:pPr>
      <w:r>
        <w:t xml:space="preserve">Répartition annoncée : 70 % privé, 25 % partenaires, 5 % État [V][1]. Le texte donne ensuite 273 M USD privés (70 %) et 117 M USD publics et partenaires (30 %) [V][1]. Le préambule évoque « 270 M USD à mobiliser auprès du secteur privé</w:t>
      </w:r>
      <w:r>
        <w:t xml:space="preserve"> </w:t>
      </w:r>
      <w:r>
        <w:rPr>
          <w:bCs/>
          <w:b/>
        </w:rPr>
        <w:t xml:space="preserve">et</w:t>
      </w:r>
      <w:r>
        <w:t xml:space="preserve"> </w:t>
      </w:r>
      <w:r>
        <w:t xml:space="preserve">des partenaires » [V][1]. À noter : la colonne « privé » du tableau 1 (environ 150 M USD lisibles) ne correspond pas aux 273 M USD [E, calcul sur extraction ; à vérifier sur le PDF].</w:t>
      </w:r>
    </w:p>
    <w:p>
      <w:pPr>
        <w:numPr>
          <w:ilvl w:val="0"/>
          <w:numId w:val="1182"/>
        </w:numPr>
      </w:pPr>
      <w:r>
        <w:t xml:space="preserve">Le texte justifie les 162 M USD de transport et distribution comme « 60 % » des besoins [V][1]. 162 / 390 ≈ 42 % [E, calcul].</w:t>
      </w:r>
    </w:p>
    <w:p>
      <w:pPr>
        <w:numPr>
          <w:ilvl w:val="0"/>
          <w:numId w:val="1182"/>
        </w:numPr>
      </w:pPr>
      <w:r>
        <w:t xml:space="preserve">Engagements cités (annexe I) [V][1] :</w:t>
      </w:r>
    </w:p>
    <w:tbl>
      <w:tblPr>
        <w:tblStyle w:val="Table"/>
        <w:tblW w:type="dxa" w:w="14570"/>
        <w:tblLook w:firstRow="1" w:lastRow="0" w:firstColumn="0" w:lastColumn="0" w:noHBand="0" w:noVBand="0" w:val="0020"/>
        <w:jc w:val="start"/>
        <w:tblInd w:w="720" w:type="dxa"/>
      </w:tblPr>
      <w:tblGrid>
        <w:gridCol w:w="2390"/>
        <w:gridCol w:w="3336"/>
        <w:gridCol w:w="2705"/>
        <w:gridCol w:w="2509"/>
        <w:gridCol w:w="3627"/>
      </w:tblGrid>
      <w:tr>
        <w:trPr>
          <w:tblHeader w:val="true"/>
        </w:trPr>
        <w:tc>
          <w:tcPr>
            <w:tcW w:w="2390" w:type="dxa"/>
          </w:tcPr>
          <w:tcPr/>
          <w:p>
            <w:pPr>
              <w:pStyle w:val="Compact"/>
              <w:jc w:val="left"/>
            </w:pPr>
            <w:r>
              <w:t xml:space="preserve">Partenaire</w:t>
            </w:r>
          </w:p>
        </w:tc>
        <w:tc>
          <w:tcPr>
            <w:tcW w:w="3336" w:type="dxa"/>
          </w:tcPr>
          <w:tcPr/>
          <w:p>
            <w:pPr>
              <w:pStyle w:val="Compact"/>
              <w:jc w:val="left"/>
            </w:pPr>
            <w:r>
              <w:t xml:space="preserve">Projet</w:t>
            </w:r>
          </w:p>
        </w:tc>
        <w:tc>
          <w:tcPr>
            <w:tcW w:w="2705" w:type="dxa"/>
          </w:tcPr>
          <w:tcPr/>
          <w:p>
            <w:pPr>
              <w:pStyle w:val="Compact"/>
              <w:jc w:val="left"/>
            </w:pPr>
            <w:r>
              <w:t xml:space="preserve">Montant</w:t>
            </w:r>
          </w:p>
        </w:tc>
        <w:tc>
          <w:tcPr>
            <w:tcW w:w="2509" w:type="dxa"/>
          </w:tcPr>
          <w:tcPr/>
          <w:p>
            <w:pPr>
              <w:pStyle w:val="Compact"/>
              <w:jc w:val="left"/>
            </w:pPr>
            <w:r>
              <w:t xml:space="preserve">Période</w:t>
            </w:r>
          </w:p>
        </w:tc>
        <w:tc>
          <w:tcPr>
            <w:tcW w:w="3627" w:type="dxa"/>
          </w:tcPr>
          <w:tcPr/>
          <w:p>
            <w:pPr>
              <w:pStyle w:val="Compact"/>
              <w:jc w:val="left"/>
            </w:pPr>
            <w:r>
              <w:t xml:space="preserve">Contenu</w:t>
            </w:r>
          </w:p>
        </w:tc>
      </w:tr>
      <w:tr>
        <w:tc>
          <w:tcPr>
            <w:tcW w:w="2390" w:type="dxa"/>
          </w:tcPr>
          <w:tcPr/>
          <w:p>
            <w:pPr>
              <w:pStyle w:val="Compact"/>
              <w:jc w:val="left"/>
            </w:pPr>
            <w:r>
              <w:t xml:space="preserve">BM</w:t>
            </w:r>
          </w:p>
        </w:tc>
        <w:tc>
          <w:tcPr>
            <w:tcW w:w="3336" w:type="dxa"/>
          </w:tcPr>
          <w:tcPr/>
          <w:p>
            <w:pPr>
              <w:pStyle w:val="Compact"/>
              <w:jc w:val="left"/>
            </w:pPr>
            <w:r>
              <w:t xml:space="preserve">CSEAP</w:t>
            </w:r>
          </w:p>
        </w:tc>
        <w:tc>
          <w:tcPr>
            <w:tcW w:w="2705" w:type="dxa"/>
          </w:tcPr>
          <w:tcPr/>
          <w:p>
            <w:pPr>
              <w:pStyle w:val="Compact"/>
              <w:jc w:val="left"/>
            </w:pPr>
            <w:r>
              <w:t xml:space="preserve">48 M USD</w:t>
            </w:r>
          </w:p>
        </w:tc>
        <w:tc>
          <w:tcPr>
            <w:tcW w:w="2509" w:type="dxa"/>
          </w:tcPr>
          <w:tcPr/>
          <w:p>
            <w:pPr>
              <w:pStyle w:val="Compact"/>
              <w:jc w:val="left"/>
            </w:pPr>
            <w:r>
              <w:t xml:space="preserve">2022-2027</w:t>
            </w:r>
          </w:p>
        </w:tc>
        <w:tc>
          <w:tcPr>
            <w:tcW w:w="3627" w:type="dxa"/>
          </w:tcPr>
          <w:tcPr/>
          <w:p>
            <w:pPr>
              <w:pStyle w:val="Compact"/>
              <w:jc w:val="left"/>
            </w:pPr>
            <w:r>
              <w:t xml:space="preserve">9 MW PV et 19 MWh de stockage</w:t>
            </w:r>
          </w:p>
        </w:tc>
      </w:tr>
      <w:tr>
        <w:tc>
          <w:tcPr>
            <w:tcW w:w="2390" w:type="dxa"/>
          </w:tcPr>
          <w:tcPr/>
          <w:p>
            <w:pPr>
              <w:pStyle w:val="Compact"/>
              <w:jc w:val="left"/>
            </w:pPr>
            <w:r>
              <w:t xml:space="preserve">BAD</w:t>
            </w:r>
          </w:p>
        </w:tc>
        <w:tc>
          <w:tcPr>
            <w:tcW w:w="3336" w:type="dxa"/>
          </w:tcPr>
          <w:tcPr/>
          <w:p>
            <w:pPr>
              <w:pStyle w:val="Compact"/>
              <w:jc w:val="left"/>
            </w:pPr>
            <w:r>
              <w:t xml:space="preserve">PASEC II</w:t>
            </w:r>
          </w:p>
        </w:tc>
        <w:tc>
          <w:tcPr>
            <w:tcW w:w="2705" w:type="dxa"/>
          </w:tcPr>
          <w:tcPr/>
          <w:p>
            <w:pPr>
              <w:pStyle w:val="Compact"/>
              <w:jc w:val="left"/>
            </w:pPr>
            <w:r>
              <w:t xml:space="preserve">5 786 000 EUR</w:t>
            </w:r>
          </w:p>
        </w:tc>
        <w:tc>
          <w:tcPr>
            <w:tcW w:w="2509" w:type="dxa"/>
          </w:tcPr>
          <w:tcPr/>
          <w:p>
            <w:pPr>
              <w:pStyle w:val="Compact"/>
              <w:jc w:val="left"/>
            </w:pPr>
            <w:r>
              <w:t xml:space="preserve">clôture déc. 2026</w:t>
            </w:r>
          </w:p>
        </w:tc>
        <w:tc>
          <w:tcPr>
            <w:tcW w:w="3627" w:type="dxa"/>
          </w:tcPr>
          <w:tcPr/>
          <w:p>
            <w:pPr>
              <w:pStyle w:val="Compact"/>
              <w:jc w:val="left"/>
            </w:pPr>
            <w:r>
              <w:t xml:space="preserve">14 MW de groupes électrogènes, 65 km de réseau</w:t>
            </w:r>
          </w:p>
        </w:tc>
      </w:tr>
      <w:tr>
        <w:tc>
          <w:tcPr>
            <w:tcW w:w="2390" w:type="dxa"/>
          </w:tcPr>
          <w:tcPr/>
          <w:p>
            <w:pPr>
              <w:pStyle w:val="Compact"/>
              <w:jc w:val="left"/>
            </w:pPr>
            <w:r>
              <w:t xml:space="preserve">BAD / PNUD / UA</w:t>
            </w:r>
          </w:p>
        </w:tc>
        <w:tc>
          <w:tcPr>
            <w:tcW w:w="3336" w:type="dxa"/>
          </w:tcPr>
          <w:tcPr/>
          <w:p>
            <w:pPr>
              <w:pStyle w:val="Compact"/>
              <w:jc w:val="left"/>
            </w:pPr>
            <w:r>
              <w:t xml:space="preserve">Géothermie exploratoire</w:t>
            </w:r>
          </w:p>
        </w:tc>
        <w:tc>
          <w:tcPr>
            <w:tcW w:w="2705" w:type="dxa"/>
          </w:tcPr>
          <w:tcPr/>
          <w:p>
            <w:pPr>
              <w:pStyle w:val="Compact"/>
              <w:jc w:val="left"/>
            </w:pPr>
            <w:r>
              <w:t xml:space="preserve">45 M USD</w:t>
            </w:r>
          </w:p>
        </w:tc>
        <w:tc>
          <w:tcPr>
            <w:tcW w:w="2509" w:type="dxa"/>
          </w:tcPr>
          <w:tcPr/>
          <w:p>
            <w:pPr>
              <w:pStyle w:val="Compact"/>
              <w:jc w:val="left"/>
            </w:pPr>
            <w:r>
              <w:t xml:space="preserve">2025-2028</w:t>
            </w:r>
          </w:p>
        </w:tc>
        <w:tc>
          <w:tcPr>
            <w:tcW w:w="3627" w:type="dxa"/>
          </w:tcPr>
          <w:tcPr/>
          <w:p>
            <w:pPr>
              <w:pStyle w:val="Compact"/>
              <w:jc w:val="left"/>
            </w:pPr>
            <w:r>
              <w:t xml:space="preserve">—</w:t>
            </w:r>
          </w:p>
        </w:tc>
      </w:tr>
      <w:tr>
        <w:tc>
          <w:tcPr>
            <w:tcW w:w="2390" w:type="dxa"/>
          </w:tcPr>
          <w:tcPr/>
          <w:p>
            <w:pPr>
              <w:pStyle w:val="Compact"/>
              <w:jc w:val="left"/>
            </w:pPr>
            <w:r>
              <w:t xml:space="preserve">PNUD / FEM</w:t>
            </w:r>
          </w:p>
        </w:tc>
        <w:tc>
          <w:tcPr>
            <w:tcW w:w="3336" w:type="dxa"/>
          </w:tcPr>
          <w:tcPr/>
          <w:p>
            <w:pPr>
              <w:pStyle w:val="Compact"/>
              <w:jc w:val="left"/>
            </w:pPr>
            <w:r>
              <w:t xml:space="preserve">Programme mini-réseaux</w:t>
            </w:r>
          </w:p>
        </w:tc>
        <w:tc>
          <w:tcPr>
            <w:tcW w:w="2705" w:type="dxa"/>
          </w:tcPr>
          <w:tcPr/>
          <w:p>
            <w:pPr>
              <w:pStyle w:val="Compact"/>
              <w:jc w:val="left"/>
            </w:pPr>
            <w:r>
              <w:t xml:space="preserve">1,6 M USD</w:t>
            </w:r>
          </w:p>
        </w:tc>
        <w:tc>
          <w:tcPr>
            <w:tcW w:w="2509" w:type="dxa"/>
          </w:tcPr>
          <w:tcPr/>
          <w:p>
            <w:pPr>
              <w:pStyle w:val="Compact"/>
              <w:jc w:val="left"/>
            </w:pPr>
            <w:r>
              <w:t xml:space="preserve">—</w:t>
            </w:r>
          </w:p>
        </w:tc>
        <w:tc>
          <w:tcPr>
            <w:tcW w:w="3627" w:type="dxa"/>
          </w:tcPr>
          <w:tcPr/>
          <w:p>
            <w:pPr>
              <w:pStyle w:val="Compact"/>
              <w:jc w:val="left"/>
            </w:pPr>
            <w:r>
              <w:t xml:space="preserve">—</w:t>
            </w:r>
          </w:p>
        </w:tc>
      </w:tr>
    </w:tbl>
    <w:p>
      <w:pPr>
        <w:numPr>
          <w:ilvl w:val="0"/>
          <w:numId w:val="1000"/>
        </w:numPr>
      </w:pPr>
      <w:r>
        <w:t xml:space="preserve">Le pacte chiffre le portefeuille des partenaires à 101,4 M USD, laissant un déficit de 288,6 M USD [V][1].</w:t>
      </w:r>
    </w:p>
    <w:bookmarkEnd w:id="197"/>
    <w:bookmarkStart w:id="198" w:name="calendrier-et-suivi-9"/>
    <w:p>
      <w:pPr>
        <w:pStyle w:val="Heading3"/>
      </w:pPr>
      <w:r>
        <w:t xml:space="preserve">5. Calendrier et suivi</w:t>
      </w:r>
    </w:p>
    <w:p>
      <w:pPr>
        <w:numPr>
          <w:ilvl w:val="0"/>
          <w:numId w:val="1184"/>
        </w:numPr>
        <w:pStyle w:val="Compact"/>
      </w:pPr>
      <w:r>
        <w:t xml:space="preserve">Jalons datés [V][1] :</w:t>
      </w:r>
    </w:p>
    <w:p>
      <w:pPr>
        <w:numPr>
          <w:ilvl w:val="1"/>
          <w:numId w:val="1185"/>
        </w:numPr>
        <w:pStyle w:val="Compact"/>
      </w:pPr>
      <w:r>
        <w:t xml:space="preserve">2025 : contrats de performance, CDMU, cellule marchés, unité de planification ;</w:t>
      </w:r>
    </w:p>
    <w:p>
      <w:pPr>
        <w:numPr>
          <w:ilvl w:val="1"/>
          <w:numId w:val="1185"/>
        </w:numPr>
        <w:pStyle w:val="Compact"/>
      </w:pPr>
      <w:r>
        <w:t xml:space="preserve">déc. 2025 : AREE opérationnelle, décret mini-réseaux, cadre PDMC, identification des opportunités IPP, procédures de suivi et d’évaluation, politique énergétique, politiques mini-réseaux, hors réseau et cuisson ;</w:t>
      </w:r>
    </w:p>
    <w:p>
      <w:pPr>
        <w:numPr>
          <w:ilvl w:val="1"/>
          <w:numId w:val="1185"/>
        </w:numPr>
        <w:pStyle w:val="Compact"/>
      </w:pPr>
      <w:r>
        <w:t xml:space="preserve">mars 2026 : politique de branchement, procédure mini-réseaux, lettres d’autorisation pour la cuisson ;</w:t>
      </w:r>
    </w:p>
    <w:p>
      <w:pPr>
        <w:numPr>
          <w:ilvl w:val="1"/>
          <w:numId w:val="1185"/>
        </w:numPr>
        <w:pStyle w:val="Compact"/>
      </w:pPr>
      <w:r>
        <w:t xml:space="preserve">juin 2026 : plateformes en ligne, méthodologie tarifaire, évaluation d’accessibilité, feuille de route de sortie des subventions, stratégie dette, rapport d’opportunités ;</w:t>
      </w:r>
    </w:p>
    <w:p>
      <w:pPr>
        <w:numPr>
          <w:ilvl w:val="1"/>
          <w:numId w:val="1185"/>
        </w:numPr>
        <w:pStyle w:val="Compact"/>
      </w:pPr>
      <w:r>
        <w:t xml:space="preserve">oct. 2026 : enquête MTF ;</w:t>
      </w:r>
    </w:p>
    <w:p>
      <w:pPr>
        <w:numPr>
          <w:ilvl w:val="1"/>
          <w:numId w:val="1185"/>
        </w:numPr>
        <w:pStyle w:val="Compact"/>
      </w:pPr>
      <w:r>
        <w:t xml:space="preserve">déc. 2026 : application tarifaire, stratégie de cuisson, contrat de concession type ;</w:t>
      </w:r>
    </w:p>
    <w:p>
      <w:pPr>
        <w:numPr>
          <w:ilvl w:val="1"/>
          <w:numId w:val="1185"/>
        </w:numPr>
        <w:pStyle w:val="Compact"/>
      </w:pPr>
      <w:r>
        <w:t xml:space="preserve">2027 : FBR de 16 M USD ;</w:t>
      </w:r>
    </w:p>
    <w:p>
      <w:pPr>
        <w:numPr>
          <w:ilvl w:val="1"/>
          <w:numId w:val="1185"/>
        </w:numPr>
        <w:pStyle w:val="Compact"/>
      </w:pPr>
      <w:r>
        <w:t xml:space="preserve">2030 : cibles finales.</w:t>
      </w:r>
    </w:p>
    <w:p>
      <w:pPr>
        <w:numPr>
          <w:ilvl w:val="0"/>
          <w:numId w:val="1184"/>
        </w:numPr>
        <w:pStyle w:val="Compact"/>
      </w:pPr>
      <w:r>
        <w:t xml:space="preserve">Mécanisme : CDMU sous la Présidence, avec MEEH, Finances, Environnement et société civile. Système d’information énergétique à la DGEME, en lien avec l’INS et le CGP. Rapports publics annuels désagrégés par sexe [V][1].</w:t>
      </w:r>
    </w:p>
    <w:p>
      <w:pPr>
        <w:numPr>
          <w:ilvl w:val="0"/>
          <w:numId w:val="1184"/>
        </w:numPr>
        <w:pStyle w:val="Compact"/>
      </w:pPr>
      <w:r>
        <w:t xml:space="preserve">État d’avancement :</w:t>
      </w:r>
      <w:r>
        <w:t xml:space="preserve"> </w:t>
      </w:r>
      <w:r>
        <w:rPr>
          <w:bCs/>
          <w:b/>
        </w:rPr>
        <w:t xml:space="preserve">aucun rapport d’avancement publié</w:t>
      </w:r>
      <w:r>
        <w:t xml:space="preserve"> </w:t>
      </w:r>
      <w:r>
        <w:t xml:space="preserve">(au 18/10/2026) [V][3]. Statut des jalons de 2025 : [?].</w:t>
      </w:r>
    </w:p>
    <w:bookmarkEnd w:id="198"/>
    <w:bookmarkStart w:id="199" w:name="lecture-critique-6"/>
    <w:p>
      <w:pPr>
        <w:pStyle w:val="Heading3"/>
      </w:pPr>
      <w:r>
        <w:t xml:space="preserve">6. Lecture critique</w:t>
      </w:r>
    </w:p>
    <w:p>
      <w:pPr>
        <w:numPr>
          <w:ilvl w:val="0"/>
          <w:numId w:val="1186"/>
        </w:numPr>
        <w:pStyle w:val="Compact"/>
      </w:pPr>
      <w:r>
        <w:rPr>
          <w:bCs/>
          <w:b/>
        </w:rPr>
        <w:t xml:space="preserve">Réalisme des cibles.</w:t>
      </w:r>
    </w:p>
    <w:p>
      <w:pPr>
        <w:numPr>
          <w:ilvl w:val="1"/>
          <w:numId w:val="1187"/>
        </w:numPr>
        <w:pStyle w:val="Compact"/>
      </w:pPr>
      <w:r>
        <w:t xml:space="preserve">Électricité : passer de +1,35 % à +4,4 % par an triple le rythme [V][1]. Mais la volumétrie est modeste (12 462 raccordements par an) et la SONELEC est censée en réaliser 78 % [V][1]. Le vrai goulot est la</w:t>
      </w:r>
      <w:r>
        <w:t xml:space="preserve"> </w:t>
      </w:r>
      <w:r>
        <w:rPr>
          <w:bCs/>
          <w:b/>
        </w:rPr>
        <w:t xml:space="preserve">disponibilité</w:t>
      </w:r>
      <w:r>
        <w:t xml:space="preserve"> </w:t>
      </w:r>
      <w:r>
        <w:t xml:space="preserve">de la production (22 MW sur 53) et la qualité du service, plus que le raccordement [E].</w:t>
      </w:r>
    </w:p>
    <w:p>
      <w:pPr>
        <w:numPr>
          <w:ilvl w:val="1"/>
          <w:numId w:val="1187"/>
        </w:numPr>
        <w:pStyle w:val="Compact"/>
      </w:pPr>
      <w:r>
        <w:t xml:space="preserve">Anjouan (49 %) concentre l’effort [V][1].</w:t>
      </w:r>
    </w:p>
    <w:p>
      <w:pPr>
        <w:numPr>
          <w:ilvl w:val="1"/>
          <w:numId w:val="1187"/>
        </w:numPr>
        <w:pStyle w:val="Compact"/>
      </w:pPr>
      <w:r>
        <w:t xml:space="preserve">Renouvelables : passer de 6–9 % à 45 % en 5 ans est très ambitieux, malgré les centrales solaires de 2024-2025 [E].</w:t>
      </w:r>
    </w:p>
    <w:p>
      <w:pPr>
        <w:numPr>
          <w:ilvl w:val="1"/>
          <w:numId w:val="1187"/>
        </w:numPr>
        <w:pStyle w:val="Compact"/>
      </w:pPr>
      <w:r>
        <w:t xml:space="preserve">Cuisson : la cible a déjà été abaissée en cours de rédaction [V][1].</w:t>
      </w:r>
    </w:p>
    <w:p>
      <w:pPr>
        <w:numPr>
          <w:ilvl w:val="0"/>
          <w:numId w:val="1186"/>
        </w:numPr>
        <w:pStyle w:val="Compact"/>
      </w:pPr>
      <w:r>
        <w:rPr>
          <w:bCs/>
          <w:b/>
        </w:rPr>
        <w:t xml:space="preserve">Engagements tarifaires.</w:t>
      </w:r>
      <w:r>
        <w:t xml:space="preserve"> </w:t>
      </w:r>
      <w:r>
        <w:t xml:space="preserve">Leur architecture suit le modèle type Mission 300 (méthodologie pluriannuelle, tarifs sociaux, sortie des subventions), mais elle n’est</w:t>
      </w:r>
      <w:r>
        <w:t xml:space="preserve"> </w:t>
      </w:r>
      <w:r>
        <w:rPr>
          <w:bCs/>
          <w:b/>
        </w:rPr>
        <w:t xml:space="preserve">pas chiffrée</w:t>
      </w:r>
      <w:r>
        <w:t xml:space="preserve"> </w:t>
      </w:r>
      <w:r>
        <w:t xml:space="preserve">[V][1]. Avec un tarif déjà élevé (0,43 USD/kWh) et une couverture du coût de 56,6 %, la marge est politiquement étroite : l’équilibre passera surtout par la baisse du coût (solaire contre diesel) [E].</w:t>
      </w:r>
    </w:p>
    <w:p>
      <w:pPr>
        <w:numPr>
          <w:ilvl w:val="0"/>
          <w:numId w:val="1186"/>
        </w:numPr>
        <w:pStyle w:val="Compact"/>
      </w:pPr>
      <w:r>
        <w:rPr>
          <w:bCs/>
          <w:b/>
        </w:rPr>
        <w:t xml:space="preserve">Risques principaux.</w:t>
      </w:r>
    </w:p>
    <w:p>
      <w:pPr>
        <w:numPr>
          <w:ilvl w:val="1"/>
          <w:numId w:val="1188"/>
        </w:numPr>
        <w:pStyle w:val="Compact"/>
      </w:pPr>
      <w:r>
        <w:t xml:space="preserve">Dépendance au diesel importé et subventionné [V][1].</w:t>
      </w:r>
    </w:p>
    <w:p>
      <w:pPr>
        <w:numPr>
          <w:ilvl w:val="1"/>
          <w:numId w:val="1188"/>
        </w:numPr>
        <w:pStyle w:val="Compact"/>
      </w:pPr>
      <w:r>
        <w:t xml:space="preserve">Pertes à 37 % [V][1].</w:t>
      </w:r>
    </w:p>
    <w:p>
      <w:pPr>
        <w:numPr>
          <w:ilvl w:val="1"/>
          <w:numId w:val="1188"/>
        </w:numPr>
        <w:pStyle w:val="Compact"/>
      </w:pPr>
      <w:r>
        <w:t xml:space="preserve">Régulateur non opérationnel [V][1].</w:t>
      </w:r>
    </w:p>
    <w:p>
      <w:pPr>
        <w:numPr>
          <w:ilvl w:val="1"/>
          <w:numId w:val="1188"/>
        </w:numPr>
        <w:pStyle w:val="Compact"/>
      </w:pPr>
      <w:r>
        <w:t xml:space="preserve">Petite taille du marché, qui limite l’intérêt des IPP [V][1].</w:t>
      </w:r>
    </w:p>
    <w:p>
      <w:pPr>
        <w:numPr>
          <w:ilvl w:val="1"/>
          <w:numId w:val="1188"/>
        </w:numPr>
        <w:pStyle w:val="Compact"/>
      </w:pPr>
      <w:r>
        <w:t xml:space="preserve">Arriérés croisés entre entreprises publiques (SCH, ORTC) [V][1].</w:t>
      </w:r>
    </w:p>
    <w:p>
      <w:pPr>
        <w:numPr>
          <w:ilvl w:val="1"/>
          <w:numId w:val="1188"/>
        </w:numPr>
        <w:pStyle w:val="Compact"/>
      </w:pPr>
      <w:r>
        <w:t xml:space="preserve">Vulnérabilité climatique des réseaux [V][1].</w:t>
      </w:r>
    </w:p>
    <w:p>
      <w:pPr>
        <w:numPr>
          <w:ilvl w:val="1"/>
          <w:numId w:val="1188"/>
        </w:numPr>
        <w:pStyle w:val="Compact"/>
      </w:pPr>
      <w:r>
        <w:t xml:space="preserve">Rédaction du pacte peu consolidée, avec de nombreux chiffres contradictoires : risque sur la crédibilité du suivi [E].</w:t>
      </w:r>
    </w:p>
    <w:p>
      <w:pPr>
        <w:numPr>
          <w:ilvl w:val="0"/>
          <w:numId w:val="1186"/>
        </w:numPr>
        <w:pStyle w:val="Compact"/>
      </w:pPr>
      <w:r>
        <w:rPr>
          <w:bCs/>
          <w:b/>
        </w:rPr>
        <w:t xml:space="preserve">Points à approfondir.</w:t>
      </w:r>
    </w:p>
    <w:p>
      <w:pPr>
        <w:numPr>
          <w:ilvl w:val="1"/>
          <w:numId w:val="1189"/>
        </w:numPr>
        <w:pStyle w:val="Compact"/>
      </w:pPr>
      <w:r>
        <w:t xml:space="preserve">Phase 2 (opérateur) : états financiers 2019-2023 de la SONELEC, publiés ou non ; contrats de performance ; taux de déploiement des 103 000 compteurs prépayés ; pertes par île.</w:t>
      </w:r>
    </w:p>
    <w:p>
      <w:pPr>
        <w:numPr>
          <w:ilvl w:val="1"/>
          <w:numId w:val="1189"/>
        </w:numPr>
        <w:pStyle w:val="Compact"/>
      </w:pPr>
      <w:r>
        <w:t xml:space="preserve">Phase 3 (tarifs) : grille tarifaire actuelle en KMF/kWh [?] ; montant et mécanisme de la subvention carburant (51 %, 0,35 USD/kWh) ; méthodologie AREE.</w:t>
      </w:r>
    </w:p>
    <w:bookmarkEnd w:id="199"/>
    <w:bookmarkStart w:id="200" w:name="inconnus-données-non-trouvées-9"/>
    <w:p>
      <w:pPr>
        <w:pStyle w:val="Heading3"/>
      </w:pPr>
      <w:r>
        <w:t xml:space="preserve">7. Inconnus / données non trouvées</w:t>
      </w:r>
    </w:p>
    <w:p>
      <w:pPr>
        <w:numPr>
          <w:ilvl w:val="0"/>
          <w:numId w:val="1190"/>
        </w:numPr>
        <w:pStyle w:val="Compact"/>
      </w:pPr>
      <w:r>
        <w:t xml:space="preserve">Taux d’accès national et année de référence des taux par île : [?] non trouvé.</w:t>
      </w:r>
    </w:p>
    <w:p>
      <w:pPr>
        <w:numPr>
          <w:ilvl w:val="0"/>
          <w:numId w:val="1190"/>
        </w:numPr>
        <w:pStyle w:val="Compact"/>
      </w:pPr>
      <w:r>
        <w:t xml:space="preserve">Tarif par catégorie de clients : [?].</w:t>
      </w:r>
    </w:p>
    <w:p>
      <w:pPr>
        <w:numPr>
          <w:ilvl w:val="0"/>
          <w:numId w:val="1190"/>
        </w:numPr>
        <w:pStyle w:val="Compact"/>
      </w:pPr>
      <w:r>
        <w:t xml:space="preserve">Rapport d’avancement Mission 300 : non publié [V][3].</w:t>
      </w:r>
    </w:p>
    <w:p>
      <w:pPr>
        <w:numPr>
          <w:ilvl w:val="0"/>
          <w:numId w:val="1190"/>
        </w:numPr>
        <w:pStyle w:val="Compact"/>
      </w:pPr>
      <w:r>
        <w:rPr>
          <w:bCs/>
          <w:b/>
        </w:rPr>
        <w:t xml:space="preserve">Incohérences internes du document à signaler.</w:t>
      </w:r>
    </w:p>
    <w:p>
      <w:pPr>
        <w:numPr>
          <w:ilvl w:val="1"/>
          <w:numId w:val="1191"/>
        </w:numPr>
        <w:pStyle w:val="Compact"/>
      </w:pPr>
      <w:r>
        <w:t xml:space="preserve">Cuisson propre : cible de 30 % (déclaration, plan) contre 45 % (préambule) ; dans le préambule, « 6 %/an pour atteindre 45 % » puis « 30 % » [V][1].</w:t>
      </w:r>
    </w:p>
    <w:p>
      <w:pPr>
        <w:numPr>
          <w:ilvl w:val="1"/>
          <w:numId w:val="1191"/>
        </w:numPr>
        <w:pStyle w:val="Compact"/>
      </w:pPr>
      <w:r>
        <w:t xml:space="preserve">Pertes : « &lt; 14 % » (§1.1) contre « 20 % d’ici 2030 » (plan d’action) [V][1].</w:t>
      </w:r>
    </w:p>
    <w:p>
      <w:pPr>
        <w:numPr>
          <w:ilvl w:val="1"/>
          <w:numId w:val="1191"/>
        </w:numPr>
        <w:pStyle w:val="Compact"/>
      </w:pPr>
      <w:r>
        <w:t xml:space="preserve">Part renouvelable actuelle : 9 % (préambule, objectifs) contre 6 % (mix 2024 en GWh) [V][1].</w:t>
      </w:r>
    </w:p>
    <w:p>
      <w:pPr>
        <w:numPr>
          <w:ilvl w:val="1"/>
          <w:numId w:val="1191"/>
        </w:numPr>
        <w:pStyle w:val="Compact"/>
      </w:pPr>
      <w:r>
        <w:t xml:space="preserve">Demande de pointe : 26,2 MW contre 29,5 MW [V][1].</w:t>
      </w:r>
    </w:p>
    <w:p>
      <w:pPr>
        <w:numPr>
          <w:ilvl w:val="1"/>
          <w:numId w:val="1191"/>
        </w:numPr>
        <w:pStyle w:val="Compact"/>
      </w:pPr>
      <w:r>
        <w:t xml:space="preserve">Genre : 35 % contre 32,5 % [V][1].</w:t>
      </w:r>
    </w:p>
    <w:p>
      <w:pPr>
        <w:numPr>
          <w:ilvl w:val="1"/>
          <w:numId w:val="1191"/>
        </w:numPr>
        <w:pStyle w:val="Compact"/>
      </w:pPr>
      <w:r>
        <w:t xml:space="preserve">Emplois : 1 000 contre 750 + 250 contre 250 [V][1].</w:t>
      </w:r>
    </w:p>
    <w:p>
      <w:pPr>
        <w:numPr>
          <w:ilvl w:val="1"/>
          <w:numId w:val="1191"/>
        </w:numPr>
        <w:pStyle w:val="Compact"/>
      </w:pPr>
      <w:r>
        <w:t xml:space="preserve">Financement privé : 270 M USD contre 273 M USD [V][1].</w:t>
      </w:r>
    </w:p>
    <w:p>
      <w:pPr>
        <w:numPr>
          <w:ilvl w:val="1"/>
          <w:numId w:val="1191"/>
        </w:numPr>
        <w:pStyle w:val="Compact"/>
      </w:pPr>
      <w:r>
        <w:t xml:space="preserve">Part transport et distribution : « 60 % » contre environ 42 % calculés [E].</w:t>
      </w:r>
    </w:p>
    <w:p>
      <w:pPr>
        <w:numPr>
          <w:ilvl w:val="1"/>
          <w:numId w:val="1191"/>
        </w:numPr>
        <w:pStyle w:val="Compact"/>
      </w:pPr>
      <w:r>
        <w:t xml:space="preserve">Le §2 parle d’investissements privés de 21 M USD « dans les producteurs indépendants » pour la cuisson, et la ventilation en % (5/20/40) ne totalise pas 100 % [V][1].</w:t>
      </w:r>
    </w:p>
    <w:p>
      <w:pPr>
        <w:numPr>
          <w:ilvl w:val="0"/>
          <w:numId w:val="1190"/>
        </w:numPr>
        <w:pStyle w:val="Compact"/>
      </w:pPr>
      <w:r>
        <w:t xml:space="preserve">Montant total des dettes de la SONELEC : [?]. Le pacte cite seulement des passifs éventuels de 100–200 M USD, chiffre identique à celui du pacte de Madagascar, peut-être repris d’un modèle [E][1].</w:t>
      </w:r>
    </w:p>
    <w:bookmarkEnd w:id="200"/>
    <w:bookmarkStart w:id="201" w:name="sources-10"/>
    <w:p>
      <w:pPr>
        <w:pStyle w:val="Heading3"/>
      </w:pPr>
      <w:r>
        <w:t xml:space="preserve">Sources</w:t>
      </w:r>
    </w:p>
    <w:p>
      <w:pPr>
        <w:pStyle w:val="FirstParagraph"/>
      </w:pPr>
      <w:r>
        <w:t xml:space="preserve">[1] Gouvernement de l’Union des Comores, « Pacte National sur l’Énergie de l’Union des Comores », Mission 300, sept. 2025, 32 p. https://www.worldbank.org/content/dam/theworldbankgroupasset/document/2026/m300-energy-compacts/Comoros-National-Energy-Compact-Mission-300.pdf (téléchargé le 18/10/2026)</w:t>
      </w:r>
      <w:r>
        <w:t xml:space="preserve"> </w:t>
      </w:r>
      <w:r>
        <w:t xml:space="preserve">[2] Banque mondiale, communiqué du 24/09/2025, « 17 countries commit to concrete plans to scale up electricity access as Mission 300 expands », https://www.worldbank.org/en/news/press-release/2025/09/24/17-countries-commit-to-concrete-plans-to-scale-up-electricity-access-as-mission-300-expands</w:t>
      </w:r>
      <w:r>
        <w:t xml:space="preserve"> </w:t>
      </w:r>
      <w:r>
        <w:t xml:space="preserve">[3] Banque mondiale, page « National Energy Compacts », https://www.worldbank.org/ext/en/energizingafrica/national-energy-compacts (consultée le 18/10/2026)</w:t>
      </w:r>
    </w:p>
    <w:p>
      <w:r>
        <w:br w:type="page"/>
      </w:r>
    </w:p>
    <w:bookmarkEnd w:id="201"/>
    <w:bookmarkEnd w:id="202"/>
    <w:bookmarkStart w:id="213" w:name="Xacf39654383852bb023d4af803c9beed8c30edb"/>
    <w:p>
      <w:pPr>
        <w:pStyle w:val="Heading2"/>
      </w:pPr>
      <w:r>
        <w:t xml:space="preserve">Fiche pacte national de l’énergie — Djibouti</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203" w:name="métadonnées-10"/>
    <w:p>
      <w:pPr>
        <w:pStyle w:val="Heading3"/>
      </w:pPr>
      <w:r>
        <w:t xml:space="preserve">0. Métadonnées</w:t>
      </w:r>
    </w:p>
    <w:p>
      <w:pPr>
        <w:numPr>
          <w:ilvl w:val="0"/>
          <w:numId w:val="1192"/>
        </w:numPr>
        <w:pStyle w:val="Compact"/>
      </w:pPr>
      <w:r>
        <w:rPr>
          <w:bCs/>
          <w:b/>
        </w:rPr>
        <w:t xml:space="preserve">Existence du pacte</w:t>
      </w:r>
      <w:r>
        <w:t xml:space="preserve"> </w:t>
      </w:r>
      <w:r>
        <w:t xml:space="preserve">:</w:t>
      </w:r>
      <w:r>
        <w:t xml:space="preserve"> </w:t>
      </w:r>
      <w:r>
        <w:rPr>
          <w:bCs/>
          <w:b/>
        </w:rPr>
        <w:t xml:space="preserve">confirmée</w:t>
      </w:r>
      <w:r>
        <w:t xml:space="preserve">. Le communiqué BM du 16/06/2026 cite Djibouti parmi les six pays attendus à l’Africa Energy Forum [2] [V] ; Energy News Network (09/07/2026) rapporte la signature par</w:t>
      </w:r>
      <w:r>
        <w:t xml:space="preserve"> </w:t>
      </w:r>
      <w:r>
        <w:rPr>
          <w:bCs/>
          <w:b/>
        </w:rPr>
        <w:t xml:space="preserve">Mohamed Kileh Wais, secrétaire général du ministère de l’Énergie et des Ressources naturelles</w:t>
      </w:r>
      <w:r>
        <w:t xml:space="preserve">, qui déclare : « The goals set are very ambitious, including 100% renewable energy and 100% access to electricity by 2035 » [4] [S].</w:t>
      </w:r>
    </w:p>
    <w:p>
      <w:pPr>
        <w:numPr>
          <w:ilvl w:val="0"/>
          <w:numId w:val="1192"/>
        </w:numPr>
        <w:pStyle w:val="Compact"/>
      </w:pPr>
      <w:r>
        <w:rPr>
          <w:bCs/>
          <w:b/>
        </w:rPr>
        <w:t xml:space="preserve">Point d’attention</w:t>
      </w:r>
      <w:r>
        <w:t xml:space="preserve"> </w:t>
      </w:r>
      <w:r>
        <w:t xml:space="preserve">: Djibouti</w:t>
      </w:r>
      <w:r>
        <w:t xml:space="preserve"> </w:t>
      </w:r>
      <w:r>
        <w:rPr>
          <w:bCs/>
          <w:b/>
        </w:rPr>
        <w:t xml:space="preserve">n’apparaît pas</w:t>
      </w:r>
      <w:r>
        <w:t xml:space="preserve"> </w:t>
      </w:r>
      <w:r>
        <w:t xml:space="preserve">dans la liste de la page BM des pactes à la date de consultation (18/10/2026) [3] [V]. Le PDF est néanmoins</w:t>
      </w:r>
      <w:r>
        <w:t xml:space="preserve"> </w:t>
      </w:r>
      <w:r>
        <w:rPr>
          <w:bCs/>
          <w:b/>
        </w:rPr>
        <w:t xml:space="preserve">hébergé sur le même répertoire BM</w:t>
      </w:r>
      <w:r>
        <w:t xml:space="preserve"> </w:t>
      </w:r>
      <w:r>
        <w:t xml:space="preserve">sous le nom de fichier normalisé (trouvé par construction de l’URL, non lié depuis la page) ; PDF créé le 17/06/2026 [1] [V]. Statut de publication officielle à confirmer [?].</w:t>
      </w:r>
    </w:p>
    <w:p>
      <w:pPr>
        <w:numPr>
          <w:ilvl w:val="0"/>
          <w:numId w:val="1192"/>
        </w:numPr>
        <w:pStyle w:val="Compact"/>
      </w:pPr>
      <w:r>
        <w:rPr>
          <w:bCs/>
          <w:b/>
        </w:rPr>
        <w:t xml:space="preserve">Cohorte</w:t>
      </w:r>
      <w:r>
        <w:t xml:space="preserve"> </w:t>
      </w:r>
      <w:r>
        <w:t xml:space="preserve">: groupe des six pays de l’AEF 2026 (Burkina Faso, RCA, Djibouti, Gabon, Rwanda, Ouganda) [2] [V].</w:t>
      </w:r>
    </w:p>
    <w:p>
      <w:pPr>
        <w:numPr>
          <w:ilvl w:val="0"/>
          <w:numId w:val="1192"/>
        </w:numPr>
        <w:pStyle w:val="Compact"/>
      </w:pPr>
      <w:r>
        <w:rPr>
          <w:bCs/>
          <w:b/>
        </w:rPr>
        <w:t xml:space="preserve">Document consulté</w:t>
      </w:r>
      <w:r>
        <w:t xml:space="preserve"> </w:t>
      </w:r>
      <w:r>
        <w:t xml:space="preserve">: « Djibouti National Energy Compact » (en-têtes « Pacte national de l’énergie pour la République de Djibouti »), 44 p.,</w:t>
      </w:r>
      <w:r>
        <w:t xml:space="preserve"> </w:t>
      </w:r>
      <w:r>
        <w:rPr>
          <w:bCs/>
          <w:b/>
        </w:rPr>
        <w:t xml:space="preserve">anglais</w:t>
      </w:r>
      <w:r>
        <w:t xml:space="preserve"> </w:t>
      </w:r>
      <w:r>
        <w:t xml:space="preserve">(traduction manifeste du français, avec erreurs : « air vents » pour arriérés, « ESD » pour EDD, « 20240 ») [1] [V].</w:t>
      </w:r>
    </w:p>
    <w:p>
      <w:pPr>
        <w:numPr>
          <w:ilvl w:val="0"/>
          <w:numId w:val="1192"/>
        </w:numPr>
        <w:pStyle w:val="Compact"/>
      </w:pPr>
      <w:r>
        <w:rPr>
          <w:bCs/>
          <w:b/>
        </w:rPr>
        <w:t xml:space="preserve">Accès au texte intégral</w:t>
      </w:r>
      <w:r>
        <w:t xml:space="preserve"> </w:t>
      </w:r>
      <w:r>
        <w:t xml:space="preserve">:</w:t>
      </w:r>
      <w:r>
        <w:t xml:space="preserve"> </w:t>
      </w:r>
      <w:r>
        <w:rPr>
          <w:bCs/>
          <w:b/>
        </w:rPr>
        <w:t xml:space="preserve">oui</w:t>
      </w:r>
      <w:r>
        <w:t xml:space="preserve"> </w:t>
      </w:r>
      <w:r>
        <w:t xml:space="preserve">— https://www.worldbank.org/content/dam/theworldbankgroupasset/document/2026/m300-energy-compacts/Djibouti-National-Energy-Compact-Mission-300.pdf</w:t>
      </w:r>
    </w:p>
    <w:p>
      <w:pPr>
        <w:numPr>
          <w:ilvl w:val="0"/>
          <w:numId w:val="1192"/>
        </w:numPr>
        <w:pStyle w:val="Compact"/>
      </w:pPr>
      <w:r>
        <w:rPr>
          <w:bCs/>
          <w:b/>
        </w:rPr>
        <w:t xml:space="preserve">Opérateur</w:t>
      </w:r>
      <w:r>
        <w:t xml:space="preserve"> </w:t>
      </w:r>
      <w:r>
        <w:t xml:space="preserve">:</w:t>
      </w:r>
      <w:r>
        <w:t xml:space="preserve"> </w:t>
      </w:r>
      <w:r>
        <w:rPr>
          <w:bCs/>
          <w:b/>
        </w:rPr>
        <w:t xml:space="preserve">EDD</w:t>
      </w:r>
      <w:r>
        <w:t xml:space="preserve"> </w:t>
      </w:r>
      <w:r>
        <w:t xml:space="preserve">(Électricité de Djibouti), opérateur national intégré (production, transport, distribution, commercialisation) ; IPP : Red Sea Power (parc éolien du Ghoubet, 59-60 MW, 122 M USD, premier PPP ENR) [1] [V]. ODDEG (Office djiboutien de développement de l’énergie géothermique) [1] [V].</w:t>
      </w:r>
    </w:p>
    <w:p>
      <w:pPr>
        <w:numPr>
          <w:ilvl w:val="0"/>
          <w:numId w:val="1192"/>
        </w:numPr>
        <w:pStyle w:val="Compact"/>
      </w:pPr>
      <w:r>
        <w:rPr>
          <w:bCs/>
          <w:b/>
        </w:rPr>
        <w:t xml:space="preserve">Régulateur</w:t>
      </w:r>
      <w:r>
        <w:t xml:space="preserve"> </w:t>
      </w:r>
      <w:r>
        <w:t xml:space="preserve">:</w:t>
      </w:r>
      <w:r>
        <w:t xml:space="preserve"> </w:t>
      </w:r>
      <w:r>
        <w:rPr>
          <w:bCs/>
          <w:b/>
        </w:rPr>
        <w:t xml:space="preserve">ARMD</w:t>
      </w:r>
      <w:r>
        <w:t xml:space="preserve"> </w:t>
      </w:r>
      <w:r>
        <w:t xml:space="preserve">(Autorité de régulation multisectorielle de Djibouti), créée en 2020, à « opérationnaliser pleinement » [1] [V]. Tutelle : MERN (ministère de l’Énergie chargé des Ressources naturelles) [1] [V].</w:t>
      </w:r>
    </w:p>
    <w:bookmarkEnd w:id="203"/>
    <w:bookmarkStart w:id="204" w:name="situation-de-départ-selon-le-pacte-10"/>
    <w:p>
      <w:pPr>
        <w:pStyle w:val="Heading3"/>
      </w:pPr>
      <w:r>
        <w:t xml:space="preserve">1. Situation de départ (selon le pacte)</w:t>
      </w:r>
    </w:p>
    <w:p>
      <w:pPr>
        <w:numPr>
          <w:ilvl w:val="0"/>
          <w:numId w:val="1193"/>
        </w:numPr>
        <w:pStyle w:val="Compact"/>
      </w:pPr>
      <w:r>
        <w:rPr>
          <w:bCs/>
          <w:b/>
        </w:rPr>
        <w:t xml:space="preserve">Accès</w:t>
      </w:r>
      <w:r>
        <w:t xml:space="preserve"> </w:t>
      </w:r>
      <w:r>
        <w:t xml:space="preserve">:</w:t>
      </w:r>
      <w:r>
        <w:t xml:space="preserve"> </w:t>
      </w:r>
      <w:r>
        <w:rPr>
          <w:bCs/>
          <w:b/>
        </w:rPr>
        <w:t xml:space="preserve">70,6 %</w:t>
      </w:r>
      <w:r>
        <w:t xml:space="preserve"> </w:t>
      </w:r>
      <w:r>
        <w:t xml:space="preserve">national (2024 ; source : Distribution Master Plan EDD/ENGIE Impact 2024) ; 60 % en 2017 ; urbain 80,7 % (ailleurs 74,6 %, et « révisé à 58 % » selon le plan directeur) ;</w:t>
      </w:r>
      <w:r>
        <w:t xml:space="preserve"> </w:t>
      </w:r>
      <w:r>
        <w:rPr>
          <w:bCs/>
          <w:b/>
        </w:rPr>
        <w:t xml:space="preserve">rural 17,8 %</w:t>
      </w:r>
      <w:r>
        <w:t xml:space="preserve"> </w:t>
      </w:r>
      <w:r>
        <w:t xml:space="preserve">[1] [V]. Abonnés : 85 017 (2024) vs 69 315 (2020) ; taux d’électrification des ménages 58 % selon EDAM [1] [V]. Chiffres non réconciliés [E].</w:t>
      </w:r>
    </w:p>
    <w:p>
      <w:pPr>
        <w:numPr>
          <w:ilvl w:val="0"/>
          <w:numId w:val="1193"/>
        </w:numPr>
        <w:pStyle w:val="Compact"/>
      </w:pPr>
      <w:r>
        <w:rPr>
          <w:bCs/>
          <w:b/>
        </w:rPr>
        <w:t xml:space="preserve">Population sans accès</w:t>
      </w:r>
      <w:r>
        <w:t xml:space="preserve"> </w:t>
      </w:r>
      <w:r>
        <w:t xml:space="preserve">: ≈ 29 % [E] ; population ≈ 1,1 M (recensement 2024) [1] [V].</w:t>
      </w:r>
    </w:p>
    <w:p>
      <w:pPr>
        <w:numPr>
          <w:ilvl w:val="0"/>
          <w:numId w:val="1193"/>
        </w:numPr>
        <w:pStyle w:val="Compact"/>
      </w:pPr>
      <w:r>
        <w:rPr>
          <w:bCs/>
          <w:b/>
        </w:rPr>
        <w:t xml:space="preserve">Capacité / mix</w:t>
      </w:r>
      <w:r>
        <w:t xml:space="preserve"> </w:t>
      </w:r>
      <w:r>
        <w:t xml:space="preserve">: capacité effective raccordée 332 MW (2024) ; EDD : 110-120 MW thermiques vieillissants (2022) ; importations d’Éthiopie (ligne 230 kV, max. 80 MW) ; mix d’approvisionnement : thermique 10 %, hydro importée d’Éthiopie</w:t>
      </w:r>
      <w:r>
        <w:t xml:space="preserve"> </w:t>
      </w:r>
      <w:r>
        <w:rPr>
          <w:bCs/>
          <w:b/>
        </w:rPr>
        <w:t xml:space="preserve">63 %</w:t>
      </w:r>
      <w:r>
        <w:t xml:space="preserve">, éolien Ghoubet 27 % ; ENR</w:t>
      </w:r>
      <w:r>
        <w:t xml:space="preserve"> </w:t>
      </w:r>
      <w:r>
        <w:rPr>
          <w:bCs/>
          <w:b/>
        </w:rPr>
        <w:t xml:space="preserve">87 %</w:t>
      </w:r>
      <w:r>
        <w:t xml:space="preserve"> </w:t>
      </w:r>
      <w:r>
        <w:t xml:space="preserve">de la consommation [1] [V]. Consommation 826,2 GWh (2024) ; demande + 10 %/an [1] [V].</w:t>
      </w:r>
    </w:p>
    <w:p>
      <w:pPr>
        <w:numPr>
          <w:ilvl w:val="0"/>
          <w:numId w:val="1193"/>
        </w:numPr>
        <w:pStyle w:val="Compact"/>
      </w:pPr>
      <w:r>
        <w:rPr>
          <w:bCs/>
          <w:b/>
        </w:rPr>
        <w:t xml:space="preserve">Tarif</w:t>
      </w:r>
      <w:r>
        <w:t xml:space="preserve"> </w:t>
      </w:r>
      <w:r>
        <w:t xml:space="preserve">:</w:t>
      </w:r>
      <w:r>
        <w:t xml:space="preserve"> </w:t>
      </w:r>
      <w:r>
        <w:rPr>
          <w:bCs/>
          <w:b/>
        </w:rPr>
        <w:t xml:space="preserve">0,28 USD/kWh</w:t>
      </w:r>
      <w:r>
        <w:t xml:space="preserve"> </w:t>
      </w:r>
      <w:r>
        <w:t xml:space="preserve">(50,2 FDJ), « parmi les plus élevés au monde » ; thermique HFO ≈ 0,29 USD/kWh [1] [V].</w:t>
      </w:r>
    </w:p>
    <w:p>
      <w:pPr>
        <w:numPr>
          <w:ilvl w:val="0"/>
          <w:numId w:val="1193"/>
        </w:numPr>
        <w:pStyle w:val="Compact"/>
      </w:pPr>
      <w:r>
        <w:rPr>
          <w:bCs/>
          <w:b/>
        </w:rPr>
        <w:t xml:space="preserve">Pertes</w:t>
      </w:r>
      <w:r>
        <w:t xml:space="preserve"> </w:t>
      </w:r>
      <w:r>
        <w:t xml:space="preserve">: 17 % (2024) ; interruptions : 1 800 (2021) [1] [V].</w:t>
      </w:r>
    </w:p>
    <w:p>
      <w:pPr>
        <w:numPr>
          <w:ilvl w:val="0"/>
          <w:numId w:val="1193"/>
        </w:numPr>
        <w:pStyle w:val="Compact"/>
      </w:pPr>
      <w:r>
        <w:rPr>
          <w:bCs/>
          <w:b/>
        </w:rPr>
        <w:t xml:space="preserve">Arriérés de l’État</w:t>
      </w:r>
      <w:r>
        <w:t xml:space="preserve"> </w:t>
      </w:r>
      <w:r>
        <w:t xml:space="preserve">(factures d’énergie publiques) :</w:t>
      </w:r>
      <w:r>
        <w:t xml:space="preserve"> </w:t>
      </w:r>
      <w:r>
        <w:rPr>
          <w:bCs/>
          <w:b/>
        </w:rPr>
        <w:t xml:space="preserve">330 M USD</w:t>
      </w:r>
      <w:r>
        <w:t xml:space="preserve"> </w:t>
      </w:r>
      <w:r>
        <w:t xml:space="preserve">[1] [V].</w:t>
      </w:r>
    </w:p>
    <w:p>
      <w:pPr>
        <w:numPr>
          <w:ilvl w:val="0"/>
          <w:numId w:val="1193"/>
        </w:numPr>
        <w:pStyle w:val="Compact"/>
      </w:pPr>
      <w:r>
        <w:rPr>
          <w:bCs/>
          <w:b/>
        </w:rPr>
        <w:t xml:space="preserve">Cuisson propre</w:t>
      </w:r>
      <w:r>
        <w:t xml:space="preserve"> </w:t>
      </w:r>
      <w:r>
        <w:t xml:space="preserve">: 10 % [1] [V].</w:t>
      </w:r>
    </w:p>
    <w:bookmarkEnd w:id="204"/>
    <w:bookmarkStart w:id="205" w:name="cibles-2030-et-2035"/>
    <w:p>
      <w:pPr>
        <w:pStyle w:val="Heading3"/>
      </w:pPr>
      <w:r>
        <w:t xml:space="preserve">2. Cibles 2030 (et 2035)</w:t>
      </w:r>
    </w:p>
    <w:p>
      <w:pPr>
        <w:numPr>
          <w:ilvl w:val="0"/>
          <w:numId w:val="1194"/>
        </w:numPr>
        <w:pStyle w:val="Compact"/>
      </w:pPr>
      <w:r>
        <w:rPr>
          <w:bCs/>
          <w:b/>
        </w:rPr>
        <w:t xml:space="preserve">Électricité</w:t>
      </w:r>
      <w:r>
        <w:t xml:space="preserve"> </w:t>
      </w:r>
      <w:r>
        <w:t xml:space="preserve">:</w:t>
      </w:r>
      <w:r>
        <w:t xml:space="preserve"> </w:t>
      </w:r>
      <w:r>
        <w:rPr>
          <w:bCs/>
          <w:b/>
        </w:rPr>
        <w:t xml:space="preserve">85 %</w:t>
      </w:r>
      <w:r>
        <w:t xml:space="preserve"> </w:t>
      </w:r>
      <w:r>
        <w:t xml:space="preserve">(2030) puis</w:t>
      </w:r>
      <w:r>
        <w:t xml:space="preserve"> </w:t>
      </w:r>
      <w:r>
        <w:rPr>
          <w:bCs/>
          <w:b/>
        </w:rPr>
        <w:t xml:space="preserve">100 %</w:t>
      </w:r>
      <w:r>
        <w:t xml:space="preserve"> </w:t>
      </w:r>
      <w:r>
        <w:t xml:space="preserve">(2035) ; urbain 91 % / 100 % ; rural 50 % / 100 % [1] [V]. Programme « 5 000 nouveaux ménages » (90 % d’accès en 2030 — autre chiffre, non cohérent avec 85 %) ; mini-réseaux solaires dans 20 localités (2 par an) ou 50 localités selon un autre passage ; 20 000 kits solaires [1] [V].</w:t>
      </w:r>
    </w:p>
    <w:p>
      <w:pPr>
        <w:numPr>
          <w:ilvl w:val="0"/>
          <w:numId w:val="1194"/>
        </w:numPr>
        <w:pStyle w:val="Compact"/>
      </w:pPr>
      <w:r>
        <w:rPr>
          <w:bCs/>
          <w:b/>
        </w:rPr>
        <w:t xml:space="preserve">Renouvelables</w:t>
      </w:r>
      <w:r>
        <w:t xml:space="preserve"> </w:t>
      </w:r>
      <w:r>
        <w:t xml:space="preserve">: 87 % →</w:t>
      </w:r>
      <w:r>
        <w:t xml:space="preserve"> </w:t>
      </w:r>
      <w:r>
        <w:rPr>
          <w:bCs/>
          <w:b/>
        </w:rPr>
        <w:t xml:space="preserve">95 %</w:t>
      </w:r>
      <w:r>
        <w:t xml:space="preserve"> </w:t>
      </w:r>
      <w:r>
        <w:t xml:space="preserve">(2030) →</w:t>
      </w:r>
      <w:r>
        <w:t xml:space="preserve"> </w:t>
      </w:r>
      <w:r>
        <w:rPr>
          <w:bCs/>
          <w:b/>
        </w:rPr>
        <w:t xml:space="preserve">100 %</w:t>
      </w:r>
      <w:r>
        <w:t xml:space="preserve"> </w:t>
      </w:r>
      <w:r>
        <w:t xml:space="preserve">(2035) ; Grand Bara solaire 50 MW + stockage 10 MW (2030) ; éolien Karta-PK51 20 MW et Grand Bara 20,5 MW (2035) ; géothermie 121 MW (2035) ; 2e interconnexion Éthiopie 150 MW (2027) [1] [V].</w:t>
      </w:r>
    </w:p>
    <w:p>
      <w:pPr>
        <w:numPr>
          <w:ilvl w:val="0"/>
          <w:numId w:val="1194"/>
        </w:numPr>
        <w:pStyle w:val="Compact"/>
      </w:pPr>
      <w:r>
        <w:rPr>
          <w:bCs/>
          <w:b/>
        </w:rPr>
        <w:t xml:space="preserve">Cuisson propre</w:t>
      </w:r>
      <w:r>
        <w:t xml:space="preserve"> </w:t>
      </w:r>
      <w:r>
        <w:t xml:space="preserve">: 10 % →</w:t>
      </w:r>
      <w:r>
        <w:t xml:space="preserve"> </w:t>
      </w:r>
      <w:r>
        <w:rPr>
          <w:bCs/>
          <w:b/>
        </w:rPr>
        <w:t xml:space="preserve">50 %</w:t>
      </w:r>
      <w:r>
        <w:t xml:space="preserve"> </w:t>
      </w:r>
      <w:r>
        <w:t xml:space="preserve">(2030) → 75 % (2035) [1] [V] (ailleurs « 50 % d’ici 2035 » — incohérence).</w:t>
      </w:r>
    </w:p>
    <w:p>
      <w:pPr>
        <w:numPr>
          <w:ilvl w:val="0"/>
          <w:numId w:val="1194"/>
        </w:numPr>
        <w:pStyle w:val="Compact"/>
      </w:pPr>
      <w:r>
        <w:rPr>
          <w:bCs/>
          <w:b/>
        </w:rPr>
        <w:t xml:space="preserve">Tarif moyen</w:t>
      </w:r>
      <w:r>
        <w:t xml:space="preserve"> </w:t>
      </w:r>
      <w:r>
        <w:t xml:space="preserve">: 0,28 →</w:t>
      </w:r>
      <w:r>
        <w:t xml:space="preserve"> </w:t>
      </w:r>
      <w:r>
        <w:rPr>
          <w:bCs/>
          <w:b/>
        </w:rPr>
        <w:t xml:space="preserve">&lt; 0,25 USD/kWh (2030)</w:t>
      </w:r>
      <w:r>
        <w:t xml:space="preserve"> </w:t>
      </w:r>
      <w:r>
        <w:t xml:space="preserve">et 0,22 USD/kWh (2035) dans le tableau des cibles ; « &lt; 0,20 USD/kWh en 2030 » dans le préambule et le plan d’action ; « baisse d’au moins 27 % d’ici 2035 » dans la déclaration (0,22/0,28 = –21 %) [1] [V/E].</w:t>
      </w:r>
    </w:p>
    <w:p>
      <w:pPr>
        <w:numPr>
          <w:ilvl w:val="0"/>
          <w:numId w:val="1194"/>
        </w:numPr>
        <w:pStyle w:val="Compact"/>
      </w:pPr>
      <w:r>
        <w:rPr>
          <w:bCs/>
          <w:b/>
        </w:rPr>
        <w:t xml:space="preserve">Pertes</w:t>
      </w:r>
      <w:r>
        <w:t xml:space="preserve"> </w:t>
      </w:r>
      <w:r>
        <w:t xml:space="preserve">: 17 % → 12 % (2030) → 8 % (2035) ; interruptions &lt; 500 (2030) [1] [V].</w:t>
      </w:r>
    </w:p>
    <w:p>
      <w:pPr>
        <w:numPr>
          <w:ilvl w:val="0"/>
          <w:numId w:val="1194"/>
        </w:numPr>
        <w:pStyle w:val="Compact"/>
      </w:pPr>
      <w:r>
        <w:rPr>
          <w:bCs/>
          <w:b/>
        </w:rPr>
        <w:t xml:space="preserve">Capitaux privés</w:t>
      </w:r>
      <w:r>
        <w:t xml:space="preserve"> </w:t>
      </w:r>
      <w:r>
        <w:t xml:space="preserve">: 315,8 M USD (2026-2030) + 197,8 M USD (2030-2035) =</w:t>
      </w:r>
      <w:r>
        <w:t xml:space="preserve"> </w:t>
      </w:r>
      <w:r>
        <w:rPr>
          <w:bCs/>
          <w:b/>
        </w:rPr>
        <w:t xml:space="preserve">513,6 M USD</w:t>
      </w:r>
      <w:r>
        <w:t xml:space="preserve"> </w:t>
      </w:r>
      <w:r>
        <w:t xml:space="preserve">[1] [V].</w:t>
      </w:r>
    </w:p>
    <w:bookmarkEnd w:id="205"/>
    <w:bookmarkStart w:id="207" w:name="réformes-promises-cœur-de-lanalyse-7"/>
    <w:p>
      <w:pPr>
        <w:pStyle w:val="Heading3"/>
      </w:pPr>
      <w:r>
        <w:t xml:space="preserve">3. Réformes promises (cœur de l’analyse)</w:t>
      </w:r>
    </w:p>
    <w:bookmarkStart w:id="206" w:name="tarifs-et-subventions-10"/>
    <w:p>
      <w:pPr>
        <w:pStyle w:val="Heading4"/>
      </w:pPr>
      <w:r>
        <w:t xml:space="preserve">3.1 Tarifs et subventions</w:t>
      </w:r>
    </w:p>
    <w:p>
      <w:pPr>
        <w:numPr>
          <w:ilvl w:val="0"/>
          <w:numId w:val="1195"/>
        </w:numPr>
        <w:pStyle w:val="Compact"/>
      </w:pPr>
      <w:r>
        <w:rPr>
          <w:bCs/>
          <w:b/>
        </w:rPr>
        <w:t xml:space="preserve">Particularité : objectif de BAISSE tarifaire</w:t>
      </w:r>
      <w:r>
        <w:t xml:space="preserve"> </w:t>
      </w:r>
      <w:r>
        <w:t xml:space="preserve">(à l’inverse des autres pactes), obtenue par la substitution du thermique et des importations par des ENR locales moins chères [1] [V].</w:t>
      </w:r>
    </w:p>
    <w:p>
      <w:pPr>
        <w:numPr>
          <w:ilvl w:val="0"/>
          <w:numId w:val="1195"/>
        </w:numPr>
        <w:pStyle w:val="Compact"/>
      </w:pPr>
      <w:r>
        <w:rPr>
          <w:bCs/>
          <w:b/>
        </w:rPr>
        <w:t xml:space="preserve">Étude indépendante du coût de service</w:t>
      </w:r>
      <w:r>
        <w:t xml:space="preserve"> </w:t>
      </w:r>
      <w:r>
        <w:t xml:space="preserve">(ARMD/ministère) au</w:t>
      </w:r>
      <w:r>
        <w:t xml:space="preserve"> </w:t>
      </w:r>
      <w:r>
        <w:rPr>
          <w:bCs/>
          <w:b/>
        </w:rPr>
        <w:t xml:space="preserve">T4 2026</w:t>
      </w:r>
      <w:r>
        <w:t xml:space="preserve"> </w:t>
      </w:r>
      <w:r>
        <w:t xml:space="preserve">; recrutement d’un cabinet international et feuille de route de réforme tarifaire progressive (T4 2026) ; modèle tarifaire et consultations (T1 2027) ;</w:t>
      </w:r>
      <w:r>
        <w:t xml:space="preserve"> </w:t>
      </w:r>
      <w:r>
        <w:rPr>
          <w:bCs/>
          <w:b/>
        </w:rPr>
        <w:t xml:space="preserve">1er ajustement tarifaire annuel au T1 2028</w:t>
      </w:r>
      <w:r>
        <w:t xml:space="preserve">, avec</w:t>
      </w:r>
      <w:r>
        <w:t xml:space="preserve"> </w:t>
      </w:r>
      <w:r>
        <w:rPr>
          <w:bCs/>
          <w:b/>
        </w:rPr>
        <w:t xml:space="preserve">tarif social protégé</w:t>
      </w:r>
      <w:r>
        <w:t xml:space="preserve"> </w:t>
      </w:r>
      <w:r>
        <w:t xml:space="preserve">[1] [V].</w:t>
      </w:r>
    </w:p>
    <w:p>
      <w:pPr>
        <w:numPr>
          <w:ilvl w:val="0"/>
          <w:numId w:val="1195"/>
        </w:numPr>
        <w:pStyle w:val="Compact"/>
      </w:pPr>
      <w:r>
        <w:t xml:space="preserve">Plan de réforme d’ici le T1 2027 pour « poursuivre la convergence des tarifs vers les coûts réels », avec</w:t>
      </w:r>
      <w:r>
        <w:t xml:space="preserve"> </w:t>
      </w:r>
      <w:r>
        <w:rPr>
          <w:bCs/>
          <w:b/>
        </w:rPr>
        <w:t xml:space="preserve">recouvrement intégral des coûts d’exploitation</w:t>
      </w:r>
      <w:r>
        <w:t xml:space="preserve"> </w:t>
      </w:r>
      <w:r>
        <w:t xml:space="preserve">et</w:t>
      </w:r>
      <w:r>
        <w:t xml:space="preserve"> </w:t>
      </w:r>
      <w:r>
        <w:rPr>
          <w:bCs/>
          <w:b/>
        </w:rPr>
        <w:t xml:space="preserve">soutien budgétaire transitoire</w:t>
      </w:r>
      <w:r>
        <w:t xml:space="preserve"> </w:t>
      </w:r>
      <w:r>
        <w:t xml:space="preserve">pour protéger les vulnérables [1] [V].</w:t>
      </w:r>
    </w:p>
    <w:p>
      <w:pPr>
        <w:numPr>
          <w:ilvl w:val="0"/>
          <w:numId w:val="1195"/>
        </w:numPr>
        <w:pStyle w:val="Compact"/>
      </w:pPr>
      <w:r>
        <w:t xml:space="preserve">La structure tarifaire actuelle « ne reflète pas nécessairement les coûts réels » et « maintient des distorsions coûteuses » pour l’État via des subventions continues [1] [V]. Montant des subventions : [?].</w:t>
      </w:r>
    </w:p>
    <w:p>
      <w:pPr>
        <w:numPr>
          <w:ilvl w:val="0"/>
          <w:numId w:val="1195"/>
        </w:numPr>
        <w:pStyle w:val="Compact"/>
      </w:pPr>
      <w:r>
        <w:t xml:space="preserve">Tarifs d’achat (FiT) garantis pour les IPP, publication des tarifs IPP validés par l’ARMD (T3 2027) ; subvention GPL pour les ménages urbains (T4 2026) ; exonération fiscale des équipements d’électrification rurale ENR [1] [V].</w:t>
      </w:r>
      <w:r>
        <w:t xml:space="preserve"> </w:t>
      </w:r>
      <w:r>
        <w:t xml:space="preserve">#### 3.2 Opérateur</w:t>
      </w:r>
    </w:p>
    <w:p>
      <w:pPr>
        <w:numPr>
          <w:ilvl w:val="0"/>
          <w:numId w:val="1195"/>
        </w:numPr>
        <w:pStyle w:val="Compact"/>
      </w:pPr>
      <w:r>
        <w:rPr>
          <w:bCs/>
          <w:b/>
        </w:rPr>
        <w:t xml:space="preserve">Apurement des arriérés de l’État (330 M USD)</w:t>
      </w:r>
      <w:r>
        <w:t xml:space="preserve"> </w:t>
      </w:r>
      <w:r>
        <w:t xml:space="preserve">: mécanisme pluriannuel (3-5 ans) au T4 2026 ; réduction de 50 % d’ici 2028, 90 % d’ici 2030, 100 % d’ici 2035 ; fin de l’accumulation dès 2028 ; paiements mensuels automatiques (T2 2027) [1] [V]. (La déclaration indique « –50 % d’ici 2030 » : incohérence.)</w:t>
      </w:r>
    </w:p>
    <w:p>
      <w:pPr>
        <w:numPr>
          <w:ilvl w:val="0"/>
          <w:numId w:val="1195"/>
        </w:numPr>
        <w:pStyle w:val="Compact"/>
      </w:pPr>
      <w:r>
        <w:t xml:space="preserve">Maîtrise de la consommation publique : recensement des abonnements, plafonds par bâtiment, compteurs communicants avec coupure à distance, « bonus-malus » ; rénovation de 50 bâtiments d’ici 2035 [1] [V].</w:t>
      </w:r>
    </w:p>
    <w:p>
      <w:pPr>
        <w:numPr>
          <w:ilvl w:val="0"/>
          <w:numId w:val="1195"/>
        </w:numPr>
        <w:pStyle w:val="Compact"/>
      </w:pPr>
      <w:r>
        <w:rPr>
          <w:bCs/>
          <w:b/>
        </w:rPr>
        <w:t xml:space="preserve">Contrats de performance annuels</w:t>
      </w:r>
      <w:r>
        <w:t xml:space="preserve"> </w:t>
      </w:r>
      <w:r>
        <w:t xml:space="preserve">pour EDD (SAIDI, pertes, recouvrement) ; compteurs intelligents ; SCADA ;</w:t>
      </w:r>
      <w:r>
        <w:t xml:space="preserve"> </w:t>
      </w:r>
      <w:r>
        <w:rPr>
          <w:bCs/>
          <w:b/>
        </w:rPr>
        <w:t xml:space="preserve">publication annuelle des états financiers audités</w:t>
      </w:r>
      <w:r>
        <w:t xml:space="preserve"> </w:t>
      </w:r>
      <w:r>
        <w:t xml:space="preserve">d’EDD [1] [V].</w:t>
      </w:r>
    </w:p>
    <w:p>
      <w:pPr>
        <w:numPr>
          <w:ilvl w:val="0"/>
          <w:numId w:val="1195"/>
        </w:numPr>
        <w:pStyle w:val="Compact"/>
      </w:pPr>
      <w:r>
        <w:rPr>
          <w:bCs/>
          <w:b/>
        </w:rPr>
        <w:t xml:space="preserve">Audit stratégique et financier d’EDD</w:t>
      </w:r>
      <w:r>
        <w:t xml:space="preserve"> </w:t>
      </w:r>
      <w:r>
        <w:t xml:space="preserve">(T1 2027 → adoption T1 2028), base d’une séparation claire des rôles État / régulateur / opérateur [1] [V].</w:t>
      </w:r>
    </w:p>
    <w:p>
      <w:pPr>
        <w:numPr>
          <w:ilvl w:val="0"/>
          <w:numId w:val="1195"/>
        </w:numPr>
        <w:pStyle w:val="Compact"/>
      </w:pPr>
      <w:r>
        <w:t xml:space="preserve">Pertes non techniques visées 5-7 %, techniques ≈ 5 % [1] [V].</w:t>
      </w:r>
      <w:r>
        <w:t xml:space="preserve"> </w:t>
      </w:r>
      <w:r>
        <w:t xml:space="preserve">#### 3.3 Régulation et gouvernance</w:t>
      </w:r>
    </w:p>
    <w:p>
      <w:pPr>
        <w:numPr>
          <w:ilvl w:val="0"/>
          <w:numId w:val="1195"/>
        </w:numPr>
        <w:pStyle w:val="Compact"/>
      </w:pPr>
      <w:r>
        <w:t xml:space="preserve">Adoption de la Politique énergétique nationale (PNE 2024-2040) et du Code de l’électricité (T4 2026) ; plan intégré de moindre coût (PIMC) et plan de développement de l’électrification rurale (PDER) adoptés au T4 2027 [1] [V].</w:t>
      </w:r>
    </w:p>
    <w:p>
      <w:pPr>
        <w:numPr>
          <w:ilvl w:val="0"/>
          <w:numId w:val="1195"/>
        </w:numPr>
        <w:pStyle w:val="Compact"/>
      </w:pPr>
      <w:r>
        <w:t xml:space="preserve">Renforcement de l’ARMD (RH + budget, T1 2027) [1] [V].</w:t>
      </w:r>
    </w:p>
    <w:p>
      <w:pPr>
        <w:numPr>
          <w:ilvl w:val="0"/>
          <w:numId w:val="1195"/>
        </w:numPr>
        <w:pStyle w:val="Compact"/>
      </w:pPr>
      <w:r>
        <w:t xml:space="preserve">Comité de pilotage présidé par le ministre de l’Énergie (réunion semestrielle) ; CDMU sous le MERN, coordonnée par le SG du MERN ; revues à mi-parcours fin 2028 et 2033 [1] [V].</w:t>
      </w:r>
      <w:r>
        <w:t xml:space="preserve"> </w:t>
      </w:r>
      <w:r>
        <w:t xml:space="preserve">#### 3.4 Participation du privé</w:t>
      </w:r>
    </w:p>
    <w:p>
      <w:pPr>
        <w:numPr>
          <w:ilvl w:val="0"/>
          <w:numId w:val="1195"/>
        </w:numPr>
        <w:pStyle w:val="Compact"/>
      </w:pPr>
      <w:r>
        <w:t xml:space="preserve">Mécanisme de réduction des risques des investissements privés ENR (T2 2026) ; PPP/PPA standardisés (T2 2027) ; premiers PPA ENR de long terme signés au T4 2028 [1] [V].</w:t>
      </w:r>
    </w:p>
    <w:p>
      <w:pPr>
        <w:numPr>
          <w:ilvl w:val="0"/>
          <w:numId w:val="1195"/>
        </w:numPr>
        <w:pStyle w:val="Compact"/>
      </w:pPr>
      <w:r>
        <w:t xml:space="preserve">Simplification des licences IPP (loi n° 88/AN/15/7e L ; décret 2019-013) ; cadre PPP (loi n° 186/AN/17/7e L) ; cinq modèles de mini-réseaux (public à exploitation déléguée, concession/PPP subventionnée, privé/DESCO, communautaire, opérateur public) à choisir d’ici fin 2026 [1] [V].</w:t>
      </w:r>
    </w:p>
    <w:p>
      <w:pPr>
        <w:numPr>
          <w:ilvl w:val="0"/>
          <w:numId w:val="1195"/>
        </w:numPr>
        <w:pStyle w:val="Compact"/>
      </w:pPr>
      <w:r>
        <w:t xml:space="preserve">Fonds de garantie/cofinancement pour PME (2027) ; fonds d’électrification rurale (2029) ; garanties (comptes séquestres, clauses take-or-pay) [1] [V].</w:t>
      </w:r>
      <w:r>
        <w:t xml:space="preserve"> </w:t>
      </w:r>
      <w:r>
        <w:t xml:space="preserve">#### 3.5 Intégration régionale</w:t>
      </w:r>
    </w:p>
    <w:p>
      <w:pPr>
        <w:numPr>
          <w:ilvl w:val="0"/>
          <w:numId w:val="1195"/>
        </w:numPr>
        <w:pStyle w:val="Compact"/>
      </w:pPr>
      <w:r>
        <w:t xml:space="preserve">2e ligne 230 kV Semera–Galafi–Nagad (150 MW ; ailleurs « + 220 MW » ; 67 M USD côté djiboutien, financement BM et BAD), mise en service T2 2027 [1] [V].</w:t>
      </w:r>
    </w:p>
    <w:p>
      <w:pPr>
        <w:numPr>
          <w:ilvl w:val="0"/>
          <w:numId w:val="1195"/>
        </w:numPr>
        <w:pStyle w:val="Compact"/>
      </w:pPr>
      <w:r>
        <w:t xml:space="preserve">Harmonisation de la tarification de transport avec l’EAPP (2027) ; accords bilatéraux Éthiopie, Somalie (2026-2027) ; marché régional Corne de l’Afrique / golfe d’Aden (2027-2030) ; ouverture du marché aux grands consommateurs étudiée (2028) [1] [V].</w:t>
      </w:r>
      <w:r>
        <w:t xml:space="preserve"> </w:t>
      </w:r>
      <w:r>
        <w:t xml:space="preserve">#### 3.6 Autres</w:t>
      </w:r>
    </w:p>
    <w:p>
      <w:pPr>
        <w:numPr>
          <w:ilvl w:val="0"/>
          <w:numId w:val="1195"/>
        </w:numPr>
        <w:pStyle w:val="Compact"/>
      </w:pPr>
      <w:r>
        <w:t xml:space="preserve">Stratégies nationales : efficacité énergétique, normalisation, numérisation du secteur, cuisson propre (T2 2026) [1] [V].</w:t>
      </w:r>
    </w:p>
    <w:bookmarkEnd w:id="206"/>
    <w:bookmarkEnd w:id="207"/>
    <w:bookmarkStart w:id="208" w:name="financement-10"/>
    <w:p>
      <w:pPr>
        <w:pStyle w:val="Heading3"/>
      </w:pPr>
      <w:r>
        <w:t xml:space="preserve">4. Financement</w:t>
      </w:r>
    </w:p>
    <w:p>
      <w:pPr>
        <w:numPr>
          <w:ilvl w:val="0"/>
          <w:numId w:val="1196"/>
        </w:numPr>
        <w:pStyle w:val="Compact"/>
      </w:pPr>
      <w:r>
        <w:rPr>
          <w:bCs/>
          <w:b/>
        </w:rPr>
        <w:t xml:space="preserve">Besoin</w:t>
      </w:r>
      <w:r>
        <w:t xml:space="preserve"> </w:t>
      </w:r>
      <w:r>
        <w:t xml:space="preserve">:</w:t>
      </w:r>
      <w:r>
        <w:t xml:space="preserve"> </w:t>
      </w:r>
      <w:r>
        <w:rPr>
          <w:bCs/>
          <w:b/>
        </w:rPr>
        <w:t xml:space="preserve">1 327,2 M USD</w:t>
      </w:r>
      <w:r>
        <w:t xml:space="preserve"> </w:t>
      </w:r>
      <w:r>
        <w:t xml:space="preserve">(≈ 236,16 Md FDJ) sur 2026-2035 — 2026-2030 : 690,55 M (public 374,75 / privé 315,8) ; 2030-2035 : 636,65 M [1] [V]. Production ENR 759,3 ; transport 297 ; distribution 162 ; électrification rurale 46 ; cuisson propre 45,7 ; efficacité énergétique 12,5 ; réforme sectorielle 3 ; capacités 1,7 (M USD) [1] [V].</w:t>
      </w:r>
    </w:p>
    <w:p>
      <w:pPr>
        <w:numPr>
          <w:ilvl w:val="0"/>
          <w:numId w:val="1196"/>
        </w:numPr>
        <w:pStyle w:val="Compact"/>
      </w:pPr>
      <w:r>
        <w:rPr>
          <w:bCs/>
          <w:b/>
        </w:rPr>
        <w:t xml:space="preserve">Incohérence</w:t>
      </w:r>
      <w:r>
        <w:t xml:space="preserve"> </w:t>
      </w:r>
      <w:r>
        <w:t xml:space="preserve">: le préambule évoque</w:t>
      </w:r>
      <w:r>
        <w:t xml:space="preserve"> </w:t>
      </w:r>
      <w:r>
        <w:rPr>
          <w:bCs/>
          <w:b/>
        </w:rPr>
        <w:t xml:space="preserve">1,614 Md USD</w:t>
      </w:r>
      <w:r>
        <w:t xml:space="preserve"> </w:t>
      </w:r>
      <w:r>
        <w:t xml:space="preserve">à mobiliser [1] [V].</w:t>
      </w:r>
    </w:p>
    <w:p>
      <w:pPr>
        <w:numPr>
          <w:ilvl w:val="0"/>
          <w:numId w:val="1196"/>
        </w:numPr>
        <w:pStyle w:val="Compact"/>
      </w:pPr>
      <w:r>
        <w:rPr>
          <w:bCs/>
          <w:b/>
        </w:rPr>
        <w:t xml:space="preserve">Presse</w:t>
      </w:r>
      <w:r>
        <w:t xml:space="preserve"> </w:t>
      </w:r>
      <w:r>
        <w:t xml:space="preserve">: une Stratégie énergétique nationale 2026-2035 de 1,7 Md USD (dont &gt; 728 M USD privés), présentée avec le soutien de la BM, de la BAD et de Mission 300, est rapportée en mai 2026 [5] [S] — chiffres différents de ceux du pacte.</w:t>
      </w:r>
    </w:p>
    <w:p>
      <w:pPr>
        <w:numPr>
          <w:ilvl w:val="0"/>
          <w:numId w:val="1196"/>
        </w:numPr>
        <w:pStyle w:val="Compact"/>
      </w:pPr>
      <w:r>
        <w:rPr>
          <w:bCs/>
          <w:b/>
        </w:rPr>
        <w:t xml:space="preserve">Partenaires cités</w:t>
      </w:r>
      <w:r>
        <w:t xml:space="preserve"> </w:t>
      </w:r>
      <w:r>
        <w:t xml:space="preserve">: BM et BAD (2e interconnexion), BM (Programme d’électrification durable, PED), BEI, AFD, GIZ, UE, PNUD/FEM, BID [1] [V]. Montants M300 spécifiques : [?].</w:t>
      </w:r>
    </w:p>
    <w:bookmarkEnd w:id="208"/>
    <w:bookmarkStart w:id="209" w:name="calendrier-et-suivi-10"/>
    <w:p>
      <w:pPr>
        <w:pStyle w:val="Heading3"/>
      </w:pPr>
      <w:r>
        <w:t xml:space="preserve">5. Calendrier et suivi</w:t>
      </w:r>
    </w:p>
    <w:p>
      <w:pPr>
        <w:numPr>
          <w:ilvl w:val="0"/>
          <w:numId w:val="1197"/>
        </w:numPr>
        <w:pStyle w:val="Compact"/>
      </w:pPr>
      <w:r>
        <w:t xml:space="preserve">Jalons trimestriels T2 2026 → 2035 (voir §3) ; tableau de bord mensuel, rapport trimestriel, rapport semestriel au comité de pilotage [1] [V]. Pas de rapport d’avancement publié [3] [V].</w:t>
      </w:r>
    </w:p>
    <w:bookmarkEnd w:id="209"/>
    <w:bookmarkStart w:id="210" w:name="lecture-critique-7"/>
    <w:p>
      <w:pPr>
        <w:pStyle w:val="Heading3"/>
      </w:pPr>
      <w:r>
        <w:t xml:space="preserve">6. Lecture critique</w:t>
      </w:r>
    </w:p>
    <w:p>
      <w:pPr>
        <w:numPr>
          <w:ilvl w:val="0"/>
          <w:numId w:val="1198"/>
        </w:numPr>
        <w:pStyle w:val="Compact"/>
      </w:pPr>
      <w:r>
        <w:rPr>
          <w:bCs/>
          <w:b/>
        </w:rPr>
        <w:t xml:space="preserve">Réalisme</w:t>
      </w:r>
      <w:r>
        <w:t xml:space="preserve"> </w:t>
      </w:r>
      <w:r>
        <w:t xml:space="preserve">: l’accès national (70,6 % → 85 %) est atteignable vu la petite taille du pays, mais la base est contestée par le pacte lui-même (58 % des ménages selon EDAM) ; l’électrification rurale (17,8 % → 50 %) dépend de modèles de mini-réseaux encore à choisir [E]. 100 % ENR en 2035 dépend de l’interconnexion éthiopienne (63 % de l’offre), d’où un risque géopolitique explicitement reconnu [1] [E].</w:t>
      </w:r>
    </w:p>
    <w:p>
      <w:pPr>
        <w:numPr>
          <w:ilvl w:val="0"/>
          <w:numId w:val="1198"/>
        </w:numPr>
        <w:pStyle w:val="Compact"/>
      </w:pPr>
      <w:r>
        <w:rPr>
          <w:bCs/>
          <w:b/>
        </w:rPr>
        <w:t xml:space="preserve">Tarifs</w:t>
      </w:r>
      <w:r>
        <w:t xml:space="preserve"> </w:t>
      </w:r>
      <w:r>
        <w:t xml:space="preserve">: seul pacte du lot visant une</w:t>
      </w:r>
      <w:r>
        <w:t xml:space="preserve"> </w:t>
      </w:r>
      <w:r>
        <w:rPr>
          <w:bCs/>
          <w:b/>
        </w:rPr>
        <w:t xml:space="preserve">baisse</w:t>
      </w:r>
      <w:r>
        <w:t xml:space="preserve"> </w:t>
      </w:r>
      <w:r>
        <w:t xml:space="preserve">du tarif moyen ; cible chiffrée mais</w:t>
      </w:r>
      <w:r>
        <w:t xml:space="preserve"> </w:t>
      </w:r>
      <w:r>
        <w:rPr>
          <w:bCs/>
          <w:b/>
        </w:rPr>
        <w:t xml:space="preserve">incohérente</w:t>
      </w:r>
      <w:r>
        <w:t xml:space="preserve"> </w:t>
      </w:r>
      <w:r>
        <w:t xml:space="preserve">(0,20 / 0,22 / &lt; 0,25 USD/kWh selon les pages). La convergence vers les coûts est formulée pour les coûts d’exploitation seulement ; la baisse et la couverture des coûts ne sont conciliables que si le coût d’approvisionnement baisse fortement [E].</w:t>
      </w:r>
    </w:p>
    <w:p>
      <w:pPr>
        <w:numPr>
          <w:ilvl w:val="0"/>
          <w:numId w:val="1198"/>
        </w:numPr>
        <w:pStyle w:val="Compact"/>
      </w:pPr>
      <w:r>
        <w:rPr>
          <w:bCs/>
          <w:b/>
        </w:rPr>
        <w:t xml:space="preserve">Opérateur</w:t>
      </w:r>
      <w:r>
        <w:t xml:space="preserve"> </w:t>
      </w:r>
      <w:r>
        <w:t xml:space="preserve">: l’engagement le plus concret est l’</w:t>
      </w:r>
      <w:r>
        <w:rPr>
          <w:bCs/>
          <w:b/>
        </w:rPr>
        <w:t xml:space="preserve">apurement des 330 M USD d’arriérés de l’État</w:t>
      </w:r>
      <w:r>
        <w:t xml:space="preserve"> </w:t>
      </w:r>
      <w:r>
        <w:t xml:space="preserve">avec calendrier chiffré — à suivre de près [E].</w:t>
      </w:r>
    </w:p>
    <w:p>
      <w:pPr>
        <w:numPr>
          <w:ilvl w:val="0"/>
          <w:numId w:val="1198"/>
        </w:numPr>
        <w:pStyle w:val="Compact"/>
      </w:pPr>
      <w:r>
        <w:rPr>
          <w:bCs/>
          <w:b/>
        </w:rPr>
        <w:t xml:space="preserve">Risques</w:t>
      </w:r>
      <w:r>
        <w:t xml:space="preserve"> </w:t>
      </w:r>
      <w:r>
        <w:t xml:space="preserve">: dépendance à une seule ligne d’importation, qualité des données (chiffres d’accès contradictoires), capacité administrative, faiblesse de la demande (prix élevés) [E].</w:t>
      </w:r>
    </w:p>
    <w:p>
      <w:pPr>
        <w:numPr>
          <w:ilvl w:val="0"/>
          <w:numId w:val="1198"/>
        </w:numPr>
        <w:pStyle w:val="Compact"/>
      </w:pPr>
      <w:r>
        <w:rPr>
          <w:bCs/>
          <w:b/>
        </w:rPr>
        <w:t xml:space="preserve">Phase 2</w:t>
      </w:r>
      <w:r>
        <w:t xml:space="preserve"> </w:t>
      </w:r>
      <w:r>
        <w:t xml:space="preserve">: comptes et audit stratégique d’EDD, plan d’apurement des arriérés.</w:t>
      </w:r>
      <w:r>
        <w:t xml:space="preserve"> </w:t>
      </w:r>
      <w:r>
        <w:rPr>
          <w:bCs/>
          <w:b/>
        </w:rPr>
        <w:t xml:space="preserve">Phase 3</w:t>
      </w:r>
      <w:r>
        <w:t xml:space="preserve"> </w:t>
      </w:r>
      <w:r>
        <w:t xml:space="preserve">: étude de coût de service T4 2026, grille 2019 d’EDD (citée par le pacte), tarif social.</w:t>
      </w:r>
    </w:p>
    <w:bookmarkEnd w:id="210"/>
    <w:bookmarkStart w:id="211" w:name="inconnus-données-non-trouvées-10"/>
    <w:p>
      <w:pPr>
        <w:pStyle w:val="Heading3"/>
      </w:pPr>
      <w:r>
        <w:t xml:space="preserve">7. Inconnus / données non trouvées</w:t>
      </w:r>
    </w:p>
    <w:p>
      <w:pPr>
        <w:numPr>
          <w:ilvl w:val="0"/>
          <w:numId w:val="1199"/>
        </w:numPr>
        <w:pStyle w:val="Compact"/>
      </w:pPr>
      <w:r>
        <w:t xml:space="preserve">Raison de l’absence de Djibouti sur la page BM des pactes [?].</w:t>
      </w:r>
    </w:p>
    <w:p>
      <w:pPr>
        <w:numPr>
          <w:ilvl w:val="0"/>
          <w:numId w:val="1199"/>
        </w:numPr>
        <w:pStyle w:val="Compact"/>
      </w:pPr>
      <w:r>
        <w:t xml:space="preserve">Montant annuel des subventions de l’État à EDD [?].</w:t>
      </w:r>
    </w:p>
    <w:p>
      <w:pPr>
        <w:numPr>
          <w:ilvl w:val="0"/>
          <w:numId w:val="1199"/>
        </w:numPr>
        <w:pStyle w:val="Compact"/>
      </w:pPr>
      <w:r>
        <w:t xml:space="preserve">Comptes d’EDD (résultat, dette) [?].</w:t>
      </w:r>
    </w:p>
    <w:p>
      <w:pPr>
        <w:numPr>
          <w:ilvl w:val="0"/>
          <w:numId w:val="1199"/>
        </w:numPr>
        <w:pStyle w:val="Compact"/>
      </w:pPr>
      <w:r>
        <w:t xml:space="preserve">Version française originale du pacte [?] (non trouvée).</w:t>
      </w:r>
    </w:p>
    <w:bookmarkEnd w:id="211"/>
    <w:bookmarkStart w:id="212" w:name="sources-11"/>
    <w:p>
      <w:pPr>
        <w:pStyle w:val="Heading3"/>
      </w:pPr>
      <w:r>
        <w:t xml:space="preserve">Sources</w:t>
      </w:r>
    </w:p>
    <w:p>
      <w:pPr>
        <w:pStyle w:val="FirstParagraph"/>
      </w:pPr>
      <w:r>
        <w:t xml:space="preserve">[1] République de Djibouti,</w:t>
      </w:r>
      <w:r>
        <w:t xml:space="preserve"> </w:t>
      </w:r>
      <w:r>
        <w:rPr>
          <w:iCs/>
          <w:i/>
        </w:rPr>
        <w:t xml:space="preserve">Djibouti National Energy Compact</w:t>
      </w:r>
      <w:r>
        <w:t xml:space="preserve"> </w:t>
      </w:r>
      <w:r>
        <w:t xml:space="preserve">(Pacte national de l’énergie), Mission 300, juin 2026 (PDF créé le 17/06/2026). https://www.worldbank.org/content/dam/theworldbankgroupasset/document/2026/m300-energy-compacts/Djibouti-National-Energy-Compact-Mission-300.pdf (consulté le 18/10/2026 ; non listé sur la page [3])</w:t>
      </w:r>
      <w:r>
        <w:t xml:space="preserve"> </w:t>
      </w:r>
      <w:r>
        <w:t xml:space="preserve">[2] Banque mondiale, communiqué du 16/06/2026 (six pactes attendus à l’Africa Energy Forum, dont Djibouti). https://www.worldbank.org/en/news/press-release/2026/06/16/under-mission-300-a-new-way-of-doing-business-connects-over-50-million-people-to-electricity-across-africa</w:t>
      </w:r>
      <w:r>
        <w:t xml:space="preserve"> </w:t>
      </w:r>
      <w:r>
        <w:t xml:space="preserve">[3] Banque mondiale, page « National Energy Compacts » (Djibouti absent de la liste au 18/10/2026). https://www.worldbank.org/ext/en/energizingafrica/national-energy-compacts</w:t>
      </w:r>
      <w:r>
        <w:t xml:space="preserve"> </w:t>
      </w:r>
      <w:r>
        <w:t xml:space="preserve">[4] Energy News Network (ENN Editorial Team), « Mission 300’s map fills in with six new compacts », 09/07/2026. https://energy-news-network.com/?p=17200</w:t>
      </w:r>
      <w:r>
        <w:t xml:space="preserve"> </w:t>
      </w:r>
      <w:r>
        <w:t xml:space="preserve">[5] Dawan Africa (S. Abdi, d’après l’ADI), « Djibouti unveils $1.7 billion national energy strategy for 2026-2035 », 25/05/2026. https://www.dawan.africa/news/djibouti-unveils-dollar17-billion-national-energy-strategy-for-2026-2035</w:t>
      </w:r>
    </w:p>
    <w:p>
      <w:r>
        <w:br w:type="page"/>
      </w:r>
    </w:p>
    <w:bookmarkEnd w:id="212"/>
    <w:bookmarkEnd w:id="213"/>
    <w:bookmarkStart w:id="224" w:name="X36e2920108b400b109b30106bc22aa1b9860f7e"/>
    <w:p>
      <w:pPr>
        <w:pStyle w:val="Heading2"/>
      </w:pPr>
      <w:r>
        <w:t xml:space="preserve">Fiche pacte national de l’énergie — Éthiopie</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214" w:name="métadonnées-11"/>
    <w:p>
      <w:pPr>
        <w:pStyle w:val="Heading3"/>
      </w:pPr>
      <w:r>
        <w:t xml:space="preserve">0. Métadonnées</w:t>
      </w:r>
    </w:p>
    <w:p>
      <w:pPr>
        <w:numPr>
          <w:ilvl w:val="0"/>
          <w:numId w:val="1200"/>
        </w:numPr>
        <w:pStyle w:val="Compact"/>
      </w:pPr>
      <w:r>
        <w:rPr>
          <w:bCs/>
          <w:b/>
        </w:rPr>
        <w:t xml:space="preserve">Cohorte / date de présentation</w:t>
      </w:r>
      <w:r>
        <w:t xml:space="preserve"> </w:t>
      </w:r>
      <w:r>
        <w:t xml:space="preserve">: « September 2025 » selon la page Banque mondiale des pactes [2] [V] ; PDF créé le 22/09/2025 [E]. Le rapport d’avancement du Burundi situe la présentation de la 2e cohorte (18 pays) en septembre 2025 au Bloomberg Philanthropies Global Forum (New York) ; participation de l’Éthiopie probable mais non vérifiée [E]. Signataire : [?].</w:t>
      </w:r>
    </w:p>
    <w:p>
      <w:pPr>
        <w:numPr>
          <w:ilvl w:val="0"/>
          <w:numId w:val="1200"/>
        </w:numPr>
        <w:pStyle w:val="Compact"/>
      </w:pPr>
      <w:r>
        <w:rPr>
          <w:bCs/>
          <w:b/>
        </w:rPr>
        <w:t xml:space="preserve">Document consulté</w:t>
      </w:r>
      <w:r>
        <w:t xml:space="preserve"> </w:t>
      </w:r>
      <w:r>
        <w:t xml:space="preserve">: « National Energy Compact for the Federal Democratic Republic of Ethiopia », 48 p., anglais, « Official Use Only », non daté dans le corps [1] [V].</w:t>
      </w:r>
    </w:p>
    <w:p>
      <w:pPr>
        <w:numPr>
          <w:ilvl w:val="0"/>
          <w:numId w:val="1200"/>
        </w:numPr>
        <w:pStyle w:val="Compact"/>
      </w:pPr>
      <w:r>
        <w:rPr>
          <w:bCs/>
          <w:b/>
        </w:rPr>
        <w:t xml:space="preserve">Accès au texte intégral</w:t>
      </w:r>
      <w:r>
        <w:t xml:space="preserve"> </w:t>
      </w:r>
      <w:r>
        <w:t xml:space="preserve">:</w:t>
      </w:r>
      <w:r>
        <w:t xml:space="preserve"> </w:t>
      </w:r>
      <w:r>
        <w:rPr>
          <w:bCs/>
          <w:b/>
        </w:rPr>
        <w:t xml:space="preserve">oui</w:t>
      </w:r>
      <w:r>
        <w:t xml:space="preserve"> </w:t>
      </w:r>
      <w:r>
        <w:t xml:space="preserve">— https://www.worldbank.org/content/dam/theworldbankgroupasset/document/2026/m300-energy-compacts/Ethiopia-National-Energy-Compact-Mission-300.pdf</w:t>
      </w:r>
    </w:p>
    <w:p>
      <w:pPr>
        <w:numPr>
          <w:ilvl w:val="0"/>
          <w:numId w:val="1200"/>
        </w:numPr>
        <w:pStyle w:val="Compact"/>
      </w:pPr>
      <w:r>
        <w:rPr>
          <w:bCs/>
          <w:b/>
        </w:rPr>
        <w:t xml:space="preserve">Opérateurs</w:t>
      </w:r>
      <w:r>
        <w:t xml:space="preserve"> </w:t>
      </w:r>
      <w:r>
        <w:t xml:space="preserve">: secteur public « verticalement dégroupé » —</w:t>
      </w:r>
      <w:r>
        <w:t xml:space="preserve"> </w:t>
      </w:r>
      <w:r>
        <w:rPr>
          <w:bCs/>
          <w:b/>
        </w:rPr>
        <w:t xml:space="preserve">EEP</w:t>
      </w:r>
      <w:r>
        <w:t xml:space="preserve"> </w:t>
      </w:r>
      <w:r>
        <w:t xml:space="preserve">(Ethiopian Electric Power : production et transport, clients industriels HT) et</w:t>
      </w:r>
      <w:r>
        <w:t xml:space="preserve"> </w:t>
      </w:r>
      <w:r>
        <w:rPr>
          <w:bCs/>
          <w:b/>
        </w:rPr>
        <w:t xml:space="preserve">EEU</w:t>
      </w:r>
      <w:r>
        <w:t xml:space="preserve"> </w:t>
      </w:r>
      <w:r>
        <w:t xml:space="preserve">(Ethiopian Electric Utility : distribution) [1] [V]. Holding de l’État :</w:t>
      </w:r>
      <w:r>
        <w:t xml:space="preserve"> </w:t>
      </w:r>
      <w:r>
        <w:rPr>
          <w:bCs/>
          <w:b/>
        </w:rPr>
        <w:t xml:space="preserve">EIH</w:t>
      </w:r>
      <w:r>
        <w:t xml:space="preserve"> </w:t>
      </w:r>
      <w:r>
        <w:t xml:space="preserve">(Ethiopian Investment Holdings), pilote les réformes des entreprises publiques [1] [V].</w:t>
      </w:r>
    </w:p>
    <w:p>
      <w:pPr>
        <w:numPr>
          <w:ilvl w:val="0"/>
          <w:numId w:val="1200"/>
        </w:numPr>
        <w:pStyle w:val="Compact"/>
      </w:pPr>
      <w:r>
        <w:rPr>
          <w:bCs/>
          <w:b/>
        </w:rPr>
        <w:t xml:space="preserve">Régulateur</w:t>
      </w:r>
      <w:r>
        <w:t xml:space="preserve"> </w:t>
      </w:r>
      <w:r>
        <w:t xml:space="preserve">:</w:t>
      </w:r>
      <w:r>
        <w:t xml:space="preserve"> </w:t>
      </w:r>
      <w:r>
        <w:rPr>
          <w:bCs/>
          <w:b/>
        </w:rPr>
        <w:t xml:space="preserve">PEA</w:t>
      </w:r>
      <w:r>
        <w:t xml:space="preserve"> </w:t>
      </w:r>
      <w:r>
        <w:t xml:space="preserve">(Petroleum and Energy Authority) — licences et tarifs [1] [V]. Tutelle : MoWE ; MoF pour la supervision budgétaire [1] [V].</w:t>
      </w:r>
    </w:p>
    <w:bookmarkEnd w:id="214"/>
    <w:bookmarkStart w:id="215" w:name="situation-de-départ-selon-le-pacte-11"/>
    <w:p>
      <w:pPr>
        <w:pStyle w:val="Heading3"/>
      </w:pPr>
      <w:r>
        <w:t xml:space="preserve">1. Situation de départ (selon le pacte)</w:t>
      </w:r>
    </w:p>
    <w:p>
      <w:pPr>
        <w:numPr>
          <w:ilvl w:val="0"/>
          <w:numId w:val="1201"/>
        </w:numPr>
        <w:pStyle w:val="Compact"/>
      </w:pPr>
      <w:r>
        <w:rPr>
          <w:bCs/>
          <w:b/>
        </w:rPr>
        <w:t xml:space="preserve">Accès (Ethiopian Energy Access Survey 2025, MTF, avec la BM)</w:t>
      </w:r>
      <w:r>
        <w:t xml:space="preserve"> </w:t>
      </w:r>
      <w:r>
        <w:t xml:space="preserve">: 65 % des ménages ont au moins une source d’électricité (janv. 2025) — 29,3 % réseau, 35,7 % solaire hors réseau ;</w:t>
      </w:r>
      <w:r>
        <w:t xml:space="preserve"> </w:t>
      </w:r>
      <w:r>
        <w:rPr>
          <w:bCs/>
          <w:b/>
        </w:rPr>
        <w:t xml:space="preserve">seulement 44 % de la population a un service de base (Tier 1+)</w:t>
      </w:r>
      <w:r>
        <w:t xml:space="preserve"> </w:t>
      </w:r>
      <w:r>
        <w:t xml:space="preserve">[1] [V]. 65 % = 72 M de personnes ; 57 % en 2018 [1] [V]. Rural : 37 % (2019) → 57 % (2024) [1] [V].</w:t>
      </w:r>
    </w:p>
    <w:p>
      <w:pPr>
        <w:numPr>
          <w:ilvl w:val="0"/>
          <w:numId w:val="1201"/>
        </w:numPr>
        <w:pStyle w:val="Compact"/>
      </w:pPr>
      <w:r>
        <w:rPr>
          <w:bCs/>
          <w:b/>
        </w:rPr>
        <w:t xml:space="preserve">Population sans accès</w:t>
      </w:r>
      <w:r>
        <w:t xml:space="preserve"> </w:t>
      </w:r>
      <w:r>
        <w:t xml:space="preserve">: ≈ 56 % sans service électrique de base [1] [V]. Population &gt; 110 M [1] [V].</w:t>
      </w:r>
    </w:p>
    <w:p>
      <w:pPr>
        <w:numPr>
          <w:ilvl w:val="0"/>
          <w:numId w:val="1201"/>
        </w:numPr>
        <w:pStyle w:val="Compact"/>
      </w:pPr>
      <w:r>
        <w:rPr>
          <w:bCs/>
          <w:b/>
        </w:rPr>
        <w:t xml:space="preserve">Capacité</w:t>
      </w:r>
      <w:r>
        <w:t xml:space="preserve"> </w:t>
      </w:r>
      <w:r>
        <w:t xml:space="preserve">: 9 761 MW (2025) — hydro 9 212 MW, éolien 524 MW, déchets-énergie 25 MW ; &gt; 95 % renouvelable, &gt; 95 % hydro dans la production ; non-hydro ≈ 5,6 % de la capacité [1] [V]. Demande en hausse de 12 %/an [1] [V]. Réseau de transport 20 390 km, 144 postes ; distribution 179 000 km [1] [V].</w:t>
      </w:r>
    </w:p>
    <w:p>
      <w:pPr>
        <w:numPr>
          <w:ilvl w:val="0"/>
          <w:numId w:val="1201"/>
        </w:numPr>
        <w:pStyle w:val="Compact"/>
      </w:pPr>
      <w:r>
        <w:rPr>
          <w:bCs/>
          <w:b/>
        </w:rPr>
        <w:t xml:space="preserve">Cuisson propre</w:t>
      </w:r>
      <w:r>
        <w:t xml:space="preserve"> </w:t>
      </w:r>
      <w:r>
        <w:t xml:space="preserve">: ≈ 8 % (estimation 2025) ; 92 % des ménages utilisent le bois (91 % rural, 59 % urbain) [1] [V].</w:t>
      </w:r>
    </w:p>
    <w:bookmarkEnd w:id="215"/>
    <w:bookmarkStart w:id="216" w:name="cibles-2030-10"/>
    <w:p>
      <w:pPr>
        <w:pStyle w:val="Heading3"/>
      </w:pPr>
      <w:r>
        <w:t xml:space="preserve">2. Cibles 2030</w:t>
      </w:r>
    </w:p>
    <w:p>
      <w:pPr>
        <w:numPr>
          <w:ilvl w:val="0"/>
          <w:numId w:val="1202"/>
        </w:numPr>
        <w:pStyle w:val="Compact"/>
      </w:pPr>
      <w:r>
        <w:rPr>
          <w:bCs/>
          <w:b/>
        </w:rPr>
        <w:t xml:space="preserve">Électricité</w:t>
      </w:r>
      <w:r>
        <w:t xml:space="preserve"> </w:t>
      </w:r>
      <w:r>
        <w:t xml:space="preserve">: accès de base 44 % →</w:t>
      </w:r>
      <w:r>
        <w:t xml:space="preserve"> </w:t>
      </w:r>
      <w:r>
        <w:rPr>
          <w:bCs/>
          <w:b/>
        </w:rPr>
        <w:t xml:space="preserve">75 %</w:t>
      </w:r>
      <w:r>
        <w:t xml:space="preserve"> </w:t>
      </w:r>
      <w:r>
        <w:t xml:space="preserve">(70 % réseau / 30 % hors réseau Tier 1+) ;</w:t>
      </w:r>
      <w:r>
        <w:t xml:space="preserve"> </w:t>
      </w:r>
      <w:r>
        <w:rPr>
          <w:bCs/>
          <w:b/>
        </w:rPr>
        <w:t xml:space="preserve">+ 9,23 M</w:t>
      </w:r>
      <w:r>
        <w:t xml:space="preserve"> </w:t>
      </w:r>
      <w:r>
        <w:t xml:space="preserve">ménages (nouveaux raccordements et régularisations de raccordements informels) [1] [V]. Ventilation 2026-2030 : 6,46 M réseau + 2,77 M hors réseau ; programmes existants (ASCENT/PRIME, ADELE) ≈ 2,98 M ; écart à financer 6,25 M (≈ 1,25 M/an) [1] [V].</w:t>
      </w:r>
    </w:p>
    <w:p>
      <w:pPr>
        <w:numPr>
          <w:ilvl w:val="0"/>
          <w:numId w:val="1202"/>
        </w:numPr>
        <w:pStyle w:val="Compact"/>
      </w:pPr>
      <w:r>
        <w:rPr>
          <w:bCs/>
          <w:b/>
        </w:rPr>
        <w:t xml:space="preserve">Renouvelables</w:t>
      </w:r>
      <w:r>
        <w:t xml:space="preserve"> </w:t>
      </w:r>
      <w:r>
        <w:t xml:space="preserve">: capacité 9 761 → jusqu’à 14 000 MW ; non-hydro 5,6 % → ≥ 15 % [1] [V]. Engagés : Koysha 1 800 MW (hydro), Aluto ≤ 70 MW (géothermie), Aysha I 300 MW (éolien), 325 MW solaire public ; 225 MW solaire IPP/PPP en passation ; à financer : 802 MW éolien, 625 MW solaire [1] [V].</w:t>
      </w:r>
    </w:p>
    <w:p>
      <w:pPr>
        <w:numPr>
          <w:ilvl w:val="0"/>
          <w:numId w:val="1202"/>
        </w:numPr>
        <w:pStyle w:val="Compact"/>
      </w:pPr>
      <w:r>
        <w:rPr>
          <w:bCs/>
          <w:b/>
        </w:rPr>
        <w:t xml:space="preserve">Cuisson propre</w:t>
      </w:r>
      <w:r>
        <w:t xml:space="preserve"> </w:t>
      </w:r>
      <w:r>
        <w:t xml:space="preserve">: 8 % →</w:t>
      </w:r>
      <w:r>
        <w:t xml:space="preserve"> </w:t>
      </w:r>
      <w:r>
        <w:rPr>
          <w:bCs/>
          <w:b/>
        </w:rPr>
        <w:t xml:space="preserve">57,74 %</w:t>
      </w:r>
      <w:r>
        <w:t xml:space="preserve"> </w:t>
      </w:r>
      <w:r>
        <w:t xml:space="preserve">(feuille de route nationale) [1] [V].</w:t>
      </w:r>
    </w:p>
    <w:p>
      <w:pPr>
        <w:numPr>
          <w:ilvl w:val="0"/>
          <w:numId w:val="1202"/>
        </w:numPr>
        <w:pStyle w:val="Compact"/>
      </w:pPr>
      <w:r>
        <w:rPr>
          <w:bCs/>
          <w:b/>
        </w:rPr>
        <w:t xml:space="preserve">Capitaux privés</w:t>
      </w:r>
      <w:r>
        <w:t xml:space="preserve"> </w:t>
      </w:r>
      <w:r>
        <w:t xml:space="preserve">: ≈ 0,5 Md USD → ≥ 3,06 Md USD [1] [V].</w:t>
      </w:r>
    </w:p>
    <w:p>
      <w:pPr>
        <w:numPr>
          <w:ilvl w:val="0"/>
          <w:numId w:val="1202"/>
        </w:numPr>
        <w:pStyle w:val="Compact"/>
      </w:pPr>
      <w:r>
        <w:rPr>
          <w:bCs/>
          <w:b/>
        </w:rPr>
        <w:t xml:space="preserve">Pertes</w:t>
      </w:r>
      <w:r>
        <w:t xml:space="preserve"> </w:t>
      </w:r>
      <w:r>
        <w:t xml:space="preserve">: transport 6 % → 5,5 % ; distribution 22 % → 13 % ; commerciales 10 % → 4,5 % ; total T&amp;D &gt; 27 % → &lt; 19 % [1] [V].</w:t>
      </w:r>
    </w:p>
    <w:p>
      <w:pPr>
        <w:numPr>
          <w:ilvl w:val="0"/>
          <w:numId w:val="1202"/>
        </w:numPr>
        <w:pStyle w:val="Compact"/>
      </w:pPr>
      <w:r>
        <w:rPr>
          <w:bCs/>
          <w:b/>
        </w:rPr>
        <w:t xml:space="preserve">Autres</w:t>
      </w:r>
      <w:r>
        <w:t xml:space="preserve"> </w:t>
      </w:r>
      <w:r>
        <w:t xml:space="preserve">: transport 30 000 km (323 postes) ; distribution 456 000 km ; exportations ≈ 1 500 GWh → &gt; 5 000 GWh/an ; usages productifs &lt; 2 % → ≥ 50 % (pompes solaires d’irrigation) [1] [V].</w:t>
      </w:r>
    </w:p>
    <w:bookmarkEnd w:id="216"/>
    <w:bookmarkStart w:id="218" w:name="réformes-promises-cœur-de-lanalyse-8"/>
    <w:p>
      <w:pPr>
        <w:pStyle w:val="Heading3"/>
      </w:pPr>
      <w:r>
        <w:t xml:space="preserve">3. Réformes promises (cœur de l’analyse)</w:t>
      </w:r>
    </w:p>
    <w:bookmarkStart w:id="217" w:name="tarifs-et-subventions-11"/>
    <w:p>
      <w:pPr>
        <w:pStyle w:val="Heading4"/>
      </w:pPr>
      <w:r>
        <w:t xml:space="preserve">3.1 Tarifs et subventions</w:t>
      </w:r>
    </w:p>
    <w:p>
      <w:pPr>
        <w:numPr>
          <w:ilvl w:val="0"/>
          <w:numId w:val="1203"/>
        </w:numPr>
        <w:pStyle w:val="Compact"/>
      </w:pPr>
      <w:r>
        <w:rPr>
          <w:bCs/>
          <w:b/>
        </w:rPr>
        <w:t xml:space="preserve">Pleine couverture des coûts (OPEX + service de la dette) d’ici 2028</w:t>
      </w:r>
      <w:r>
        <w:t xml:space="preserve"> </w:t>
      </w:r>
      <w:r>
        <w:t xml:space="preserve">pour EEP et EEU par des</w:t>
      </w:r>
      <w:r>
        <w:t xml:space="preserve"> </w:t>
      </w:r>
      <w:r>
        <w:rPr>
          <w:bCs/>
          <w:b/>
        </w:rPr>
        <w:t xml:space="preserve">ajustements tarifaires échelonnés</w:t>
      </w:r>
      <w:r>
        <w:t xml:space="preserve"> </w:t>
      </w:r>
      <w:r>
        <w:t xml:space="preserve">(base actuelle : &lt; 60 % de recouvrement) [1] [V]. Feuille de route : couverture totale de l’OPEX en 2024-2025, coûts complets y compris dette en 2028-2030 [1] [V].</w:t>
      </w:r>
    </w:p>
    <w:p>
      <w:pPr>
        <w:numPr>
          <w:ilvl w:val="0"/>
          <w:numId w:val="1203"/>
        </w:numPr>
        <w:pStyle w:val="Compact"/>
      </w:pPr>
      <w:r>
        <w:rPr>
          <w:bCs/>
          <w:b/>
        </w:rPr>
        <w:t xml:space="preserve">Fin de la dépendance au budget</w:t>
      </w:r>
      <w:r>
        <w:t xml:space="preserve"> </w:t>
      </w:r>
      <w:r>
        <w:t xml:space="preserve">: « No reliance on public budget support » en 2030 ; passage progressif à l’autofinancement 2025-2028 [1] [V].</w:t>
      </w:r>
    </w:p>
    <w:p>
      <w:pPr>
        <w:numPr>
          <w:ilvl w:val="0"/>
          <w:numId w:val="1203"/>
        </w:numPr>
        <w:pStyle w:val="Compact"/>
      </w:pPr>
      <w:r>
        <w:rPr>
          <w:bCs/>
          <w:b/>
        </w:rPr>
        <w:t xml:space="preserve">Mécanisme de subvention en capital ciblé via une obligation de service public (PSO)</w:t>
      </w:r>
      <w:r>
        <w:t xml:space="preserve"> </w:t>
      </w:r>
      <w:r>
        <w:t xml:space="preserve">pour protéger les ménages vulnérables [1] [V]. Contribution de l’État affichée au plan de financement « PSO pour l’accès universel et la cuisson propre » :</w:t>
      </w:r>
      <w:r>
        <w:t xml:space="preserve"> </w:t>
      </w:r>
      <w:r>
        <w:rPr>
          <w:bCs/>
          <w:b/>
        </w:rPr>
        <w:t xml:space="preserve">163 300 USD</w:t>
      </w:r>
      <w:r>
        <w:t xml:space="preserve"> </w:t>
      </w:r>
      <w:r>
        <w:t xml:space="preserve">(montant cohérent avec le total de 9 646,04 M USD, donc a priori pas une coquille) [1] [V].</w:t>
      </w:r>
    </w:p>
    <w:p>
      <w:pPr>
        <w:numPr>
          <w:ilvl w:val="0"/>
          <w:numId w:val="1203"/>
        </w:numPr>
        <w:pStyle w:val="Compact"/>
      </w:pPr>
      <w:r>
        <w:t xml:space="preserve">Contribution des clients au raccordement : 77,33 USD/ménage (406,76 M USD au total) [1] [V].</w:t>
      </w:r>
    </w:p>
    <w:p>
      <w:pPr>
        <w:numPr>
          <w:ilvl w:val="0"/>
          <w:numId w:val="1203"/>
        </w:numPr>
        <w:pStyle w:val="Compact"/>
      </w:pPr>
      <w:r>
        <w:t xml:space="preserve">Le pacte mentionne aussi l’« élimination des subventions aux combustibles fossiles » [1] [V] et un conseil BM pour la « préparation de l’ajustement tarifaire » (1 M USD, 2028) [1] [V].</w:t>
      </w:r>
    </w:p>
    <w:p>
      <w:pPr>
        <w:numPr>
          <w:ilvl w:val="0"/>
          <w:numId w:val="1203"/>
        </w:numPr>
        <w:pStyle w:val="Compact"/>
      </w:pPr>
      <w:r>
        <w:rPr>
          <w:bCs/>
          <w:b/>
        </w:rPr>
        <w:t xml:space="preserve">Contexte (sources secondaires)</w:t>
      </w:r>
      <w:r>
        <w:t xml:space="preserve"> </w:t>
      </w:r>
      <w:r>
        <w:t xml:space="preserve">: réforme tarifaire quadriennale approuvée par le Conseil des ministres, lancée en</w:t>
      </w:r>
      <w:r>
        <w:t xml:space="preserve"> </w:t>
      </w:r>
      <w:r>
        <w:rPr>
          <w:bCs/>
          <w:b/>
        </w:rPr>
        <w:t xml:space="preserve">septembre 2024</w:t>
      </w:r>
      <w:r>
        <w:t xml:space="preserve">, 16 hausses trimestrielles prévues (8e en juin 2026) ; d’ici 2028 les ménages paieront</w:t>
      </w:r>
      <w:r>
        <w:t xml:space="preserve"> </w:t>
      </w:r>
      <w:r>
        <w:rPr>
          <w:bCs/>
          <w:b/>
        </w:rPr>
        <w:t xml:space="preserve">4 à 6 fois</w:t>
      </w:r>
      <w:r>
        <w:t xml:space="preserve"> </w:t>
      </w:r>
      <w:r>
        <w:t xml:space="preserve">plus qu’avant la réforme, commerces ×5, industrie ×6 ; la structure progressive s’érode malgré les subventions croisées ; engagement de supprimer les subventions électriques d’ici 2027/28 dans le cadre du programme FMI [4] [S]. Shega évoque une hausse moyenne d’environ 400 % d’ici 2028 [5] [S] (non vérifié en détail).</w:t>
      </w:r>
      <w:r>
        <w:t xml:space="preserve"> </w:t>
      </w:r>
      <w:r>
        <w:t xml:space="preserve">#### 3.2 Opérateur</w:t>
      </w:r>
    </w:p>
    <w:p>
      <w:pPr>
        <w:numPr>
          <w:ilvl w:val="0"/>
          <w:numId w:val="1203"/>
        </w:numPr>
        <w:pStyle w:val="Compact"/>
      </w:pPr>
      <w:r>
        <w:rPr>
          <w:bCs/>
          <w:b/>
        </w:rPr>
        <w:t xml:space="preserve">Contrats de performance</w:t>
      </w:r>
      <w:r>
        <w:t xml:space="preserve"> </w:t>
      </w:r>
      <w:r>
        <w:t xml:space="preserve">signés avec EEP et EEU (2024-2025) [1] [V].</w:t>
      </w:r>
    </w:p>
    <w:p>
      <w:pPr>
        <w:numPr>
          <w:ilvl w:val="0"/>
          <w:numId w:val="1203"/>
        </w:numPr>
        <w:pStyle w:val="Compact"/>
      </w:pPr>
      <w:r>
        <w:rPr>
          <w:bCs/>
          <w:b/>
        </w:rPr>
        <w:t xml:space="preserve">Comptage</w:t>
      </w:r>
      <w:r>
        <w:t xml:space="preserve"> </w:t>
      </w:r>
      <w:r>
        <w:t xml:space="preserve">: couverture &lt; 10 % → &gt; 80 % ;</w:t>
      </w:r>
      <w:r>
        <w:t xml:space="preserve"> </w:t>
      </w:r>
      <w:r>
        <w:rPr>
          <w:bCs/>
          <w:b/>
        </w:rPr>
        <w:t xml:space="preserve">recouvrement &gt; 90 %</w:t>
      </w:r>
      <w:r>
        <w:t xml:space="preserve"> </w:t>
      </w:r>
      <w:r>
        <w:t xml:space="preserve">(base « faible », non chiffrée) ; AMI, ERP (SAP S/4HANA, 20 M USD BM), centre de contrôle des compteurs [1] [V].</w:t>
      </w:r>
    </w:p>
    <w:p>
      <w:pPr>
        <w:numPr>
          <w:ilvl w:val="0"/>
          <w:numId w:val="1203"/>
        </w:numPr>
        <w:pStyle w:val="Compact"/>
      </w:pPr>
      <w:r>
        <w:t xml:space="preserve">Arriérés publics et privés « élevés », recouvrement forcé « faible » ; états financiers « souvent en retard » ; dettes héritées [1] [V]. Montants : [?].</w:t>
      </w:r>
    </w:p>
    <w:p>
      <w:pPr>
        <w:numPr>
          <w:ilvl w:val="0"/>
          <w:numId w:val="1203"/>
        </w:numPr>
        <w:pStyle w:val="Compact"/>
      </w:pPr>
      <w:r>
        <w:t xml:space="preserve">Programme de réhabilitation de 200 villes (MV) ; 100 Towns (246 M USD, non financé) [1] [V].</w:t>
      </w:r>
    </w:p>
    <w:p>
      <w:pPr>
        <w:numPr>
          <w:ilvl w:val="0"/>
          <w:numId w:val="1203"/>
        </w:numPr>
        <w:pStyle w:val="Compact"/>
      </w:pPr>
      <w:r>
        <w:t xml:space="preserve">Contribution des bilans EEP (1 Md USD) et EEU (179 M USD) au plan d’investissement [1] [V].</w:t>
      </w:r>
      <w:r>
        <w:t xml:space="preserve"> </w:t>
      </w:r>
      <w:r>
        <w:t xml:space="preserve">#### 3.3 Régulation et gouvernance</w:t>
      </w:r>
    </w:p>
    <w:p>
      <w:pPr>
        <w:numPr>
          <w:ilvl w:val="0"/>
          <w:numId w:val="1203"/>
        </w:numPr>
        <w:pStyle w:val="Compact"/>
      </w:pPr>
      <w:r>
        <w:t xml:space="preserve">IRP finalisé mi-2025, mis à jour tous les 4 ans avec consultation [1] [V].</w:t>
      </w:r>
    </w:p>
    <w:p>
      <w:pPr>
        <w:numPr>
          <w:ilvl w:val="0"/>
          <w:numId w:val="1203"/>
        </w:numPr>
        <w:pStyle w:val="Compact"/>
      </w:pPr>
      <w:r>
        <w:t xml:space="preserve">Renforcement de la PEA (mandat de supervision et d’exécution) ; clarification des rôles MoWE / EEP / EEU / EIH / PEA / États régionaux [1] [V].</w:t>
      </w:r>
    </w:p>
    <w:p>
      <w:pPr>
        <w:numPr>
          <w:ilvl w:val="0"/>
          <w:numId w:val="1203"/>
        </w:numPr>
        <w:pStyle w:val="Compact"/>
      </w:pPr>
      <w:r>
        <w:t xml:space="preserve">Réformes adossées aux</w:t>
      </w:r>
      <w:r>
        <w:t xml:space="preserve"> </w:t>
      </w:r>
      <w:r>
        <w:rPr>
          <w:bCs/>
          <w:b/>
        </w:rPr>
        <w:t xml:space="preserve">DPO de la Banque mondiale</w:t>
      </w:r>
      <w:r>
        <w:t xml:space="preserve">, au plan Power Sector Reform (PSR) et au programme</w:t>
      </w:r>
      <w:r>
        <w:t xml:space="preserve"> </w:t>
      </w:r>
      <w:r>
        <w:rPr>
          <w:bCs/>
          <w:b/>
        </w:rPr>
        <w:t xml:space="preserve">PRIME</w:t>
      </w:r>
      <w:r>
        <w:t xml:space="preserve"> </w:t>
      </w:r>
      <w:r>
        <w:t xml:space="preserve">(Power Sector Reform, Investment and Modernization in Ethiopia) [1] [V].</w:t>
      </w:r>
    </w:p>
    <w:p>
      <w:pPr>
        <w:numPr>
          <w:ilvl w:val="0"/>
          <w:numId w:val="1203"/>
        </w:numPr>
        <w:pStyle w:val="Compact"/>
      </w:pPr>
      <w:r>
        <w:t xml:space="preserve">CDMU — mise en place « conditionnée au financement lié au pacte » ; Comité de pilotage NECSC ; rapports trimestriels et annuels (au Parlement), évaluations mi-parcours (2027-2028) et finale (2030) indépendantes [1] [V].</w:t>
      </w:r>
      <w:r>
        <w:t xml:space="preserve"> </w:t>
      </w:r>
      <w:r>
        <w:t xml:space="preserve">#### 3.4 Participation du privé</w:t>
      </w:r>
    </w:p>
    <w:p>
      <w:pPr>
        <w:numPr>
          <w:ilvl w:val="0"/>
          <w:numId w:val="1203"/>
        </w:numPr>
        <w:pStyle w:val="Compact"/>
      </w:pPr>
      <w:r>
        <w:t xml:space="preserve">Cadre de passation IPP ENR concurrentiel (2025) ; REI4P (2025-2028) ; cadre PPP pour le transport privé d’ici 2027 [1] [V].</w:t>
      </w:r>
    </w:p>
    <w:p>
      <w:pPr>
        <w:numPr>
          <w:ilvl w:val="0"/>
          <w:numId w:val="1203"/>
        </w:numPr>
        <w:pStyle w:val="Compact"/>
      </w:pPr>
      <w:r>
        <w:t xml:space="preserve">Facilité de préparation de projets (2025) ; rétablissement du Fonds d’électrification rurale ; feuille de route participation privée ; réforme des licences/permis (2024-2026) [1] [V].</w:t>
      </w:r>
    </w:p>
    <w:p>
      <w:pPr>
        <w:numPr>
          <w:ilvl w:val="0"/>
          <w:numId w:val="1203"/>
        </w:numPr>
        <w:pStyle w:val="Compact"/>
      </w:pPr>
      <w:r>
        <w:t xml:space="preserve">Atténuation du risque de change : garanties MIGA/IDA, modèles de PPA standardisés, helpdesk IPP au MoF [1] [V].</w:t>
      </w:r>
      <w:r>
        <w:t xml:space="preserve"> </w:t>
      </w:r>
      <w:r>
        <w:t xml:space="preserve">#### 3.5 Intégration régionale</w:t>
      </w:r>
    </w:p>
    <w:p>
      <w:pPr>
        <w:numPr>
          <w:ilvl w:val="0"/>
          <w:numId w:val="1203"/>
        </w:numPr>
        <w:pStyle w:val="Compact"/>
      </w:pPr>
      <w:r>
        <w:t xml:space="preserve">Exportations vers Kenya, Soudan, Djibouti, Tanzanie ; PPA à signer avec le Soudan du Sud et la Somalie ; interconnexions Semera–Nagad (Djibouti, BAD 58,18 M USD), Gambela–Malakal (Soudan du Sud, 161,7 M USD), Éthiopie–Somaliland 230 kV ; unité de négoce au sein d’EEP ; harmonisation des règles EAPP [1] [V].</w:t>
      </w:r>
      <w:r>
        <w:t xml:space="preserve"> </w:t>
      </w:r>
      <w:r>
        <w:t xml:space="preserve">#### 3.6 Autres</w:t>
      </w:r>
    </w:p>
    <w:p>
      <w:pPr>
        <w:numPr>
          <w:ilvl w:val="0"/>
          <w:numId w:val="1203"/>
        </w:numPr>
        <w:pStyle w:val="Compact"/>
      </w:pPr>
      <w:r>
        <w:t xml:space="preserve">Genre, emplois, numérisation (jumeaux numériques, réseaux intelligents) [1] [V]. Libéralisation du change dans le cadre de HGER 2.0 [1] [V].</w:t>
      </w:r>
    </w:p>
    <w:bookmarkEnd w:id="217"/>
    <w:bookmarkEnd w:id="218"/>
    <w:bookmarkStart w:id="219" w:name="financement-11"/>
    <w:p>
      <w:pPr>
        <w:pStyle w:val="Heading3"/>
      </w:pPr>
      <w:r>
        <w:t xml:space="preserve">4. Financement</w:t>
      </w:r>
    </w:p>
    <w:p>
      <w:pPr>
        <w:numPr>
          <w:ilvl w:val="0"/>
          <w:numId w:val="1204"/>
        </w:numPr>
        <w:pStyle w:val="Compact"/>
      </w:pPr>
      <w:r>
        <w:rPr>
          <w:bCs/>
          <w:b/>
        </w:rPr>
        <w:t xml:space="preserve">Besoin 2026-2030</w:t>
      </w:r>
      <w:r>
        <w:t xml:space="preserve"> </w:t>
      </w:r>
      <w:r>
        <w:t xml:space="preserve">: 9 646,04 M USD — public 6 584,24 M, privé 3 061,8 M [1] [V]. Par segment : production 1 655 ; transport 2 084,64 ; distribution 3 144,7 ; dernier km réseau 406,7 ; hors réseau 1 355 ; cuisson propre 1 000 (M USD) [1] [V]. Accès seul : 4 906,5 M USD [1] [V].</w:t>
      </w:r>
    </w:p>
    <w:p>
      <w:pPr>
        <w:numPr>
          <w:ilvl w:val="0"/>
          <w:numId w:val="1204"/>
        </w:numPr>
        <w:pStyle w:val="Compact"/>
      </w:pPr>
      <w:r>
        <w:rPr>
          <w:bCs/>
          <w:b/>
        </w:rPr>
        <w:t xml:space="preserve">Sources</w:t>
      </w:r>
      <w:r>
        <w:t xml:space="preserve"> </w:t>
      </w:r>
      <w:r>
        <w:t xml:space="preserve">: partenaires au développement (dons/prêts) 4 997,9 M USD ; privé 3 061,8 M ; bilans EEP/EEU 1 179,42 M ; clients 406,76 M ; État 0,16 M [1] [V].</w:t>
      </w:r>
    </w:p>
    <w:p>
      <w:pPr>
        <w:numPr>
          <w:ilvl w:val="0"/>
          <w:numId w:val="1204"/>
        </w:numPr>
        <w:pStyle w:val="Compact"/>
      </w:pPr>
      <w:r>
        <w:rPr>
          <w:bCs/>
          <w:b/>
        </w:rPr>
        <w:t xml:space="preserve">Projets engagés cités</w:t>
      </w:r>
      <w:r>
        <w:t xml:space="preserve"> </w:t>
      </w:r>
      <w:r>
        <w:t xml:space="preserve">: génération/transport 2 853,81 M USD, distribution 5 268,40 M USD [1] [V] ; BM — nombreux postes/lignes, AMI, ADELE (composantes de 69,41 ; 61,34 ; 270 ; 55 M USD) ; BAD — interconnexion Djibouti, Eastern Grid (104 M USD), Hurso–Jijiga (187,75 M USD) [1] [V]. Nouveaux engagements M300 spécifiques : [?].</w:t>
      </w:r>
    </w:p>
    <w:bookmarkEnd w:id="219"/>
    <w:bookmarkStart w:id="220" w:name="calendrier-et-suivi-11"/>
    <w:p>
      <w:pPr>
        <w:pStyle w:val="Heading3"/>
      </w:pPr>
      <w:r>
        <w:t xml:space="preserve">5. Calendrier et suivi</w:t>
      </w:r>
    </w:p>
    <w:p>
      <w:pPr>
        <w:numPr>
          <w:ilvl w:val="0"/>
          <w:numId w:val="1205"/>
        </w:numPr>
        <w:pStyle w:val="Compact"/>
      </w:pPr>
      <w:r>
        <w:t xml:space="preserve">Feuille de route en trois phases (2024-2025, 2026-2027, 2028-2030) [1] [V].</w:t>
      </w:r>
    </w:p>
    <w:p>
      <w:pPr>
        <w:numPr>
          <w:ilvl w:val="0"/>
          <w:numId w:val="1205"/>
        </w:numPr>
        <w:pStyle w:val="Compact"/>
      </w:pPr>
      <w:r>
        <w:t xml:space="preserve">Pas de rapport d’avancement Éthiopie sur la page BM à la date de consultation [2] [V]. La BM annonce 4,6 M de personnes raccordées en Éthiopie sous Mission 300 (juin 2026) [3] [V].</w:t>
      </w:r>
    </w:p>
    <w:bookmarkEnd w:id="220"/>
    <w:bookmarkStart w:id="221" w:name="lecture-critique-8"/>
    <w:p>
      <w:pPr>
        <w:pStyle w:val="Heading3"/>
      </w:pPr>
      <w:r>
        <w:t xml:space="preserve">6. Lecture critique</w:t>
      </w:r>
    </w:p>
    <w:p>
      <w:pPr>
        <w:numPr>
          <w:ilvl w:val="0"/>
          <w:numId w:val="1206"/>
        </w:numPr>
        <w:pStyle w:val="Compact"/>
      </w:pPr>
      <w:r>
        <w:rPr>
          <w:bCs/>
          <w:b/>
        </w:rPr>
        <w:t xml:space="preserve">Réalisme</w:t>
      </w:r>
      <w:r>
        <w:t xml:space="preserve"> </w:t>
      </w:r>
      <w:r>
        <w:t xml:space="preserve">: 9,23 M ménages en 5 ans (≈ 1,85 M/an) contre ≈ 596 000/an via les programmes existants — un triplement [1] [E]. L’inclusion des « régularisations » de raccordements informels gonfle mécaniquement la cible [E].</w:t>
      </w:r>
    </w:p>
    <w:p>
      <w:pPr>
        <w:numPr>
          <w:ilvl w:val="0"/>
          <w:numId w:val="1206"/>
        </w:numPr>
        <w:pStyle w:val="Compact"/>
      </w:pPr>
      <w:r>
        <w:rPr>
          <w:bCs/>
          <w:b/>
        </w:rPr>
        <w:t xml:space="preserve">Tarifs</w:t>
      </w:r>
      <w:r>
        <w:t xml:space="preserve"> </w:t>
      </w:r>
      <w:r>
        <w:t xml:space="preserve">: l’engagement le plus précis des pactes examinés : échéance 2028, définition (OPEX + dette), base (&lt; 60 %) — et déjà en cours d’exécution (réforme de sept. 2024, ancrée au programme FMI/IDA) [1][4] [V/S]. Mais le choc tarifaire (×4 à ×6) pèse sur l’abordabilité, alors que l’État ne met que 0,16 M USD dans la PSO : la protection des vulnérables est quasi non financée [E].</w:t>
      </w:r>
    </w:p>
    <w:p>
      <w:pPr>
        <w:numPr>
          <w:ilvl w:val="0"/>
          <w:numId w:val="1206"/>
        </w:numPr>
        <w:pStyle w:val="Compact"/>
      </w:pPr>
      <w:r>
        <w:rPr>
          <w:bCs/>
          <w:b/>
        </w:rPr>
        <w:t xml:space="preserve">Opérateur</w:t>
      </w:r>
      <w:r>
        <w:t xml:space="preserve"> </w:t>
      </w:r>
      <w:r>
        <w:t xml:space="preserve">: cibles de pertes et de comptage ambitieuses (comptage &lt; 10 % → 80 %) ; dépendance forte au financement des bailleurs (≈ 52 % du total) [E].</w:t>
      </w:r>
    </w:p>
    <w:p>
      <w:pPr>
        <w:numPr>
          <w:ilvl w:val="0"/>
          <w:numId w:val="1206"/>
        </w:numPr>
        <w:pStyle w:val="Compact"/>
      </w:pPr>
      <w:r>
        <w:rPr>
          <w:bCs/>
          <w:b/>
        </w:rPr>
        <w:t xml:space="preserve">Risques</w:t>
      </w:r>
      <w:r>
        <w:t xml:space="preserve"> </w:t>
      </w:r>
      <w:r>
        <w:t xml:space="preserve">: dette souveraine (restructuration Cadre commun), change, hydrologie (&gt; 95 % hydro), conflits régionaux (non mentionnés dans le pacte), acceptabilité sociale des hausses [E].</w:t>
      </w:r>
    </w:p>
    <w:p>
      <w:pPr>
        <w:numPr>
          <w:ilvl w:val="0"/>
          <w:numId w:val="1206"/>
        </w:numPr>
        <w:pStyle w:val="Compact"/>
      </w:pPr>
      <w:r>
        <w:rPr>
          <w:bCs/>
          <w:b/>
        </w:rPr>
        <w:t xml:space="preserve">Phase 2</w:t>
      </w:r>
      <w:r>
        <w:t xml:space="preserve"> </w:t>
      </w:r>
      <w:r>
        <w:t xml:space="preserve">: comptes EEP/EEU, contrats de performance, arriérés publics.</w:t>
      </w:r>
      <w:r>
        <w:t xml:space="preserve"> </w:t>
      </w:r>
      <w:r>
        <w:rPr>
          <w:bCs/>
          <w:b/>
        </w:rPr>
        <w:t xml:space="preserve">Phase 3</w:t>
      </w:r>
      <w:r>
        <w:t xml:space="preserve"> </w:t>
      </w:r>
      <w:r>
        <w:t xml:space="preserve">: calendrier trimestriel des hausses, structure des tranches sociales, coût de service réel (≈ 9,2 c/kWh selon [4]).</w:t>
      </w:r>
    </w:p>
    <w:bookmarkEnd w:id="221"/>
    <w:bookmarkStart w:id="222" w:name="inconnus-données-non-trouvées-11"/>
    <w:p>
      <w:pPr>
        <w:pStyle w:val="Heading3"/>
      </w:pPr>
      <w:r>
        <w:t xml:space="preserve">7. Inconnus / données non trouvées</w:t>
      </w:r>
    </w:p>
    <w:p>
      <w:pPr>
        <w:numPr>
          <w:ilvl w:val="0"/>
          <w:numId w:val="1207"/>
        </w:numPr>
        <w:pStyle w:val="Compact"/>
      </w:pPr>
      <w:r>
        <w:t xml:space="preserve">Tarif moyen actuel et grille par tranche [?] (non donné dans le pacte).</w:t>
      </w:r>
    </w:p>
    <w:p>
      <w:pPr>
        <w:numPr>
          <w:ilvl w:val="0"/>
          <w:numId w:val="1207"/>
        </w:numPr>
        <w:pStyle w:val="Compact"/>
      </w:pPr>
      <w:r>
        <w:t xml:space="preserve">Montant des arriérés et taux de recouvrement actuels [?].</w:t>
      </w:r>
    </w:p>
    <w:p>
      <w:pPr>
        <w:numPr>
          <w:ilvl w:val="0"/>
          <w:numId w:val="1207"/>
        </w:numPr>
        <w:pStyle w:val="Compact"/>
      </w:pPr>
      <w:r>
        <w:t xml:space="preserve">Signataire et événement de lancement [?].</w:t>
      </w:r>
    </w:p>
    <w:p>
      <w:pPr>
        <w:numPr>
          <w:ilvl w:val="0"/>
          <w:numId w:val="1207"/>
        </w:numPr>
        <w:pStyle w:val="Compact"/>
      </w:pPr>
      <w:r>
        <w:t xml:space="preserve">Conception détaillée de la PSO [?].</w:t>
      </w:r>
    </w:p>
    <w:bookmarkEnd w:id="222"/>
    <w:bookmarkStart w:id="223" w:name="sources-12"/>
    <w:p>
      <w:pPr>
        <w:pStyle w:val="Heading3"/>
      </w:pPr>
      <w:r>
        <w:t xml:space="preserve">Sources</w:t>
      </w:r>
    </w:p>
    <w:p>
      <w:pPr>
        <w:pStyle w:val="FirstParagraph"/>
      </w:pPr>
      <w:r>
        <w:t xml:space="preserve">[1] Gouvernement de la République fédérale démocratique d’Éthiopie,</w:t>
      </w:r>
      <w:r>
        <w:t xml:space="preserve"> </w:t>
      </w:r>
      <w:r>
        <w:rPr>
          <w:iCs/>
          <w:i/>
        </w:rPr>
        <w:t xml:space="preserve">National Energy Compact for the Federal Democratic Republic of Ethiopia</w:t>
      </w:r>
      <w:r>
        <w:t xml:space="preserve">, Mission 300, sept. 2025. https://www.worldbank.org/content/dam/theworldbankgroupasset/document/2026/m300-energy-compacts/Ethiopia-National-Energy-Compact-Mission-300.pdf (consulté le 18/10/2026)</w:t>
      </w:r>
      <w:r>
        <w:t xml:space="preserve"> </w:t>
      </w:r>
      <w:r>
        <w:t xml:space="preserve">[2] Banque mondiale, page « National Energy Compacts ». https://www.worldbank.org/ext/en/energizingafrica/national-energy-compacts (consultée le 18/10/2026)</w:t>
      </w:r>
      <w:r>
        <w:t xml:space="preserve"> </w:t>
      </w:r>
      <w:r>
        <w:t xml:space="preserve">[3] Banque mondiale, communiqué du 16/06/2026. https://www.worldbank.org/en/news/press-release/2026/06/16/under-mission-300-a-new-way-of-doing-business-connects-over-50-million-people-to-electricity-across-africa</w:t>
      </w:r>
      <w:r>
        <w:t xml:space="preserve"> </w:t>
      </w:r>
      <w:r>
        <w:t xml:space="preserve">[4] Y. N. Ayele et M. Tesfaye,</w:t>
      </w:r>
      <w:r>
        <w:t xml:space="preserve"> </w:t>
      </w:r>
      <w:r>
        <w:rPr>
          <w:iCs/>
          <w:i/>
        </w:rPr>
        <w:t xml:space="preserve">A Cheap Kilowatt-Hour, a Weak Birr, and a Debt Crisis Walk Into a Bar… Ethiopia’s aggressive electricity tariff reset</w:t>
      </w:r>
      <w:r>
        <w:t xml:space="preserve">, Energy for Growth Hub, juillet 2026. https://energyforgrowth.org/wp-content/uploads/2026/07/Ethiopia_Tariff_Memo_V3.pdf</w:t>
      </w:r>
      <w:r>
        <w:t xml:space="preserve"> </w:t>
      </w:r>
      <w:r>
        <w:t xml:space="preserve">[5] Shega, « Electricity costs set for nearly 400% increase by 2028 » (date non vérifiée ; cité via résultats de recherche). https://shega.co/news/electricity-costs-set-for-nearly-400-increase-by-2028</w:t>
      </w:r>
    </w:p>
    <w:p>
      <w:r>
        <w:br w:type="page"/>
      </w:r>
    </w:p>
    <w:bookmarkEnd w:id="223"/>
    <w:bookmarkEnd w:id="224"/>
    <w:bookmarkStart w:id="240" w:name="fiche-pacte-national-de-lénergie-gabon"/>
    <w:p>
      <w:pPr>
        <w:pStyle w:val="Heading2"/>
      </w:pPr>
      <w:r>
        <w:t xml:space="preserve">Fiche pacte national de l’énergie — Gabon</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225" w:name="métadonnées-12"/>
    <w:p>
      <w:pPr>
        <w:pStyle w:val="Heading3"/>
      </w:pPr>
      <w:r>
        <w:t xml:space="preserve">0. Métadonnées</w:t>
      </w:r>
    </w:p>
    <w:p>
      <w:pPr>
        <w:numPr>
          <w:ilvl w:val="0"/>
          <w:numId w:val="1208"/>
        </w:numPr>
        <w:pStyle w:val="Compact"/>
      </w:pPr>
      <w:r>
        <w:rPr>
          <w:bCs/>
          <w:b/>
        </w:rPr>
        <w:t xml:space="preserve">Existence du pacte : confirmée.</w:t>
      </w:r>
      <w:r>
        <w:t xml:space="preserve"> </w:t>
      </w:r>
      <w:r>
        <w:t xml:space="preserve">Le PDF figure sur la page officielle BM, daté « Jun 2026 » [2] [V] ; métadonnées PDF : création le 15-06-2026 [1] [V]. Le texte intègre les consultations de l’Africa Energy Market Place (AEMP) de la BAD tenue à Libreville [1, Préambule] [V] (10e AEMP à Libreville, achevée avant le 30 avril 2026 selon la presse [4] [S] ; dates exactes [?]).</w:t>
      </w:r>
    </w:p>
    <w:p>
      <w:pPr>
        <w:numPr>
          <w:ilvl w:val="0"/>
          <w:numId w:val="1208"/>
        </w:numPr>
        <w:pStyle w:val="Compact"/>
      </w:pPr>
      <w:r>
        <w:t xml:space="preserve">Cohorte / date de présentation : vague de juin-juillet 2026 ; selon Energy News Network (9 juillet 2026), le Gabon fait partie des six pays ayant « signé » leurs pactes à l’Africa Energy Forum 2026 (Cape Town) [3] [S]. Date exacte de signature : [?].</w:t>
      </w:r>
    </w:p>
    <w:p>
      <w:pPr>
        <w:numPr>
          <w:ilvl w:val="0"/>
          <w:numId w:val="1208"/>
        </w:numPr>
        <w:pStyle w:val="Compact"/>
      </w:pPr>
      <w:r>
        <w:t xml:space="preserve">Document du pacte consulté : « Pacte National de l’Énergie pour la République Gabonaise », en français, 60 p. (fichier</w:t>
      </w:r>
      <w:r>
        <w:t xml:space="preserve"> </w:t>
      </w:r>
      <w:r>
        <w:rPr>
          <w:rStyle w:val="VerbatimChar"/>
        </w:rPr>
        <w:t xml:space="preserve">Gabon-National-Energy-Compact-Mission-300.pdf</w:t>
      </w:r>
      <w:r>
        <w:t xml:space="preserve">) [1].</w:t>
      </w:r>
    </w:p>
    <w:p>
      <w:pPr>
        <w:numPr>
          <w:ilvl w:val="0"/>
          <w:numId w:val="1208"/>
        </w:numPr>
        <w:pStyle w:val="Compact"/>
      </w:pPr>
      <w:r>
        <w:t xml:space="preserve">Accès au texte intégral :</w:t>
      </w:r>
      <w:r>
        <w:t xml:space="preserve"> </w:t>
      </w:r>
      <w:r>
        <w:rPr>
          <w:bCs/>
          <w:b/>
        </w:rPr>
        <w:t xml:space="preserve">oui</w:t>
      </w:r>
      <w:r>
        <w:t xml:space="preserve"> </w:t>
      </w:r>
      <w:r>
        <w:t xml:space="preserve">(PDF téléchargé et lu intégralement le 2026-10-18).</w:t>
      </w:r>
    </w:p>
    <w:p>
      <w:pPr>
        <w:numPr>
          <w:ilvl w:val="0"/>
          <w:numId w:val="1208"/>
        </w:numPr>
        <w:pStyle w:val="Compact"/>
      </w:pPr>
      <w:r>
        <w:t xml:space="preserve">Opérateur(s) national(aux) d’électricité : SEEG (Société d’Énergie et d’Eau du Gabon), concessionnaire eau + électricité (convention de 20 ans signée début 2022) ; placée sous administration provisoire après la découverte en 2024 d’un système parallèle frauduleux de collecte ; nouvelle direction installée début juin 2025 [1] [V]. Société de Patrimoine (SP) : actifs de l’État, production/transport, rachat de l’énergie privée [1] [V]. Gabon Power Company (GPC, filiale du FGIS) : co-développeur IPP/PPP (Meridiam, Eranove, Perenco) [1] [V]. CNEE : hydraulique villageoise et éclairage public [1] [V]. Réforme annoncée :</w:t>
      </w:r>
      <w:r>
        <w:t xml:space="preserve"> </w:t>
      </w:r>
      <w:r>
        <w:rPr>
          <w:bCs/>
          <w:b/>
        </w:rPr>
        <w:t xml:space="preserve">fusion SP-GPC</w:t>
      </w:r>
      <w:r>
        <w:t xml:space="preserve"> </w:t>
      </w:r>
      <w:r>
        <w:t xml:space="preserve">et</w:t>
      </w:r>
      <w:r>
        <w:t xml:space="preserve"> </w:t>
      </w:r>
      <w:r>
        <w:rPr>
          <w:bCs/>
          <w:b/>
        </w:rPr>
        <w:t xml:space="preserve">scission eau/électricité de la SEEG</w:t>
      </w:r>
      <w:r>
        <w:t xml:space="preserve"> </w:t>
      </w:r>
      <w:r>
        <w:t xml:space="preserve">[1] [V]. Tutelle : Ministère de l’Accès Universel à l’Eau et à l’Énergie (MAUEE) [1] [V].</w:t>
      </w:r>
    </w:p>
    <w:p>
      <w:pPr>
        <w:numPr>
          <w:ilvl w:val="0"/>
          <w:numId w:val="1208"/>
        </w:numPr>
        <w:pStyle w:val="Compact"/>
      </w:pPr>
      <w:r>
        <w:t xml:space="preserve">Régulateur : ARSEE (Autorité de Régulation du Secteur de l’Eau potable et de l’Énergie électrique), à rendre « pleinement autonome » ; elle suit les paramètres tarifaires sans être l’organe décisionnel final (tarifs fixés par voie réglementaire) [1] [V].</w:t>
      </w:r>
    </w:p>
    <w:bookmarkEnd w:id="225"/>
    <w:bookmarkStart w:id="226" w:name="situation-de-départ-selon-le-pacte-12"/>
    <w:p>
      <w:pPr>
        <w:pStyle w:val="Heading3"/>
      </w:pPr>
      <w:r>
        <w:t xml:space="preserve">1. Situation de départ (selon le pacte)</w:t>
      </w:r>
    </w:p>
    <w:p>
      <w:pPr>
        <w:numPr>
          <w:ilvl w:val="0"/>
          <w:numId w:val="1209"/>
        </w:numPr>
        <w:pStyle w:val="Compact"/>
      </w:pPr>
      <w:r>
        <w:t xml:space="preserve">Taux d’accès national / urbain / rural : 92,7 % ; urbain 97,7 % ; rural 53,6 % (EDSG-III 2019-2021) [1] [V]. Le suivi ODD7 indique 94 % ; l’analyse géospatiale BM : ~18,3 % des bâtiments sans signe d’électrification [1] [V]. Les taux urbains sont jugés « relativement optimistes » car ils incluent les branchements chez le voisin ; jusqu’à</w:t>
      </w:r>
      <w:r>
        <w:t xml:space="preserve"> </w:t>
      </w:r>
      <w:r>
        <w:rPr>
          <w:bCs/>
          <w:b/>
        </w:rPr>
        <w:t xml:space="preserve">500 000 usagers non comptabilisés</w:t>
      </w:r>
      <w:r>
        <w:t xml:space="preserve"> </w:t>
      </w:r>
      <w:r>
        <w:t xml:space="preserve">[1, §2.1] [V].</w:t>
      </w:r>
    </w:p>
    <w:p>
      <w:pPr>
        <w:numPr>
          <w:ilvl w:val="0"/>
          <w:numId w:val="1209"/>
        </w:numPr>
        <w:pStyle w:val="Compact"/>
      </w:pPr>
      <w:r>
        <w:t xml:space="preserve">Population : &gt; 2,5 millions, croissance 2,5-2,8 %, urbanisation &gt; 87 % [1, §3] [V]. Dernier recensement exploitable : 2013 (RGPL relancé en 2023) [1] [V].</w:t>
      </w:r>
    </w:p>
    <w:p>
      <w:pPr>
        <w:numPr>
          <w:ilvl w:val="0"/>
          <w:numId w:val="1209"/>
        </w:numPr>
        <w:pStyle w:val="Compact"/>
      </w:pPr>
      <w:r>
        <w:t xml:space="preserve">Population sans accès : ~171 000 personnes en 2025 (géospatial) [1, §2.1] [V].</w:t>
      </w:r>
    </w:p>
    <w:p>
      <w:pPr>
        <w:numPr>
          <w:ilvl w:val="0"/>
          <w:numId w:val="1209"/>
        </w:numPr>
        <w:pStyle w:val="Compact"/>
      </w:pPr>
      <w:r>
        <w:t xml:space="preserve">Capacité installée, mix : ~886 MW en 2024 (hors autoproduction) : 41,6 % hydro, 1,4 % solaire, 44,9 % gaz, reste diesel/fuel [1, §3.2] [V]. Annexe II (2024) : hydro 366 MW (292 disponibles), gaz 412 MW (189 dispo), fioul 97 MW (68 dispo), solaire 11 MW [1] [V]. Production 2024 : hydro 1 148 GWh, gaz 998 GWh, fioul 239 GWh, solaire 2 GWh [1] [V]. Consommation ~2 400 GWh (2024), 1 037 kWh/hab/an [1] [V]. Grand Libreville : en 2025, seuls 148 MW opérationnels sur 300 MW installés ; recours à Aggreko (40 MW) et Karpowership (100 MW disponibles sur 150) [1] [V]. Contrainte gaz à Owendo : 35 MMSCFD disponibles contre 74 nécessaires [1] [V]. Énergie non distribuée : 33 800 MWh [1, Annexe II] [V].</w:t>
      </w:r>
    </w:p>
    <w:p>
      <w:pPr>
        <w:numPr>
          <w:ilvl w:val="0"/>
          <w:numId w:val="1209"/>
        </w:numPr>
        <w:pStyle w:val="Compact"/>
      </w:pPr>
      <w:r>
        <w:t xml:space="preserve">Réseau : 5 réseaux isolés (Grand Libreville, Est/Franceville, Sud/Louetsi, Nord, Port-Gentil) ; HTB ~800 km (225 kV 195 km ; 90 kV 330 km ; 63 kV 287 km) ; HTA/BT 5 965 km [1] [V].</w:t>
      </w:r>
    </w:p>
    <w:p>
      <w:pPr>
        <w:numPr>
          <w:ilvl w:val="0"/>
          <w:numId w:val="1209"/>
        </w:numPr>
        <w:pStyle w:val="Compact"/>
      </w:pPr>
      <w:r>
        <w:t xml:space="preserve">Accès à la cuisson propre : ~90 % (2022/2023), 91 % (2025), 91,4 % (plan d’action) [1] [V] ; GPL ~55 000 t/an [1] [V]. Prix de la bouteille de gaz réduit de plus de 17 % [1, Préambule] [V].</w:t>
      </w:r>
    </w:p>
    <w:bookmarkEnd w:id="226"/>
    <w:bookmarkStart w:id="227" w:name="cibles-2030-11"/>
    <w:p>
      <w:pPr>
        <w:pStyle w:val="Heading3"/>
      </w:pPr>
      <w:r>
        <w:t xml:space="preserve">2. Cibles 2030</w:t>
      </w:r>
    </w:p>
    <w:p>
      <w:pPr>
        <w:numPr>
          <w:ilvl w:val="0"/>
          <w:numId w:val="1210"/>
        </w:numPr>
        <w:pStyle w:val="Compact"/>
      </w:pPr>
      <w:r>
        <w:t xml:space="preserve">Accès électricité : &gt; 95 % en 2030 ; ~87 500 nouveaux ménages (~347 000 personnes : ~171 000 sans accès en 2025 + ~176 000 de croissance démographique) + régularisation de ~500 000 usagers non comptabilisés (programme « Un Gabonais, un compteur ») [1] [V]. Rural : 53,6 % → 61 % (54 % réseau/mini-réseaux + 7 % SHS) [1, §2.1] ; mais le calendrier indicatif vise « accès rural ≈ 99 % » en 2029-30 [1, §3.2 Pilier III] [V] — incohérence. Pas d’objectifs annuels ruraux à ce stade [1] [V].</w:t>
      </w:r>
    </w:p>
    <w:p>
      <w:pPr>
        <w:numPr>
          <w:ilvl w:val="0"/>
          <w:numId w:val="1210"/>
        </w:numPr>
        <w:pStyle w:val="Compact"/>
      </w:pPr>
      <w:r>
        <w:t xml:space="preserve">Part des renouvelables : 47 % → ~51 % de la puissance installée ; la quasi-stabilité s’explique par la priorité donnée au gaz sur la période et des grands barrages après 2030 [1] [V].</w:t>
      </w:r>
    </w:p>
    <w:p>
      <w:pPr>
        <w:numPr>
          <w:ilvl w:val="0"/>
          <w:numId w:val="1210"/>
        </w:numPr>
        <w:pStyle w:val="Compact"/>
      </w:pPr>
      <w:r>
        <w:t xml:space="preserve">Cuisson propre : 99 % en 2030 [1] [V].</w:t>
      </w:r>
    </w:p>
    <w:p>
      <w:pPr>
        <w:numPr>
          <w:ilvl w:val="0"/>
          <w:numId w:val="1210"/>
        </w:numPr>
        <w:pStyle w:val="Compact"/>
      </w:pPr>
      <w:r>
        <w:t xml:space="preserve">Autres cibles chiffrées :</w:t>
      </w:r>
    </w:p>
    <w:p>
      <w:pPr>
        <w:numPr>
          <w:ilvl w:val="1"/>
          <w:numId w:val="1211"/>
        </w:numPr>
        <w:pStyle w:val="Compact"/>
      </w:pPr>
      <w:r>
        <w:t xml:space="preserve">Capacité installée : 1 100 MW en 2030 (susceptible d’ajustement après le Plan directeur) [1] [V].</w:t>
      </w:r>
    </w:p>
    <w:p>
      <w:pPr>
        <w:numPr>
          <w:ilvl w:val="1"/>
          <w:numId w:val="1211"/>
        </w:numPr>
        <w:pStyle w:val="Compact"/>
      </w:pPr>
      <w:r>
        <w:t xml:space="preserve">Transport HTB : 800 → 1 000 km ; RTNE interconnecté : 0 → 350 km en 2030 (~300 M USD) [1, Plan d’action] [V].</w:t>
      </w:r>
    </w:p>
    <w:p>
      <w:pPr>
        <w:numPr>
          <w:ilvl w:val="1"/>
          <w:numId w:val="1211"/>
        </w:numPr>
        <w:pStyle w:val="Compact"/>
      </w:pPr>
      <w:r>
        <w:t xml:space="preserve">Pertes totales : 29 % → « &lt; 15 % » (le texte extrait porte « &lt; 156 % », vraisemblablement « &lt; 15 % » suivi de l’appel de note 6) [1] [V/E].</w:t>
      </w:r>
    </w:p>
    <w:p>
      <w:pPr>
        <w:numPr>
          <w:ilvl w:val="1"/>
          <w:numId w:val="1211"/>
        </w:numPr>
        <w:pStyle w:val="Compact"/>
      </w:pPr>
      <w:r>
        <w:t xml:space="preserve">Capitaux privés : ~0,16 Md USD mobilisés (hydro en construction) / 400 M USD cumulés → +2 Md USD [1] [V].</w:t>
      </w:r>
    </w:p>
    <w:p>
      <w:pPr>
        <w:numPr>
          <w:ilvl w:val="1"/>
          <w:numId w:val="1211"/>
        </w:numPr>
        <w:pStyle w:val="Compact"/>
      </w:pPr>
      <w:r>
        <w:t xml:space="preserve">Recouvrement : « au moins 80 % des coûts d’exploitation » avant 2030 ; « taux de recouvrement de 100 % » visé en 2027-2028 [1, Plan d’action V] [V].</w:t>
      </w:r>
    </w:p>
    <w:p>
      <w:pPr>
        <w:numPr>
          <w:ilvl w:val="1"/>
          <w:numId w:val="1211"/>
        </w:numPr>
        <w:pStyle w:val="Compact"/>
      </w:pPr>
      <w:r>
        <w:t xml:space="preserve">~30 centrales hybrides PV/diesel d’ici 2030 ; 56 000 compteurs intelligents à court terme [1] [V].</w:t>
      </w:r>
    </w:p>
    <w:p>
      <w:pPr>
        <w:numPr>
          <w:ilvl w:val="1"/>
          <w:numId w:val="1211"/>
        </w:numPr>
        <w:pStyle w:val="Compact"/>
      </w:pPr>
      <w:r>
        <w:t xml:space="preserve">Demande de pointe : ~659 MW en 2030 (+10 %/an) [1] [V].</w:t>
      </w:r>
    </w:p>
    <w:bookmarkEnd w:id="227"/>
    <w:bookmarkStart w:id="234" w:name="réformes-promises-cœur-de-lanalyse-9"/>
    <w:p>
      <w:pPr>
        <w:pStyle w:val="Heading3"/>
      </w:pPr>
      <w:r>
        <w:t xml:space="preserve">3. Réformes promises (cœur de l’analyse)</w:t>
      </w:r>
    </w:p>
    <w:bookmarkStart w:id="228" w:name="tarifs-et-subventions-12"/>
    <w:p>
      <w:pPr>
        <w:pStyle w:val="Heading4"/>
      </w:pPr>
      <w:r>
        <w:t xml:space="preserve">3.1 Tarifs et subventions</w:t>
      </w:r>
    </w:p>
    <w:p>
      <w:pPr>
        <w:numPr>
          <w:ilvl w:val="0"/>
          <w:numId w:val="1212"/>
        </w:numPr>
        <w:pStyle w:val="Compact"/>
      </w:pPr>
      <w:r>
        <w:rPr>
          <w:bCs/>
          <w:b/>
        </w:rPr>
        <w:t xml:space="preserve">Tarifs gelés par décision gouvernementale depuis octobre 2018</w:t>
      </w:r>
      <w:r>
        <w:t xml:space="preserve"> </w:t>
      </w:r>
      <w:r>
        <w:t xml:space="preserve">; avant, l’ARSEE appliquait une formule indexée (inflation, prix du gaz, gasoil) [1, Pilier V] [V].</w:t>
      </w:r>
    </w:p>
    <w:p>
      <w:pPr>
        <w:numPr>
          <w:ilvl w:val="0"/>
          <w:numId w:val="1212"/>
        </w:numPr>
        <w:pStyle w:val="Compact"/>
      </w:pPr>
      <w:r>
        <w:t xml:space="preserve">Coût moyen de revient 2024 : 79,8 FCFA/kWh ; prix de vente moyen : 103,2 FCFA/kWh ; jusqu’à 250 FCFA/kWh dans certaines centrales au gazole [1] [V]. (Le prix moyen dépasse le coût moyen affiché, mais le pacte affirme que la structure tarifaire ne couvre pas les coûts de service — les deux affirmations ne sont pas réconciliées [E].)</w:t>
      </w:r>
    </w:p>
    <w:p>
      <w:pPr>
        <w:numPr>
          <w:ilvl w:val="0"/>
          <w:numId w:val="1212"/>
        </w:numPr>
        <w:pStyle w:val="Compact"/>
      </w:pPr>
      <w:r>
        <w:rPr>
          <w:bCs/>
          <w:b/>
        </w:rPr>
        <w:t xml:space="preserve">2026 : diagnostic partagé de la structure tarifaire, y compris les effets du gel depuis 2018, et définition des modalités d’une reprise progressive des ajustements tarifaires</w:t>
      </w:r>
      <w:r>
        <w:t xml:space="preserve">, avec protection ciblée des ménages vulnérables [1, Plan d’action V] [V]. Réforme « graduelle et transparente », « séquencée » selon les progrès en qualité de service, recouvrement et pertes ; mécanisme de compensation tarifaire ; « ajustements automatiques » à moyen terme [1] [V]. Le pacte précise que la communication « ne préjuge pas des ajustements fiscaux ou tarifaires qui relèvent du cadre budgétaire national » [1] [V].</w:t>
      </w:r>
    </w:p>
    <w:p>
      <w:pPr>
        <w:numPr>
          <w:ilvl w:val="0"/>
          <w:numId w:val="1212"/>
        </w:numPr>
        <w:pStyle w:val="Compact"/>
      </w:pPr>
      <w:r>
        <w:t xml:space="preserve">Tarif social : petits abonnés 1 kW à ~45 % sous le tarif standard (3 kW) ; dispositif « abonnés économiquement faibles » pris en charge par l’État via la SEEG [1] [V].</w:t>
      </w:r>
    </w:p>
    <w:p>
      <w:pPr>
        <w:numPr>
          <w:ilvl w:val="0"/>
          <w:numId w:val="1212"/>
        </w:numPr>
        <w:pStyle w:val="Compact"/>
      </w:pPr>
      <w:r>
        <w:t xml:space="preserve">Frais de branchement révisés en 2024 : 70 000 FCFA (monophasé), 120 000 FCFA (triphasé) [1] [V].</w:t>
      </w:r>
    </w:p>
    <w:p>
      <w:pPr>
        <w:numPr>
          <w:ilvl w:val="0"/>
          <w:numId w:val="1212"/>
        </w:numPr>
        <w:pStyle w:val="Compact"/>
      </w:pPr>
      <w:r>
        <w:t xml:space="preserve">Loi de finances 2026 : contribution de 9 % sur les factures d’électricité (salubrité et infrastructures urbaines) [1] [V].</w:t>
      </w:r>
    </w:p>
    <w:p>
      <w:pPr>
        <w:numPr>
          <w:ilvl w:val="0"/>
          <w:numId w:val="1212"/>
        </w:numPr>
        <w:pStyle w:val="Compact"/>
      </w:pPr>
      <w:r>
        <w:t xml:space="preserve">Subvention GPL : ~30 milliards FCFA/an (2025) [1] [V] ; options de meilleur ciblage à l’étude [1] [V]. Subvention à l’électricité : montant [?].</w:t>
      </w:r>
    </w:p>
    <w:p>
      <w:pPr>
        <w:numPr>
          <w:ilvl w:val="0"/>
          <w:numId w:val="1212"/>
        </w:numPr>
        <w:pStyle w:val="Compact"/>
      </w:pPr>
      <w:r>
        <w:t xml:space="preserve">Clause de compensation (indemnisation, prolongation, ajustement tarifaire encadré…) pour les mini-réseaux PPP en cas d’arrivée du réseau, à intégrer aux textes d’application de la loi 12/2023 [1] [V].</w:t>
      </w:r>
    </w:p>
    <w:bookmarkEnd w:id="228"/>
    <w:bookmarkStart w:id="229" w:name="Xe74539139f257b6083e65ac9a783e4d22622f00"/>
    <w:p>
      <w:pPr>
        <w:pStyle w:val="Heading4"/>
      </w:pPr>
      <w:r>
        <w:t xml:space="preserve">3.2 Opérateur (redressement, contrats de performance, pertes, recouvrement, compteurs)</w:t>
      </w:r>
    </w:p>
    <w:p>
      <w:pPr>
        <w:numPr>
          <w:ilvl w:val="0"/>
          <w:numId w:val="1213"/>
        </w:numPr>
        <w:pStyle w:val="Compact"/>
      </w:pPr>
      <w:r>
        <w:rPr>
          <w:bCs/>
          <w:b/>
        </w:rPr>
        <w:t xml:space="preserve">Plan de redressement global de la SEEG</w:t>
      </w:r>
      <w:r>
        <w:t xml:space="preserve"> </w:t>
      </w:r>
      <w:r>
        <w:t xml:space="preserve">: réformes institutionnelles État-SP-opérateur ; restructuration incluant la</w:t>
      </w:r>
      <w:r>
        <w:t xml:space="preserve"> </w:t>
      </w:r>
      <w:r>
        <w:rPr>
          <w:bCs/>
          <w:b/>
        </w:rPr>
        <w:t xml:space="preserve">scission eau/électricité</w:t>
      </w:r>
      <w:r>
        <w:t xml:space="preserve"> </w:t>
      </w:r>
      <w:r>
        <w:t xml:space="preserve">(à finaliser en 2026) ; apurement progressif de la dette ; modernisation commerciale ; réduction des pertes [1] [V]. Plan de recapitalisation et cadre d’investissement mixte en 2026 [1] [V].</w:t>
      </w:r>
    </w:p>
    <w:p>
      <w:pPr>
        <w:numPr>
          <w:ilvl w:val="0"/>
          <w:numId w:val="1213"/>
        </w:numPr>
        <w:pStyle w:val="Compact"/>
      </w:pPr>
      <w:r>
        <w:rPr>
          <w:bCs/>
          <w:b/>
        </w:rPr>
        <w:t xml:space="preserve">Contrat-plan pluriannuel État-SP-SEEG</w:t>
      </w:r>
      <w:r>
        <w:t xml:space="preserve"> </w:t>
      </w:r>
      <w:r>
        <w:t xml:space="preserve">avec objectifs de performance, réduction des pertes et rentabilité des actifs [1] [V] (sans date).</w:t>
      </w:r>
    </w:p>
    <w:p>
      <w:pPr>
        <w:numPr>
          <w:ilvl w:val="0"/>
          <w:numId w:val="1213"/>
        </w:numPr>
        <w:pStyle w:val="Compact"/>
      </w:pPr>
      <w:r>
        <w:t xml:space="preserve">Recouvrement global : 60,5 % (y compris l’État) ; rendement de facturation 71,9 % [1] [V]. Pertes totales ~29 % (non auditées ; 26,7 % officiel en 2018) ; pertes commerciales = 85 % des pertes totales en 2022 [1] [V]. SAIDI ~10 047 min, SAIFI ~104 (non audités) [1] [V].</w:t>
      </w:r>
    </w:p>
    <w:p>
      <w:pPr>
        <w:numPr>
          <w:ilvl w:val="0"/>
          <w:numId w:val="1213"/>
        </w:numPr>
        <w:pStyle w:val="Compact"/>
      </w:pPr>
      <w:r>
        <w:t xml:space="preserve">Mesures déjà engagées : directions de la SEEG réduites de 54 à 16 ; masse salariale de 24 % à une cible de 12-15 % des dépenses ; départs et sanctions contre les fraudeurs [1] [V].</w:t>
      </w:r>
    </w:p>
    <w:p>
      <w:pPr>
        <w:numPr>
          <w:ilvl w:val="0"/>
          <w:numId w:val="1213"/>
        </w:numPr>
        <w:pStyle w:val="Compact"/>
      </w:pPr>
      <w:r>
        <w:t xml:space="preserve">Compteurs : 56 000 compteurs intelligents à court terme ; audit des consommations du secteur public [1] [V].</w:t>
      </w:r>
    </w:p>
    <w:p>
      <w:pPr>
        <w:numPr>
          <w:ilvl w:val="0"/>
          <w:numId w:val="1213"/>
        </w:numPr>
        <w:pStyle w:val="Compact"/>
      </w:pPr>
      <w:r>
        <w:t xml:space="preserve">Impayés de l’État :</w:t>
      </w:r>
      <w:r>
        <w:t xml:space="preserve"> </w:t>
      </w:r>
      <w:r>
        <w:rPr>
          <w:bCs/>
          <w:b/>
        </w:rPr>
        <w:t xml:space="preserve">mécanisme de compensation légale automatisée</w:t>
      </w:r>
      <w:r>
        <w:t xml:space="preserve"> </w:t>
      </w:r>
      <w:r>
        <w:t xml:space="preserve">via compte séquestre et clearing mensuel [1] [V].</w:t>
      </w:r>
    </w:p>
    <w:p>
      <w:pPr>
        <w:numPr>
          <w:ilvl w:val="0"/>
          <w:numId w:val="1213"/>
        </w:numPr>
        <w:pStyle w:val="Compact"/>
      </w:pPr>
      <w:r>
        <w:t xml:space="preserve">États financiers : ceux de l’exercice précédent n’ont pas été certifiés ; publication des comptes audités « Oui en 2026 » ; écarts à corriger pour l’exercice 2025 [1] [V].</w:t>
      </w:r>
    </w:p>
    <w:p>
      <w:pPr>
        <w:numPr>
          <w:ilvl w:val="0"/>
          <w:numId w:val="1213"/>
        </w:numPr>
        <w:pStyle w:val="Compact"/>
      </w:pPr>
      <w:r>
        <w:t xml:space="preserve">2027-2028 : conversion des centrales fuel au gaz pour réduire les coûts d’exploitation [1] [V].</w:t>
      </w:r>
    </w:p>
    <w:bookmarkEnd w:id="229"/>
    <w:bookmarkStart w:id="230" w:name="régulation-et-gouvernance-8"/>
    <w:p>
      <w:pPr>
        <w:pStyle w:val="Heading4"/>
      </w:pPr>
      <w:r>
        <w:t xml:space="preserve">3.3 Régulation et gouvernance</w:t>
      </w:r>
    </w:p>
    <w:p>
      <w:pPr>
        <w:numPr>
          <w:ilvl w:val="0"/>
          <w:numId w:val="1214"/>
        </w:numPr>
        <w:pStyle w:val="Compact"/>
      </w:pPr>
      <w:r>
        <w:rPr>
          <w:bCs/>
          <w:b/>
        </w:rPr>
        <w:t xml:space="preserve">Textes d’application de la Loi n° 012/2023 du 18-08-2023</w:t>
      </w:r>
      <w:r>
        <w:t xml:space="preserve"> </w:t>
      </w:r>
      <w:r>
        <w:t xml:space="preserve">: rédaction T2-T3 2026, adoption T4 2026 / avant le 31-12-2026 [1] [V].</w:t>
      </w:r>
    </w:p>
    <w:p>
      <w:pPr>
        <w:numPr>
          <w:ilvl w:val="0"/>
          <w:numId w:val="1214"/>
        </w:numPr>
        <w:pStyle w:val="Compact"/>
      </w:pPr>
      <w:r>
        <w:t xml:space="preserve">Actualisation du Plan directeur production-transport-distribution à l’horizon 2045 (projet PASBAP, approuvé par la BM en février 2026 ; budget 0,7 M USD ; livraison prévue septembre 2026) [1] [V] ; plan directeur d’électrification rurale d’ici 2027 [1] [V].</w:t>
      </w:r>
    </w:p>
    <w:p>
      <w:pPr>
        <w:numPr>
          <w:ilvl w:val="0"/>
          <w:numId w:val="1214"/>
        </w:numPr>
        <w:pStyle w:val="Compact"/>
      </w:pPr>
      <w:r>
        <w:t xml:space="preserve">ARSEE autonome (indépendance administrative et financière) [1] [V].</w:t>
      </w:r>
    </w:p>
    <w:p>
      <w:pPr>
        <w:numPr>
          <w:ilvl w:val="0"/>
          <w:numId w:val="1214"/>
        </w:numPr>
        <w:pStyle w:val="Compact"/>
      </w:pPr>
      <w:r>
        <w:t xml:space="preserve">Réforme institutionnelle : fusion SP-GPC ; clarification des rôles État stratège / opérateurs / régulateur ; pilotage politique de haut niveau [1] [V].</w:t>
      </w:r>
    </w:p>
    <w:p>
      <w:pPr>
        <w:numPr>
          <w:ilvl w:val="0"/>
          <w:numId w:val="1214"/>
        </w:numPr>
        <w:pStyle w:val="Compact"/>
      </w:pPr>
      <w:r>
        <w:t xml:space="preserve">Pas d’agence d’électrification rurale ; rôle assuré par la Direction des Énergies nouvelles et renouvelables [1] [V].</w:t>
      </w:r>
    </w:p>
    <w:p>
      <w:pPr>
        <w:numPr>
          <w:ilvl w:val="0"/>
          <w:numId w:val="1214"/>
        </w:numPr>
        <w:pStyle w:val="Compact"/>
      </w:pPr>
      <w:r>
        <w:t xml:space="preserve">Programme de suivi MTF / KPI en 2026 [1] [V].</w:t>
      </w:r>
    </w:p>
    <w:bookmarkEnd w:id="230"/>
    <w:bookmarkStart w:id="231" w:name="X9c8128787462c96698018a99be73013e80faf6e"/>
    <w:p>
      <w:pPr>
        <w:pStyle w:val="Heading4"/>
      </w:pPr>
      <w:r>
        <w:t xml:space="preserve">3.4 Participation du privé (producteurs indépendants, concessions, hors réseau)</w:t>
      </w:r>
    </w:p>
    <w:p>
      <w:pPr>
        <w:numPr>
          <w:ilvl w:val="0"/>
          <w:numId w:val="1215"/>
        </w:numPr>
        <w:pStyle w:val="Compact"/>
      </w:pPr>
      <w:r>
        <w:t xml:space="preserve">Cellule PPP Énergie au ministère (T4 2026) ; cellule conjointe PPP/IPP MAUEE-Finances [1] [V].</w:t>
      </w:r>
    </w:p>
    <w:p>
      <w:pPr>
        <w:numPr>
          <w:ilvl w:val="0"/>
          <w:numId w:val="1215"/>
        </w:numPr>
        <w:pStyle w:val="Compact"/>
      </w:pPr>
      <w:r>
        <w:t xml:space="preserve">2027 : cadre de garanties publiques et partage des risques (garanties de paiement, fonds de viabilité, lettres de confort) ; comptes séquestres ; garanties souveraines partielles [1] [V].</w:t>
      </w:r>
    </w:p>
    <w:p>
      <w:pPr>
        <w:numPr>
          <w:ilvl w:val="0"/>
          <w:numId w:val="1215"/>
        </w:numPr>
        <w:pStyle w:val="Compact"/>
      </w:pPr>
      <w:r>
        <w:t xml:space="preserve">2027-2028 : appels à projets (mini-réseaux, IPP, transport) et premiers contrats PPP [1] [V].</w:t>
      </w:r>
    </w:p>
    <w:p>
      <w:pPr>
        <w:numPr>
          <w:ilvl w:val="0"/>
          <w:numId w:val="1215"/>
        </w:numPr>
        <w:pStyle w:val="Compact"/>
      </w:pPr>
      <w:r>
        <w:t xml:space="preserve">Standardisation des PPA, GSA et conventions de raccordement (aujourd’hui négociés au cas par cas sur la base des modèles des opérateurs) [1] [V].</w:t>
      </w:r>
    </w:p>
    <w:p>
      <w:pPr>
        <w:numPr>
          <w:ilvl w:val="0"/>
          <w:numId w:val="1215"/>
        </w:numPr>
        <w:pStyle w:val="Compact"/>
      </w:pPr>
      <w:r>
        <w:t xml:space="preserve">Guichet unique et registre public des projets ; dispositions fiscales spécifiques dans la loi de finances 2027 [1] [V].</w:t>
      </w:r>
    </w:p>
    <w:p>
      <w:pPr>
        <w:numPr>
          <w:ilvl w:val="0"/>
          <w:numId w:val="1215"/>
        </w:numPr>
        <w:pStyle w:val="Compact"/>
      </w:pPr>
      <w:r>
        <w:t xml:space="preserve">Projets : Kinguélé Aval (35 MW, 190 M USD, BAD/IFC/DBSA/EAIF/Meridiam/GPC) ; Owendo gaz 120 MW (227 M USD) et bi-carburant 220 MW (212 M USD, Afreximbank) ; Ngoulmendjim (83 MW, 798 M USD, Eranove) ; Dibwangui (15 MW, 136 M USD) ; Mayumba gaz 8,5 MW (29 M USD) ; IPP Owendo 125 MW (conditions suspensives déc. 2026) ; SESS 300 MW ; ASKA 230 MW [1] [V]. Booué (~400/411 MW) : MoU avec EDF pour les études, mise en service « idéale avant 2035 » [1] [V].</w:t>
      </w:r>
    </w:p>
    <w:p>
      <w:pPr>
        <w:numPr>
          <w:ilvl w:val="0"/>
          <w:numId w:val="1215"/>
        </w:numPr>
        <w:pStyle w:val="Compact"/>
      </w:pPr>
      <w:r>
        <w:t xml:space="preserve">Fonds : FATE (GPC/FGIS) et FNEE [1] [V].</w:t>
      </w:r>
    </w:p>
    <w:bookmarkEnd w:id="231"/>
    <w:bookmarkStart w:id="232" w:name="X2fe7028bff38735234d7a750af3e5025c4e34dc"/>
    <w:p>
      <w:pPr>
        <w:pStyle w:val="Heading4"/>
      </w:pPr>
      <w:r>
        <w:t xml:space="preserve">3.5 Intégration régionale (pools énergétiques, interconnexions)</w:t>
      </w:r>
    </w:p>
    <w:p>
      <w:pPr>
        <w:numPr>
          <w:ilvl w:val="0"/>
          <w:numId w:val="1216"/>
        </w:numPr>
        <w:pStyle w:val="Compact"/>
      </w:pPr>
      <w:r>
        <w:t xml:space="preserve">Interconnexion Gabon-Guinée équatoriale (Ebibeyin-Bitam, HTA 20 kV) en service depuis 2025 : ~3 MW, extensible à 10 MW ; contrat SEEG-SEGESA du 7-07-2023 [1] [V].</w:t>
      </w:r>
    </w:p>
    <w:p>
      <w:pPr>
        <w:numPr>
          <w:ilvl w:val="0"/>
          <w:numId w:val="1216"/>
        </w:numPr>
        <w:pStyle w:val="Compact"/>
      </w:pPr>
      <w:r>
        <w:t xml:space="preserve">2026 : études et financement Cogo-Cocobeach-Libreville ; 2027 : financement INTGACO Gabon-Congo (346 km, 145,8 M EUR, études disponibles depuis 2017), Mongomo-Oyem-Makokou, Tchibanga-Pointe-Noire [1] [V]. Interconnexion stratégique avec le Cameroun (complémentarité hydrologique) dans un second temps [1] [V].</w:t>
      </w:r>
    </w:p>
    <w:p>
      <w:pPr>
        <w:numPr>
          <w:ilvl w:val="0"/>
          <w:numId w:val="1216"/>
        </w:numPr>
        <w:pStyle w:val="Compact"/>
      </w:pPr>
      <w:r>
        <w:t xml:space="preserve">Tarification harmonisée du transport régional (wheeling) conforme au CAPP [1] [V] (sans date).</w:t>
      </w:r>
    </w:p>
    <w:p>
      <w:pPr>
        <w:numPr>
          <w:ilvl w:val="0"/>
          <w:numId w:val="1216"/>
        </w:numPr>
        <w:pStyle w:val="Compact"/>
      </w:pPr>
      <w:r>
        <w:t xml:space="preserve">Échanges régionaux « modestes jusqu’en 2030 » [1] [V].</w:t>
      </w:r>
    </w:p>
    <w:bookmarkEnd w:id="232"/>
    <w:bookmarkStart w:id="233" w:name="autres-fiscalité-foncier-local-content-5"/>
    <w:p>
      <w:pPr>
        <w:pStyle w:val="Heading4"/>
      </w:pPr>
      <w:r>
        <w:t xml:space="preserve">3.6 Autres (fiscalité, foncier, local content)</w:t>
      </w:r>
    </w:p>
    <w:p>
      <w:pPr>
        <w:numPr>
          <w:ilvl w:val="0"/>
          <w:numId w:val="1217"/>
        </w:numPr>
        <w:pStyle w:val="Compact"/>
      </w:pPr>
      <w:r>
        <w:t xml:space="preserve">Contenu local et Loi n° 13/2023 (qualité, HSE, RSE, contenu local) [1] [V].</w:t>
      </w:r>
    </w:p>
    <w:p>
      <w:pPr>
        <w:numPr>
          <w:ilvl w:val="0"/>
          <w:numId w:val="1217"/>
        </w:numPr>
        <w:pStyle w:val="Compact"/>
      </w:pPr>
      <w:r>
        <w:t xml:space="preserve">Exonérations et primes pour importateurs d’équipements de cuisson certifiés (2027) ; système national de certification solaire/cuisson [1] [V].</w:t>
      </w:r>
    </w:p>
    <w:p>
      <w:pPr>
        <w:numPr>
          <w:ilvl w:val="0"/>
          <w:numId w:val="1217"/>
        </w:numPr>
        <w:pStyle w:val="Compact"/>
      </w:pPr>
      <w:r>
        <w:t xml:space="preserve">Nouveau gazoduc au sud de Libreville (doublement à 70 MMSCFD) ; besoins gaz électriques ~92 MMSCFD en 2027/28, 180 en 2035 [1] [V].</w:t>
      </w:r>
    </w:p>
    <w:bookmarkEnd w:id="233"/>
    <w:bookmarkEnd w:id="234"/>
    <w:bookmarkStart w:id="235" w:name="financement-12"/>
    <w:p>
      <w:pPr>
        <w:pStyle w:val="Heading3"/>
      </w:pPr>
      <w:r>
        <w:t xml:space="preserve">4. Financement</w:t>
      </w:r>
    </w:p>
    <w:p>
      <w:pPr>
        <w:numPr>
          <w:ilvl w:val="0"/>
          <w:numId w:val="1218"/>
        </w:numPr>
        <w:pStyle w:val="Compact"/>
      </w:pPr>
      <w:r>
        <w:t xml:space="preserve">Besoin total :</w:t>
      </w:r>
      <w:r>
        <w:t xml:space="preserve"> </w:t>
      </w:r>
      <w:r>
        <w:rPr>
          <w:bCs/>
          <w:b/>
        </w:rPr>
        <w:t xml:space="preserve">4 169 M USD (2026-2030)</w:t>
      </w:r>
      <w:r>
        <w:t xml:space="preserve"> </w:t>
      </w:r>
      <w:r>
        <w:t xml:space="preserve">— public 2 161 M, privé 2 008 M [1, tableau] [V] (« environ 4,2 Md USD » [1, Déclaration]). Ventilation : production 1 546 (solaire 18 ; hydro 1 528, dont 1 445 privés) ; transport 2 290 (public 1 734, privé 556) ; distribution 250 ; hors réseau 77 ; capacités 6 (M USD) [1] [V]. Les estimations sont à confirmer par le Plan directeur [1] [V].</w:t>
      </w:r>
    </w:p>
    <w:p>
      <w:pPr>
        <w:numPr>
          <w:ilvl w:val="0"/>
          <w:numId w:val="1218"/>
        </w:numPr>
        <w:pStyle w:val="Compact"/>
      </w:pPr>
      <w:r>
        <w:t xml:space="preserve">Hydro citées : Booué (835 M USD), Sindara (305 M), Fé2 (154 M), Impératrice (151 M) — &gt; 600 MW mais</w:t>
      </w:r>
      <w:r>
        <w:t xml:space="preserve"> </w:t>
      </w:r>
      <w:r>
        <w:rPr>
          <w:bCs/>
          <w:b/>
        </w:rPr>
        <w:t xml:space="preserve">après 2030</w:t>
      </w:r>
      <w:r>
        <w:t xml:space="preserve"> </w:t>
      </w:r>
      <w:r>
        <w:t xml:space="preserve">[1] [V].</w:t>
      </w:r>
    </w:p>
    <w:p>
      <w:pPr>
        <w:numPr>
          <w:ilvl w:val="0"/>
          <w:numId w:val="1218"/>
        </w:numPr>
        <w:pStyle w:val="Compact"/>
      </w:pPr>
      <w:r>
        <w:t xml:space="preserve">Engagements cités (Annexe I) : BM — PASBAP (2026-2031) 53 M USD (en négociation au moment de la rédaction) ; BAD — PIVRHE ; autres projets listés en 3.4 [1] [V].</w:t>
      </w:r>
    </w:p>
    <w:bookmarkEnd w:id="235"/>
    <w:bookmarkStart w:id="236" w:name="calendrier-et-suivi-12"/>
    <w:p>
      <w:pPr>
        <w:pStyle w:val="Heading3"/>
      </w:pPr>
      <w:r>
        <w:t xml:space="preserve">5. Calendrier et suivi</w:t>
      </w:r>
    </w:p>
    <w:p>
      <w:pPr>
        <w:numPr>
          <w:ilvl w:val="0"/>
          <w:numId w:val="1219"/>
        </w:numPr>
        <w:pStyle w:val="Compact"/>
      </w:pPr>
      <w:r>
        <w:t xml:space="preserve">Jalons : 2026 (textes loi 12/2023 T4, plan directeur sept., cellule PPP T4, scission SEEG, plan de recapitalisation, diagnostic tarifaire, KPI/MTF, comptes audités, stratégie cuisson, cartographie rurale) ; 2027 (garanties, FATE, guichet ERD, plan directeur rural, loi de finances 2027) ; 2027-2028 (appels à projets, conversion fuel→gaz, 100 % recouvrement) ; 2028 (Owendo 220+120 MW) ; 2029-2030 (mini-hydro, déploiement ERD, RTNE 350 km) [1] [V].</w:t>
      </w:r>
    </w:p>
    <w:p>
      <w:pPr>
        <w:numPr>
          <w:ilvl w:val="0"/>
          <w:numId w:val="1219"/>
        </w:numPr>
        <w:pStyle w:val="Compact"/>
      </w:pPr>
      <w:r>
        <w:t xml:space="preserve">Suivi : CDMU sous l’autorité du ministre du MAUEE — Comité de pilotage (≥ 3 réunions/an, possible représentation de la Présidence et du Vice-Président du Gouvernement, société civile) et Comité technique (toutes les 2 semaines, coordonnateur à la DGE) ; rapport d’avancement semestriel ; tableau de bord public ; indicateurs validés lors de la Quality Enhancement Review BM/BAD [1, §4] [V].</w:t>
      </w:r>
    </w:p>
    <w:bookmarkEnd w:id="236"/>
    <w:bookmarkStart w:id="237" w:name="lecture-critique-9"/>
    <w:p>
      <w:pPr>
        <w:pStyle w:val="Heading3"/>
      </w:pPr>
      <w:r>
        <w:t xml:space="preserve">6. Lecture critique</w:t>
      </w:r>
    </w:p>
    <w:p>
      <w:pPr>
        <w:numPr>
          <w:ilvl w:val="0"/>
          <w:numId w:val="1220"/>
        </w:numPr>
        <w:pStyle w:val="Compact"/>
      </w:pPr>
      <w:r>
        <w:t xml:space="preserve">Réalisme des cibles : l’accès national &gt; 95 % est atteignable (~87 500 ménages) [E] ; le vrai défi est la</w:t>
      </w:r>
      <w:r>
        <w:t xml:space="preserve"> </w:t>
      </w:r>
      <w:r>
        <w:rPr>
          <w:bCs/>
          <w:b/>
        </w:rPr>
        <w:t xml:space="preserve">régularisation de ~500 000 usagers</w:t>
      </w:r>
      <w:r>
        <w:t xml:space="preserve"> </w:t>
      </w:r>
      <w:r>
        <w:t xml:space="preserve">et le rural (53,6 %), où deux cibles coexistent (61 % vs 99 %) [1] [E]. La capacité (886 → 1 100 MW) dépend de projets gaz (Owendo) eux-mêmes contraints par l’offre de gaz (35 vs 74 MMSCFD) [1] [E]. Le pacte est remarquablement autocritique (risque de surcapacité hydro, chiffres non audités, projections à valider) [1] [E].</w:t>
      </w:r>
    </w:p>
    <w:p>
      <w:pPr>
        <w:numPr>
          <w:ilvl w:val="0"/>
          <w:numId w:val="1220"/>
        </w:numPr>
        <w:pStyle w:val="Compact"/>
      </w:pPr>
      <w:r>
        <w:t xml:space="preserve">Engagements tarifaires :</w:t>
      </w:r>
      <w:r>
        <w:t xml:space="preserve"> </w:t>
      </w:r>
      <w:r>
        <w:rPr>
          <w:bCs/>
          <w:b/>
        </w:rPr>
        <w:t xml:space="preserve">prudents et peu contraignants</w:t>
      </w:r>
      <w:r>
        <w:t xml:space="preserve"> </w:t>
      </w:r>
      <w:r>
        <w:t xml:space="preserve">— reconnaissance du gel depuis 2018, mais seul un « diagnostic » et des « modalités de reprise » sont promis en 2026, conditionnés aux progrès opérationnels ; aucune trajectoire chiffrée ; subvention électricité non chiffrée. L’opérateur fait l’objet d’engagements plus concrets (scission, recapitalisation, compte séquestre, contrat-plan) [E].</w:t>
      </w:r>
    </w:p>
    <w:p>
      <w:pPr>
        <w:numPr>
          <w:ilvl w:val="0"/>
          <w:numId w:val="1220"/>
        </w:numPr>
        <w:pStyle w:val="Compact"/>
      </w:pPr>
      <w:r>
        <w:t xml:space="preserve">Risques principaux : gouvernance SEEG (fraude 2024, administration provisoire, comptes non certifiés) ; dette de la SEEG non chiffrée ; dépendance à des solutions temporaires coûteuses (Karpowership jusqu’en 2028) ; architecture institutionnelle chevauchante (SEEG/SP/GPC/CNEE) ; contribution de 9 % qui alourdit la facture sans financer le secteur [1] [E].</w:t>
      </w:r>
    </w:p>
    <w:p>
      <w:pPr>
        <w:numPr>
          <w:ilvl w:val="0"/>
          <w:numId w:val="1220"/>
        </w:numPr>
        <w:pStyle w:val="Compact"/>
      </w:pPr>
      <w:r>
        <w:t xml:space="preserve">Points à approfondir : phase 2 — plan de redressement et de scission de la SEEG, contrat-plan État-SP-SEEG, dette et recapitalisation, contrats Karpowership/Aggreko ; phase 3 — grille tarifaire 2018, diagnostic tarifaire 2026, coût réel du service par réseau isolé, coût budgétaire des abonnés économiquement faibles.</w:t>
      </w:r>
    </w:p>
    <w:bookmarkEnd w:id="237"/>
    <w:bookmarkStart w:id="238" w:name="inconnus-données-non-trouvées-12"/>
    <w:p>
      <w:pPr>
        <w:pStyle w:val="Heading3"/>
      </w:pPr>
      <w:r>
        <w:t xml:space="preserve">7. Inconnus / données non trouvées</w:t>
      </w:r>
    </w:p>
    <w:p>
      <w:pPr>
        <w:numPr>
          <w:ilvl w:val="0"/>
          <w:numId w:val="1221"/>
        </w:numPr>
        <w:pStyle w:val="Compact"/>
      </w:pPr>
      <w:r>
        <w:t xml:space="preserve">Date et lieu exacts de signature (presse seulement [3]) [?].</w:t>
      </w:r>
    </w:p>
    <w:p>
      <w:pPr>
        <w:numPr>
          <w:ilvl w:val="0"/>
          <w:numId w:val="1221"/>
        </w:numPr>
        <w:pStyle w:val="Compact"/>
      </w:pPr>
      <w:r>
        <w:t xml:space="preserve">Dette de la SEEG, arriérés de l’État, montant de la compensation tarifaire électricité [?] (cases vides de l’Annexe II).</w:t>
      </w:r>
    </w:p>
    <w:p>
      <w:pPr>
        <w:numPr>
          <w:ilvl w:val="0"/>
          <w:numId w:val="1221"/>
        </w:numPr>
        <w:pStyle w:val="Compact"/>
      </w:pPr>
      <w:r>
        <w:t xml:space="preserve">Nombre de compteurs prépayés et de clients comptés/non comptés [?].</w:t>
      </w:r>
    </w:p>
    <w:p>
      <w:pPr>
        <w:numPr>
          <w:ilvl w:val="0"/>
          <w:numId w:val="1221"/>
        </w:numPr>
        <w:pStyle w:val="Compact"/>
      </w:pPr>
      <w:r>
        <w:t xml:space="preserve">Cible exacte de pertes 2030 (« &lt; 156 % » dans le texte extrait — probable « &lt; 15 % ») [?].</w:t>
      </w:r>
    </w:p>
    <w:p>
      <w:pPr>
        <w:numPr>
          <w:ilvl w:val="0"/>
          <w:numId w:val="1221"/>
        </w:numPr>
        <w:pStyle w:val="Compact"/>
      </w:pPr>
      <w:r>
        <w:t xml:space="preserve">Statut de signature du PASBAP (en négociation dans le texte) [?].</w:t>
      </w:r>
    </w:p>
    <w:bookmarkEnd w:id="238"/>
    <w:bookmarkStart w:id="239" w:name="sources-13"/>
    <w:p>
      <w:pPr>
        <w:pStyle w:val="Heading3"/>
      </w:pPr>
      <w:r>
        <w:t xml:space="preserve">Sources</w:t>
      </w:r>
    </w:p>
    <w:p>
      <w:pPr>
        <w:pStyle w:val="FirstParagraph"/>
      </w:pPr>
      <w:r>
        <w:t xml:space="preserve">[1] Gouvernement de la République Gabonaise (MAUEE), « Pacte National de l’Énergie pour la République Gabonaise », Mission 300, s.d. (PDF créé le 15-06-2026), 60 p. https://www.worldbank.org/content/dam/theworldbankgroupasset/document/2026/m300-energy-compacts/Gabon-National-Energy-Compact-Mission-300.pdf, consulté le 2026-10-18.</w:t>
      </w:r>
      <w:r>
        <w:t xml:space="preserve"> </w:t>
      </w:r>
      <w:r>
        <w:t xml:space="preserve">[2] Banque mondiale, « National Energy Compacts » (page de liste ; date « Jun 2026 » affichée pour le Gabon). https://www.worldbank.org/ext/en/energizingafrica/national-energy-compacts, consulté le 2026-10-18.</w:t>
      </w:r>
      <w:r>
        <w:t xml:space="preserve"> </w:t>
      </w:r>
      <w:r>
        <w:t xml:space="preserve">[3] Energy News Network, « Mission 300’s map fills in with six new compacts », 9 juillet 2026. https://energy-news-network.com/?p=17200, consulté le 2026-10-18.</w:t>
      </w:r>
      <w:r>
        <w:t xml:space="preserve"> </w:t>
      </w:r>
      <w:r>
        <w:t xml:space="preserve">[4] Solar Quarter, « African Development Bank and Gabon conclude Africa Energy Market Place 10th edition… », 30 avril 2026. https://solarquarter.com/2026/04/30/african-development-bank-and-gabon-conclude-africa-energy-market-place-10th-edition-to-accelerate-renewable-energy-grid-expansion-and-mission-300-goals/ consulté le 2026-10-18 (l’article confirme la tenue à Libreville mais ne donne pas les dates) [S].</w:t>
      </w:r>
    </w:p>
    <w:p>
      <w:r>
        <w:br w:type="page"/>
      </w:r>
    </w:p>
    <w:bookmarkEnd w:id="239"/>
    <w:bookmarkEnd w:id="240"/>
    <w:bookmarkStart w:id="256" w:name="fiche-pacte-national-de-lénergie-ghana"/>
    <w:p>
      <w:pPr>
        <w:pStyle w:val="Heading2"/>
      </w:pPr>
      <w:r>
        <w:t xml:space="preserve">Fiche pacte national de l’énergie — Ghana</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241" w:name="métadonnées-13"/>
    <w:p>
      <w:pPr>
        <w:pStyle w:val="Heading3"/>
      </w:pPr>
      <w:r>
        <w:t xml:space="preserve">0. Métadonnées</w:t>
      </w:r>
    </w:p>
    <w:p>
      <w:pPr>
        <w:numPr>
          <w:ilvl w:val="0"/>
          <w:numId w:val="1222"/>
        </w:numPr>
        <w:pStyle w:val="Compact"/>
      </w:pPr>
      <w:r>
        <w:t xml:space="preserve">Cohorte / date de présentation : la page Banque mondiale date le pacte de « September 2025 » [2] [V] ; il ne fait donc pas partie de la première cohorte de Dar es Salaam (janvier 2025) [E]. Date exacte de signature non indiquée dans le document [?].</w:t>
      </w:r>
    </w:p>
    <w:p>
      <w:pPr>
        <w:numPr>
          <w:ilvl w:val="0"/>
          <w:numId w:val="1222"/>
        </w:numPr>
        <w:pStyle w:val="Compact"/>
      </w:pPr>
      <w:r>
        <w:t xml:space="preserve">Document du pacte consulté : « National Energy Compact for the Republic of Ghana », 31 p., anglais, non daté (données de référence 2024) [1]. URL : https://www.worldbank.org/content/dam/theworldbankgroupasset/document/2026/m300-energy-compacts/Ghana-National-Energy-Compact-Mission-300.pdf</w:t>
      </w:r>
    </w:p>
    <w:p>
      <w:pPr>
        <w:numPr>
          <w:ilvl w:val="0"/>
          <w:numId w:val="1222"/>
        </w:numPr>
        <w:pStyle w:val="Compact"/>
      </w:pPr>
      <w:r>
        <w:t xml:space="preserve">Accès au texte intégral :</w:t>
      </w:r>
      <w:r>
        <w:t xml:space="preserve"> </w:t>
      </w:r>
      <w:r>
        <w:rPr>
          <w:bCs/>
          <w:b/>
        </w:rPr>
        <w:t xml:space="preserve">oui</w:t>
      </w:r>
      <w:r>
        <w:t xml:space="preserve"> </w:t>
      </w:r>
      <w:r>
        <w:t xml:space="preserve">(PDF téléchargé et extrait). Aucun rapport d’avancement publié sur la page Banque mondiale à la date de consultation [2] [V].</w:t>
      </w:r>
    </w:p>
    <w:p>
      <w:pPr>
        <w:numPr>
          <w:ilvl w:val="0"/>
          <w:numId w:val="1222"/>
        </w:numPr>
        <w:pStyle w:val="Compact"/>
      </w:pPr>
      <w:r>
        <w:t xml:space="preserve">Opérateur(s) national(aux) d’électricité : Volta River Authority (VRA, production publique hydro et thermique) ; IPP (part importante du thermique) ; Ghana Grid Company (GRIDCo, transport et opérateur système) ; Electricity Company of Ghana (ECG, distribution au sud) ; Northern Electricity Distribution Company (NEDCo, nord) [1] [V].</w:t>
      </w:r>
    </w:p>
    <w:p>
      <w:pPr>
        <w:numPr>
          <w:ilvl w:val="0"/>
          <w:numId w:val="1222"/>
        </w:numPr>
        <w:pStyle w:val="Compact"/>
      </w:pPr>
      <w:r>
        <w:t xml:space="preserve">Régulateur : Energy Commission (EC, régulateur technique électricité et gaz) et Public Utilities Regulatory Commission (PURC, tarifs et protection des consommateurs) ; tutelle : Ministry of Energy and Green Transition (MoEnGT) [1] [V].</w:t>
      </w:r>
    </w:p>
    <w:bookmarkEnd w:id="241"/>
    <w:bookmarkStart w:id="242" w:name="situation-de-départ-selon-le-pacte-13"/>
    <w:p>
      <w:pPr>
        <w:pStyle w:val="Heading3"/>
      </w:pPr>
      <w:r>
        <w:t xml:space="preserve">1. Situation de départ (selon le pacte)</w:t>
      </w:r>
    </w:p>
    <w:p>
      <w:pPr>
        <w:numPr>
          <w:ilvl w:val="0"/>
          <w:numId w:val="1223"/>
        </w:numPr>
        <w:pStyle w:val="Compact"/>
      </w:pPr>
      <w:r>
        <w:t xml:space="preserve">Taux d’accès national : 89 % (2024) [1] [V] ; 89,03 % dans la section 3 [1] [V]. Nord du Ghana : environ 60 % [1] [V]. Taux urbain / rural : [?] non donné.</w:t>
      </w:r>
    </w:p>
    <w:p>
      <w:pPr>
        <w:numPr>
          <w:ilvl w:val="0"/>
          <w:numId w:val="1223"/>
        </w:numPr>
        <w:pStyle w:val="Compact"/>
      </w:pPr>
      <w:r>
        <w:t xml:space="preserve">Population sans accès : 11 %, ~3,7 millions de personnes [1] [V]. Population totale 34,4 millions (2024) [1] [V].</w:t>
      </w:r>
    </w:p>
    <w:p>
      <w:pPr>
        <w:numPr>
          <w:ilvl w:val="0"/>
          <w:numId w:val="1223"/>
        </w:numPr>
        <w:pStyle w:val="Compact"/>
      </w:pPr>
      <w:r>
        <w:t xml:space="preserve">Capacité installée, mix de production : capacité passée de 2 170 MW (2011) à environ 5 641 MW (2024), avec une surcapacité importante sous contrats « take-or-pay » [1] [V]. L’annexe II donne 5 300 MW de capacité conventionnelle et l’annexe III 4,8 GW installés/disponibles (70 % disponibles) [1] [V — chiffres non cohérents entre eux]. Mix (annexe III, 2024) : 62 % thermique, 36 % hydro, 2 % solaire [1] [V]. Le gaz représente plus de 60 % du mix et le coût d’achat de l’énergie près de 80 % du tarif [1] [V].</w:t>
      </w:r>
    </w:p>
    <w:p>
      <w:pPr>
        <w:numPr>
          <w:ilvl w:val="0"/>
          <w:numId w:val="1223"/>
        </w:numPr>
        <w:pStyle w:val="Compact"/>
      </w:pPr>
      <w:r>
        <w:t xml:space="preserve">Pertes : pertes de transport ~4-5 % ; pertes ATC&amp;C d’ECG et NEDCo ~25 % ; pertes de distribution d’ECG 27 % (2024), taux de recouvrement d’ECG 86 % (2023) [1] [V].</w:t>
      </w:r>
    </w:p>
    <w:p>
      <w:pPr>
        <w:numPr>
          <w:ilvl w:val="0"/>
          <w:numId w:val="1223"/>
        </w:numPr>
        <w:pStyle w:val="Compact"/>
      </w:pPr>
      <w:r>
        <w:t xml:space="preserve">Finances du secteur : déficit du secteur estimé à 2,2 % du PIB en 2024 ; arriérés envers les IPP et fournisseurs de combustible 2,1 Md USD (2,8 % du PIB) fin 2023 [1] [V] ; subventions réduites de 2,5 Md GHS (200 M USD) en 2022 à 1,2 Md GHS (100 M USD) en 2023, déficit projeté de 3 Md GHS en 2024 [1] [V] ; écart tarifaire de 18 % [1] [V] ; résultat net d’ECG −50 M USD [1] [V].</w:t>
      </w:r>
    </w:p>
    <w:p>
      <w:pPr>
        <w:numPr>
          <w:ilvl w:val="0"/>
          <w:numId w:val="1223"/>
        </w:numPr>
        <w:pStyle w:val="Compact"/>
      </w:pPr>
      <w:r>
        <w:t xml:space="preserve">Accès à la cuisson propre : 36,9 % (base, année non précisée) [1] [V] ; plus de 60 % de la population dépend des combustibles solides [1] [V] ; LPG combustible principal pour 31 % des ménages urbains et 5 % des ménages ruraux [1] [V].</w:t>
      </w:r>
    </w:p>
    <w:bookmarkEnd w:id="242"/>
    <w:bookmarkStart w:id="243" w:name="cibles-2030-12"/>
    <w:p>
      <w:pPr>
        <w:pStyle w:val="Heading3"/>
      </w:pPr>
      <w:r>
        <w:t xml:space="preserve">2. Cibles 2030</w:t>
      </w:r>
    </w:p>
    <w:p>
      <w:pPr>
        <w:numPr>
          <w:ilvl w:val="0"/>
          <w:numId w:val="1224"/>
        </w:numPr>
        <w:pStyle w:val="Compact"/>
      </w:pPr>
      <w:r>
        <w:t xml:space="preserve">Accès électricité : 99 % en 2030 [1] [V] (99,8 % dans l’annexe II [1] [V]). Réseau : accès par le réseau à 95 % via 3 185 projets d’extension raccordant ~660 000 consommateurs ruraux (le tableau des cibles dit « 660,000 new households ») [1] [V]. Hors réseau : 400 mini-réseaux pour 250 000 ménages (tableau des cibles) ou « about 250,000 people » (plan d’action) [1] [V — incohérence unité ménages/personnes]. Solaire domestique : 1 450 SHS supplémentaires d’ici 2028 (plan d’action) mais 1 000 000 SHS en 2030 (annexe III) [1] [V — incohérence]. +120 MW de DRE d’ici 2030 (base 60,8 MW) [1] [V].</w:t>
      </w:r>
    </w:p>
    <w:p>
      <w:pPr>
        <w:numPr>
          <w:ilvl w:val="0"/>
          <w:numId w:val="1224"/>
        </w:numPr>
        <w:pStyle w:val="Compact"/>
      </w:pPr>
      <w:r>
        <w:t xml:space="preserve">Part des renouvelables (hors grande hydro) : de 4 % (2024) à 10 % en 2030 [1] [V] (base 2,30 % dans l’annexe II [1] [V]). Ajouts : solaire 850 MW (150 MW 2026, 200 MW 2027, 200 MW 2028, 300 MW 2029), hydro 150 MW (2030), éolien 200 MW (2029) [1] [V].</w:t>
      </w:r>
    </w:p>
    <w:p>
      <w:pPr>
        <w:numPr>
          <w:ilvl w:val="0"/>
          <w:numId w:val="1224"/>
        </w:numPr>
        <w:pStyle w:val="Compact"/>
      </w:pPr>
      <w:r>
        <w:t xml:space="preserve">Cuisson propre : de 36,9 % à 50 % en 2030, principalement par le LPG [1] [V] ; 5 millions de foyers améliorés supplémentaires (dont 3 millions de foyers biomasse efficaces) d’ici 2030 [1] [V].</w:t>
      </w:r>
    </w:p>
    <w:p>
      <w:pPr>
        <w:numPr>
          <w:ilvl w:val="0"/>
          <w:numId w:val="1224"/>
        </w:numPr>
        <w:pStyle w:val="Compact"/>
      </w:pPr>
      <w:r>
        <w:t xml:space="preserve">Autres cibles chiffrées : capitaux privés « USD 2 Billion » (tableau des cibles), 2,6 Md USD (préambule / appel à partenariat) ou 1,5 Md USD (annexe II) [1] [V — trois valeurs différentes]. Réduction de la pointe de 2,5 % via la maîtrise de la demande [1] [V]. 200 MW de stockage par batteries d’ici 2030 [1] [V]. Femmes dans les entreprises publiques du secteur : de 25 % à 30 % [1] [V]. Capacité d’interconnexion +1 000 MVA (base 1 386 MVA) [1] [V].</w:t>
      </w:r>
    </w:p>
    <w:bookmarkEnd w:id="243"/>
    <w:bookmarkStart w:id="250" w:name="réformes-promises-cœur-de-lanalyse-10"/>
    <w:p>
      <w:pPr>
        <w:pStyle w:val="Heading3"/>
      </w:pPr>
      <w:r>
        <w:t xml:space="preserve">3. Réformes promises (cœur de l’analyse)</w:t>
      </w:r>
    </w:p>
    <w:bookmarkStart w:id="244" w:name="tarifs-et-subventions-13"/>
    <w:p>
      <w:pPr>
        <w:pStyle w:val="Heading4"/>
      </w:pPr>
      <w:r>
        <w:t xml:space="preserve">3.1 Tarifs et subventions</w:t>
      </w:r>
    </w:p>
    <w:p>
      <w:pPr>
        <w:numPr>
          <w:ilvl w:val="0"/>
          <w:numId w:val="1225"/>
        </w:numPr>
        <w:pStyle w:val="Compact"/>
      </w:pPr>
      <w:r>
        <w:t xml:space="preserve">Combler l’écart tarifaire de 18 % par des ajustements trimestriels (coût du combustible, marge de réserve) et atteindre des tarifs de recouvrement intégral des coûts d’ici 2027 via le MYTO [1] [V].</w:t>
      </w:r>
    </w:p>
    <w:p>
      <w:pPr>
        <w:numPr>
          <w:ilvl w:val="0"/>
          <w:numId w:val="1225"/>
        </w:numPr>
        <w:pStyle w:val="Compact"/>
      </w:pPr>
      <w:r>
        <w:t xml:space="preserve">Émission du MYTO 2025 d’ici décembre 2025 ; ajustements trimestriels sur toute la période MYTO [1] [V].</w:t>
      </w:r>
    </w:p>
    <w:p>
      <w:pPr>
        <w:numPr>
          <w:ilvl w:val="0"/>
          <w:numId w:val="1225"/>
        </w:numPr>
        <w:pStyle w:val="Compact"/>
      </w:pPr>
      <w:r>
        <w:t xml:space="preserve">Études de coût de service d’ici 2026 [1] [V].</w:t>
      </w:r>
    </w:p>
    <w:p>
      <w:pPr>
        <w:numPr>
          <w:ilvl w:val="0"/>
          <w:numId w:val="1225"/>
        </w:numPr>
        <w:pStyle w:val="Compact"/>
      </w:pPr>
      <w:r>
        <w:t xml:space="preserve">Suppression progressive des subventions « lifeline » généralisées au profit d’une extension ciblée du programme LEAP ; PURC « explore » le remplacement du tarif lifeline par des subventions sous condition de ressources (0-30 kWh/mois) financées par la réaffectation des subventions croisées ; évaluation du seuil lifeline d’ici 2027 [1] [V].</w:t>
      </w:r>
    </w:p>
    <w:p>
      <w:pPr>
        <w:numPr>
          <w:ilvl w:val="0"/>
          <w:numId w:val="1225"/>
        </w:numPr>
        <w:pStyle w:val="Compact"/>
      </w:pPr>
      <w:r>
        <w:t xml:space="preserve">Tarifs dynamiques via compteurs intelligents ; tarif horaire (Time of Use) d’ici 2027 [1] [V].</w:t>
      </w:r>
    </w:p>
    <w:p>
      <w:pPr>
        <w:numPr>
          <w:ilvl w:val="0"/>
          <w:numId w:val="1225"/>
        </w:numPr>
        <w:pStyle w:val="Compact"/>
      </w:pPr>
      <w:r>
        <w:t xml:space="preserve">Politique tarifaire des mini-réseaux par PURC pour combler le déficit d’OPEX d’ici fin 2026 ; tarif de net-metering pleinement mis en œuvre fin 2026 [1] [V].</w:t>
      </w:r>
    </w:p>
    <w:p>
      <w:pPr>
        <w:numPr>
          <w:ilvl w:val="0"/>
          <w:numId w:val="1225"/>
        </w:numPr>
        <w:pStyle w:val="Compact"/>
      </w:pPr>
      <w:r>
        <w:t xml:space="preserve">Engagement à maintenir le raccordement des ménages à faible consommation (clients lifeline), « eliminating arbitrary cut-offs » [1] [V].</w:t>
      </w:r>
    </w:p>
    <w:p>
      <w:pPr>
        <w:numPr>
          <w:ilvl w:val="0"/>
          <w:numId w:val="1225"/>
        </w:numPr>
        <w:pStyle w:val="Compact"/>
      </w:pPr>
      <w:r>
        <w:t xml:space="preserve">Annexe III : « Tariff adjustments (+15%/year) and smart meters ($100M) needed » pour ramener ECG à l’équilibre [1] [V].</w:t>
      </w:r>
    </w:p>
    <w:bookmarkEnd w:id="244"/>
    <w:bookmarkStart w:id="245" w:name="Xa1f4ebdd4cfd4121a55cba9a0a4a572097b3137"/>
    <w:p>
      <w:pPr>
        <w:pStyle w:val="Heading4"/>
      </w:pPr>
      <w:r>
        <w:t xml:space="preserve">3.2 Opérateur (redressement, contrats de performance, pertes, recouvrement, compteurs)</w:t>
      </w:r>
    </w:p>
    <w:p>
      <w:pPr>
        <w:numPr>
          <w:ilvl w:val="0"/>
          <w:numId w:val="1226"/>
        </w:numPr>
        <w:pStyle w:val="Compact"/>
      </w:pPr>
      <w:r>
        <w:rPr>
          <w:bCs/>
          <w:b/>
        </w:rPr>
        <w:t xml:space="preserve">Participation privée dans la distribution (ECG)</w:t>
      </w:r>
      <w:r>
        <w:t xml:space="preserve"> </w:t>
      </w:r>
      <w:r>
        <w:t xml:space="preserve">: lancement de la sélection de concessionnaires privés d’ici janvier 2026 ; contrat(s) d’exploitation-maintenance de la distribution attribués d’ici le T4 2026 [1] [V]. Audit technique et financier d’ECG en préparation en 2025 ; stratégie de restructuration élaborée avec Banque mondiale et FMI, attendue début 2026 et à adopter en Conseil des ministres [1] [V].</w:t>
      </w:r>
    </w:p>
    <w:p>
      <w:pPr>
        <w:numPr>
          <w:ilvl w:val="0"/>
          <w:numId w:val="1226"/>
        </w:numPr>
        <w:pStyle w:val="Compact"/>
      </w:pPr>
      <w:r>
        <w:t xml:space="preserve">Pertes de distribution d’ECG de 27 % (2024) à 23 % en 2030 ; recouvrement d’ECG de 86 % (2023) à 93 % en 2028 [1] [V].</w:t>
      </w:r>
    </w:p>
    <w:p>
      <w:pPr>
        <w:numPr>
          <w:ilvl w:val="0"/>
          <w:numId w:val="1226"/>
        </w:numPr>
        <w:pStyle w:val="Compact"/>
      </w:pPr>
      <w:r>
        <w:t xml:space="preserve">PIP contraignants avec revues trimestrielles, mise en œuvre dès le T1 2026, système de suivi par PURC/EC d’ici 2027 ; études de pertes indépendantes [1] [V].</w:t>
      </w:r>
    </w:p>
    <w:p>
      <w:pPr>
        <w:numPr>
          <w:ilvl w:val="0"/>
          <w:numId w:val="1226"/>
        </w:numPr>
        <w:pStyle w:val="Compact"/>
      </w:pPr>
      <w:r>
        <w:t xml:space="preserve">Compteurs : 0,5 million de compteurs intelligents en 2025 ; déploiement sur 5 ans de 2,9 millions de compteurs d’ici 2029 [1] [V].</w:t>
      </w:r>
    </w:p>
    <w:p>
      <w:pPr>
        <w:numPr>
          <w:ilvl w:val="0"/>
          <w:numId w:val="1226"/>
        </w:numPr>
        <w:pStyle w:val="Compact"/>
      </w:pPr>
      <w:r>
        <w:t xml:space="preserve">Nouveau système de gestion commerciale (CMS) d’ECG d’ici 2028 ; amélioration de la gestion des compteurs fin 2026 ; suivi des interruptions en temps réel en 2028 [1] [V].</w:t>
      </w:r>
    </w:p>
    <w:p>
      <w:pPr>
        <w:numPr>
          <w:ilvl w:val="0"/>
          <w:numId w:val="1226"/>
        </w:numPr>
        <w:pStyle w:val="Compact"/>
      </w:pPr>
      <w:r>
        <w:t xml:space="preserve">Audits financiers de toutes les entreprises publiques dans les 6 mois suivant la clôture ; audits trimestriels du Cash Waterfall Mechanism jusqu’en 2030 ; audit de la dette intra-sectorielle 2023-2025 d’ici fin 2026 [1] [V].</w:t>
      </w:r>
    </w:p>
    <w:p>
      <w:pPr>
        <w:numPr>
          <w:ilvl w:val="0"/>
          <w:numId w:val="1226"/>
        </w:numPr>
        <w:pStyle w:val="Compact"/>
      </w:pPr>
      <w:r>
        <w:t xml:space="preserve">GRIDCo : dispatch économique automatisé sous contraintes de sécurité d’ici fin 2028 ; séparation des fonctions d’opérateur système et d’opérateur de marché (sans date) [1] [V].</w:t>
      </w:r>
    </w:p>
    <w:bookmarkEnd w:id="245"/>
    <w:bookmarkStart w:id="246" w:name="régulation-et-gouvernance-9"/>
    <w:p>
      <w:pPr>
        <w:pStyle w:val="Heading4"/>
      </w:pPr>
      <w:r>
        <w:t xml:space="preserve">3.3 Régulation et gouvernance</w:t>
      </w:r>
    </w:p>
    <w:p>
      <w:pPr>
        <w:numPr>
          <w:ilvl w:val="0"/>
          <w:numId w:val="1227"/>
        </w:numPr>
        <w:pStyle w:val="Compact"/>
      </w:pPr>
      <w:r>
        <w:t xml:space="preserve">Mise à jour de l’IPSMP (version 2026 d’ici déc. 2025, version 2029 d’ici déc. 2028) ; maintien du Power Planning Technical Committee [1] [V].</w:t>
      </w:r>
    </w:p>
    <w:p>
      <w:pPr>
        <w:numPr>
          <w:ilvl w:val="0"/>
          <w:numId w:val="1227"/>
        </w:numPr>
        <w:pStyle w:val="Compact"/>
      </w:pPr>
      <w:r>
        <w:t xml:space="preserve">Instrument législatif (L.I.) sur l’achat concurrentiel de capacité déjà approuvé par le Parlement ; lignes directrices EC/PURC et documents types (PPA modèles) d’ici mars 2026 ; plateforme numérique publiant appels d’offres et PPA signés [1] [V].</w:t>
      </w:r>
    </w:p>
    <w:p>
      <w:pPr>
        <w:numPr>
          <w:ilvl w:val="0"/>
          <w:numId w:val="1227"/>
        </w:numPr>
        <w:pStyle w:val="Compact"/>
      </w:pPr>
      <w:r>
        <w:t xml:space="preserve">Renégociation des PPA « take-or-pay » (déjà engagée dans l’ESRP) [1] [V].</w:t>
      </w:r>
    </w:p>
    <w:p>
      <w:pPr>
        <w:numPr>
          <w:ilvl w:val="0"/>
          <w:numId w:val="1227"/>
        </w:numPr>
        <w:pStyle w:val="Compact"/>
      </w:pPr>
      <w:r>
        <w:t xml:space="preserve">Création d’une Renewable Energy Authority ; guichet unique numérique, infrastructure publique numérique de données énergie ; stratégie de digitalisation d’ici déc. 2026 [1] [V].</w:t>
      </w:r>
    </w:p>
    <w:p>
      <w:pPr>
        <w:numPr>
          <w:ilvl w:val="0"/>
          <w:numId w:val="1227"/>
        </w:numPr>
        <w:pStyle w:val="Compact"/>
      </w:pPr>
      <w:r>
        <w:t xml:space="preserve">Clean cooking : politique, stratégie et prospectus d’investissement d’ici 2026 [1] [V].</w:t>
      </w:r>
    </w:p>
    <w:bookmarkEnd w:id="246"/>
    <w:bookmarkStart w:id="247" w:name="X981597755dc1c4468e43d65b6dec0ce85902073"/>
    <w:p>
      <w:pPr>
        <w:pStyle w:val="Heading4"/>
      </w:pPr>
      <w:r>
        <w:t xml:space="preserve">3.4 Participation du privé (producteurs indépendants, concessions, hors réseau)</w:t>
      </w:r>
    </w:p>
    <w:p>
      <w:pPr>
        <w:numPr>
          <w:ilvl w:val="0"/>
          <w:numId w:val="1228"/>
        </w:numPr>
        <w:pStyle w:val="Compact"/>
      </w:pPr>
      <w:r>
        <w:t xml:space="preserve">Enchères solaires : deux tranches de 200 MW ; conseiller transactionnel pour la phase 1 d’ici T1 2026 ; SPV de parc solaire partagé d’ici T3 2026 ; attribution du contrat phase 1 d’ici T2 2027 [1] [V].</w:t>
      </w:r>
    </w:p>
    <w:p>
      <w:pPr>
        <w:numPr>
          <w:ilvl w:val="0"/>
          <w:numId w:val="1228"/>
        </w:numPr>
        <w:pStyle w:val="Compact"/>
      </w:pPr>
      <w:r>
        <w:t xml:space="preserve">Facilité de préparation et de financement de projets d’ici fin 2025 [1] [V].</w:t>
      </w:r>
    </w:p>
    <w:p>
      <w:pPr>
        <w:numPr>
          <w:ilvl w:val="0"/>
          <w:numId w:val="1228"/>
        </w:numPr>
        <w:pStyle w:val="Compact"/>
      </w:pPr>
      <w:r>
        <w:t xml:space="preserve">40 M USD de financement long terme en monnaie locale pour les DRE d’ici 2026 [1] [V].</w:t>
      </w:r>
    </w:p>
    <w:p>
      <w:pPr>
        <w:numPr>
          <w:ilvl w:val="0"/>
          <w:numId w:val="1228"/>
        </w:numPr>
        <w:pStyle w:val="Compact"/>
      </w:pPr>
      <w:r>
        <w:t xml:space="preserve">SHS privés : achat à crédit auprès de vendeurs agréés avec subvention jusqu’à 50 %, remboursement sur 6 à 18 mois [1] [V]. PUE : gouvernement et partenaires financent 80 % des projets solaires des petites entreprises, 20 % restant sur 12 mois [1] [V].</w:t>
      </w:r>
    </w:p>
    <w:p>
      <w:pPr>
        <w:numPr>
          <w:ilvl w:val="0"/>
          <w:numId w:val="1228"/>
        </w:numPr>
        <w:pStyle w:val="Compact"/>
      </w:pPr>
      <w:r>
        <w:t xml:space="preserve">PPP de transport (BOOT, fonds d’infrastructure) ; Transmission Innovation Hub opérationnel d’ici 2026 [1] [V].</w:t>
      </w:r>
    </w:p>
    <w:p>
      <w:pPr>
        <w:numPr>
          <w:ilvl w:val="0"/>
          <w:numId w:val="1228"/>
        </w:numPr>
        <w:pStyle w:val="Compact"/>
      </w:pPr>
      <w:r>
        <w:t xml:space="preserve">Fonds REGTIF (Renewable Energy and Green Transition Investment Fund) [1] [V].</w:t>
      </w:r>
    </w:p>
    <w:bookmarkEnd w:id="247"/>
    <w:bookmarkStart w:id="248" w:name="Xcbb5e8e6ef19346786e8218927264ee2f2a0547"/>
    <w:p>
      <w:pPr>
        <w:pStyle w:val="Heading4"/>
      </w:pPr>
      <w:r>
        <w:t xml:space="preserve">3.5 Intégration régionale (pools énergétiques, interconnexions)</w:t>
      </w:r>
    </w:p>
    <w:p>
      <w:pPr>
        <w:numPr>
          <w:ilvl w:val="0"/>
          <w:numId w:val="1229"/>
        </w:numPr>
        <w:pStyle w:val="Compact"/>
      </w:pPr>
      <w:r>
        <w:t xml:space="preserve">Interconnexion 330 kV Ghana – Côte d’Ivoire d’ici 2030 ; étude de faisabilité Ghana – Burkina Faso – Mali d’ici 2028 [1] [V].</w:t>
      </w:r>
    </w:p>
    <w:p>
      <w:pPr>
        <w:numPr>
          <w:ilvl w:val="0"/>
          <w:numId w:val="1229"/>
        </w:numPr>
        <w:pStyle w:val="Compact"/>
      </w:pPr>
      <w:r>
        <w:t xml:space="preserve">Adoption du cadre régional de prix de transit (wheeling) ; échanges bilatéraux transfrontaliers par les IPP [1] [V].</w:t>
      </w:r>
    </w:p>
    <w:p>
      <w:pPr>
        <w:numPr>
          <w:ilvl w:val="0"/>
          <w:numId w:val="1229"/>
        </w:numPr>
        <w:pStyle w:val="Compact"/>
      </w:pPr>
      <w:r>
        <w:t xml:space="preserve">Exportations : 1 314 000 MWh (2024) → 3 000 000 MWh (2030) [1] [V]. Exportations actuelles vers Côte d’Ivoire, Togo/Bénin, Burkina Faso ; exploration d’exportations vers Liberia, Sierra Leone, Guinée via CLSG [1] [V].</w:t>
      </w:r>
    </w:p>
    <w:p>
      <w:pPr>
        <w:numPr>
          <w:ilvl w:val="0"/>
          <w:numId w:val="1229"/>
        </w:numPr>
        <w:pStyle w:val="Compact"/>
      </w:pPr>
      <w:r>
        <w:t xml:space="preserve">Mise à niveau des corridors Middle, Western, Coastal et Accra-Kumasi [1] [V].</w:t>
      </w:r>
    </w:p>
    <w:bookmarkEnd w:id="248"/>
    <w:bookmarkStart w:id="249" w:name="autres-fiscalité-foncier-local-content-6"/>
    <w:p>
      <w:pPr>
        <w:pStyle w:val="Heading4"/>
      </w:pPr>
      <w:r>
        <w:t xml:space="preserve">3.6 Autres (fiscalité, foncier, local content)</w:t>
      </w:r>
    </w:p>
    <w:p>
      <w:pPr>
        <w:numPr>
          <w:ilvl w:val="0"/>
          <w:numId w:val="1230"/>
        </w:numPr>
        <w:pStyle w:val="Compact"/>
      </w:pPr>
      <w:r>
        <w:t xml:space="preserve">Droits d’importation élevés cités comme obstacle, sans engagement de réforme fiscale [1] [V].</w:t>
      </w:r>
    </w:p>
    <w:p>
      <w:pPr>
        <w:numPr>
          <w:ilvl w:val="0"/>
          <w:numId w:val="1230"/>
        </w:numPr>
        <w:pStyle w:val="Compact"/>
      </w:pPr>
      <w:r>
        <w:t xml:space="preserve">Spécification du foncier disponible dans les appels d’offres [1] [V].</w:t>
      </w:r>
    </w:p>
    <w:p>
      <w:pPr>
        <w:numPr>
          <w:ilvl w:val="0"/>
          <w:numId w:val="1230"/>
        </w:numPr>
        <w:pStyle w:val="Compact"/>
      </w:pPr>
      <w:r>
        <w:t xml:space="preserve">Formation : 200 ingénieurs et 100 agents de régulation par an [1] [V].</w:t>
      </w:r>
    </w:p>
    <w:bookmarkEnd w:id="249"/>
    <w:bookmarkEnd w:id="250"/>
    <w:bookmarkStart w:id="251" w:name="financement-13"/>
    <w:p>
      <w:pPr>
        <w:pStyle w:val="Heading3"/>
      </w:pPr>
      <w:r>
        <w:t xml:space="preserve">4. Financement</w:t>
      </w:r>
    </w:p>
    <w:p>
      <w:pPr>
        <w:numPr>
          <w:ilvl w:val="0"/>
          <w:numId w:val="1231"/>
        </w:numPr>
        <w:pStyle w:val="Compact"/>
      </w:pPr>
      <w:r>
        <w:t xml:space="preserve">Besoin total : 4,4 Md USD (2025-2030), dont 2,6 Md USD privés et 1,8 Md USD publics/bailleurs [1] [V]. Tableau détaillé (M USD) : production 2 000 (public 200 / privé 1 800) ; transport 485 (155 / 330) ; distribution 410 (294 / 116) ; dernier kilomètre 232 (167 / 65) ; hors réseau 500 (200 / 300) ; cuisson propre 717 (public) ; renforcement des capacités 60 (public) ; total 4 404 (1 793 / 2 611) [1] [V]. L’annexe I totalise 4 819 M USD (415 engagés, besoin public 1 733, privé 2 671) [1] [V — non réconcilié].</w:t>
      </w:r>
    </w:p>
    <w:p>
      <w:pPr>
        <w:numPr>
          <w:ilvl w:val="0"/>
          <w:numId w:val="1231"/>
        </w:numPr>
        <w:pStyle w:val="Compact"/>
      </w:pPr>
      <w:r>
        <w:t xml:space="preserve">Engagements cités : Banque mondiale — Energy Sector Recovery PforR 2024-2027, 260 M USD [1] [V] ; BAD — SREP 85 M USD (120 MW) [1] [V]. Programme d’électrification rurale : 50 M USD publics ayant mobilisé 60 M USD privés depuis 2018 [1] [V].</w:t>
      </w:r>
    </w:p>
    <w:bookmarkEnd w:id="251"/>
    <w:bookmarkStart w:id="252" w:name="calendrier-et-suivi-13"/>
    <w:p>
      <w:pPr>
        <w:pStyle w:val="Heading3"/>
      </w:pPr>
      <w:r>
        <w:t xml:space="preserve">5. Calendrier et suivi</w:t>
      </w:r>
    </w:p>
    <w:p>
      <w:pPr>
        <w:numPr>
          <w:ilvl w:val="0"/>
          <w:numId w:val="1232"/>
        </w:numPr>
        <w:pStyle w:val="Compact"/>
      </w:pPr>
      <w:r>
        <w:t xml:space="preserve">Jalons datés : facilité de préparation fin 2025 ; MYTO déc. 2025 ; lignes directrices achats mars 2026 ; sélection concessionnaires distribution janv. 2026 → contrat T4 2026 ; PIP T1 2026 ; net-metering et tarif mini-réseaux fin 2026 ; recouvrement des coûts 2027 ; tarif horaire 2027 ; enchère solaire phase 1 T2 2027 ; recouvrement ECG 93 % en 2028 ; CMS ECG 2028 ; 2,9 M compteurs 2029 ; pertes ECG 23 % en 2030 [1] [V].</w:t>
      </w:r>
    </w:p>
    <w:p>
      <w:pPr>
        <w:numPr>
          <w:ilvl w:val="0"/>
          <w:numId w:val="1232"/>
        </w:numPr>
        <w:pStyle w:val="Compact"/>
      </w:pPr>
      <w:r>
        <w:t xml:space="preserve">Suivi : cadre S&amp;E avec SIG piloté par le MoEnGT ; Compact Delivery Monitoring Unit (CDMU) « formally constituted » [1] [V]. Aucun rapport d’avancement publié [2] [V].</w:t>
      </w:r>
    </w:p>
    <w:bookmarkEnd w:id="252"/>
    <w:bookmarkStart w:id="253" w:name="lecture-critique-10"/>
    <w:p>
      <w:pPr>
        <w:pStyle w:val="Heading3"/>
      </w:pPr>
      <w:r>
        <w:t xml:space="preserve">6. Lecture critique</w:t>
      </w:r>
    </w:p>
    <w:p>
      <w:pPr>
        <w:numPr>
          <w:ilvl w:val="0"/>
          <w:numId w:val="1233"/>
        </w:numPr>
        <w:pStyle w:val="Compact"/>
      </w:pPr>
      <w:r>
        <w:t xml:space="preserve">Réalisme des cibles : l’accès à 99 % depuis 89 % est plausible au regard du niveau déjà atteint, mais le dernier décile (Nord à ~60 %) est le plus coûteux [E]. La cible renouvelable (850 MW de solaire en 4 ans) contraste avec l’annexe III elle-même, qui juge l’objectif atteignable « only if 400MW solar/wind added » et note l’absence de nouvelle hydro dans le pipeline [1] [V]. Cuisson propre : +13 points en ~6 ans contre une croissance annuelle moyenne de 3 % citée par le pacte [1] — tendance compatible si le « 3 % » désigne une croissance relative, ambiguë [E].</w:t>
      </w:r>
    </w:p>
    <w:p>
      <w:pPr>
        <w:numPr>
          <w:ilvl w:val="0"/>
          <w:numId w:val="1233"/>
        </w:numPr>
        <w:pStyle w:val="Compact"/>
      </w:pPr>
      <w:r>
        <w:t xml:space="preserve">Engagements tarifaires :</w:t>
      </w:r>
      <w:r>
        <w:t xml:space="preserve"> </w:t>
      </w:r>
      <w:r>
        <w:rPr>
          <w:bCs/>
          <w:b/>
        </w:rPr>
        <w:t xml:space="preserve">plutôt précis</w:t>
      </w:r>
      <w:r>
        <w:t xml:space="preserve"> </w:t>
      </w:r>
      <w:r>
        <w:t xml:space="preserve">(écart de 18 %, recouvrement intégral 2027, MYTO déc. 2025, ajustements trimestriels, réforme lifeline 0-30 kWh), mais la réforme des subventions reste au stade « exploring » et la trajectoire tarifaire chiffrée n’apparaît que dans l’annexe (« +15%/year ») [1] [E].</w:t>
      </w:r>
    </w:p>
    <w:p>
      <w:pPr>
        <w:numPr>
          <w:ilvl w:val="0"/>
          <w:numId w:val="1233"/>
        </w:numPr>
        <w:pStyle w:val="Compact"/>
      </w:pPr>
      <w:r>
        <w:t xml:space="preserve">Engagement opérateur le plus saillant : concession privée de la distribution (ECG) avec contrat d’ici T4 2026 — réforme politiquement sensible ; le pacte lui-même note que la PSP dans ECG et NEDCo « has attracted limited investment » [1] [V] ; les tentatives antérieures de concession d’ECG (non décrites dans le pacte) sont à documenter en phase 2 [E].</w:t>
      </w:r>
    </w:p>
    <w:p>
      <w:pPr>
        <w:numPr>
          <w:ilvl w:val="0"/>
          <w:numId w:val="1233"/>
        </w:numPr>
        <w:pStyle w:val="Compact"/>
      </w:pPr>
      <w:r>
        <w:t xml:space="preserve">Risques principaux : surcapacité take-or-pay et arriérés (2,1 Md USD) ; dépendance au gaz ; incohérences internes nombreuses du document (capitaux privés 1,5 / 2,0 / 2,6 Md ; besoins 4,4 vs 4,8 Md ; capacité 4,8 / 5,3 / 5,6 GW ; SHS 1 450 vs 1 000 000) qui affaiblissent sa valeur de référence pour le suivi [E].</w:t>
      </w:r>
    </w:p>
    <w:p>
      <w:pPr>
        <w:numPr>
          <w:ilvl w:val="0"/>
          <w:numId w:val="1233"/>
        </w:numPr>
        <w:pStyle w:val="Compact"/>
      </w:pPr>
      <w:r>
        <w:t xml:space="preserve">Points à approfondir — phase 2 (opérateur) : calendrier et modèle de la PSP dans ECG, PIP, trajectoire pertes/recouvrement, Cash Waterfall Mechanism. Phase 3 (tarifs) : décisions PURC et MYTO 2025, réforme lifeline/LEAP, ajustements trimestriels effectifs.</w:t>
      </w:r>
    </w:p>
    <w:bookmarkEnd w:id="253"/>
    <w:bookmarkStart w:id="254" w:name="inconnus-données-non-trouvées-13"/>
    <w:p>
      <w:pPr>
        <w:pStyle w:val="Heading3"/>
      </w:pPr>
      <w:r>
        <w:t xml:space="preserve">7. Inconnus / données non trouvées</w:t>
      </w:r>
    </w:p>
    <w:p>
      <w:pPr>
        <w:numPr>
          <w:ilvl w:val="0"/>
          <w:numId w:val="1234"/>
        </w:numPr>
        <w:pStyle w:val="Compact"/>
      </w:pPr>
      <w:r>
        <w:t xml:space="preserve">Date et lieu exacts de présentation du pacte : [?] (seulement « September 2025 » sur la page Banque mondiale).</w:t>
      </w:r>
    </w:p>
    <w:p>
      <w:pPr>
        <w:numPr>
          <w:ilvl w:val="0"/>
          <w:numId w:val="1234"/>
        </w:numPr>
        <w:pStyle w:val="Compact"/>
      </w:pPr>
      <w:r>
        <w:t xml:space="preserve">Taux d’accès urbain / rural : [?].</w:t>
      </w:r>
    </w:p>
    <w:p>
      <w:pPr>
        <w:numPr>
          <w:ilvl w:val="0"/>
          <w:numId w:val="1234"/>
        </w:numPr>
        <w:pStyle w:val="Compact"/>
      </w:pPr>
      <w:r>
        <w:t xml:space="preserve">Année de référence du taux de cuisson propre (36,9 %) : [?].</w:t>
      </w:r>
    </w:p>
    <w:p>
      <w:pPr>
        <w:numPr>
          <w:ilvl w:val="0"/>
          <w:numId w:val="1234"/>
        </w:numPr>
        <w:pStyle w:val="Compact"/>
      </w:pPr>
      <w:r>
        <w:t xml:space="preserve">Montant cible privé de référence (1,5 / 2,0 / 2,6 Md USD) : [?] non tranché par le document.</w:t>
      </w:r>
    </w:p>
    <w:p>
      <w:pPr>
        <w:numPr>
          <w:ilvl w:val="0"/>
          <w:numId w:val="1234"/>
        </w:numPr>
        <w:pStyle w:val="Compact"/>
      </w:pPr>
      <w:r>
        <w:t xml:space="preserve">Forme exacte de la PSP dans ECG (affermage, concession, contrat de gestion) : [?] (le pacte parle de « concessions » et d’« operating and maintaining »).</w:t>
      </w:r>
    </w:p>
    <w:p>
      <w:pPr>
        <w:numPr>
          <w:ilvl w:val="0"/>
          <w:numId w:val="1234"/>
        </w:numPr>
        <w:pStyle w:val="Compact"/>
      </w:pPr>
      <w:r>
        <w:t xml:space="preserve">Engagements financiers BAD autres que SREP : [?].</w:t>
      </w:r>
    </w:p>
    <w:p>
      <w:pPr>
        <w:numPr>
          <w:ilvl w:val="0"/>
          <w:numId w:val="1234"/>
        </w:numPr>
        <w:pStyle w:val="Compact"/>
      </w:pPr>
      <w:r>
        <w:t xml:space="preserve">Rapport d’avancement : [?] non publié.</w:t>
      </w:r>
    </w:p>
    <w:bookmarkEnd w:id="254"/>
    <w:bookmarkStart w:id="255" w:name="sources-14"/>
    <w:p>
      <w:pPr>
        <w:pStyle w:val="Heading3"/>
      </w:pPr>
      <w:r>
        <w:t xml:space="preserve">Sources</w:t>
      </w:r>
    </w:p>
    <w:p>
      <w:pPr>
        <w:pStyle w:val="FirstParagraph"/>
      </w:pPr>
      <w:r>
        <w:t xml:space="preserve">[1] Republic of Ghana, « National Energy Compact for the Republic of Ghana », Mission 300, s.d. (données 2024), 31 p. https://www.worldbank.org/content/dam/theworldbankgroupasset/document/2026/m300-energy-compacts/Ghana-National-Energy-Compact-Mission-300.pdf (consulté le 18/10/2026)</w:t>
      </w:r>
      <w:r>
        <w:t xml:space="preserve"> </w:t>
      </w:r>
      <w:r>
        <w:t xml:space="preserve">[2] Banque mondiale, page « National Energy Compacts ». https://www.worldbank.org/ext/en/energizingafrica/national-energy-compacts (consultée le 18/10/2026)</w:t>
      </w:r>
    </w:p>
    <w:p>
      <w:r>
        <w:br w:type="page"/>
      </w:r>
    </w:p>
    <w:bookmarkEnd w:id="255"/>
    <w:bookmarkEnd w:id="256"/>
    <w:bookmarkStart w:id="272" w:name="fiche-pacte-national-de-lénergie-guinée"/>
    <w:p>
      <w:pPr>
        <w:pStyle w:val="Heading2"/>
      </w:pPr>
      <w:r>
        <w:t xml:space="preserve">Fiche pacte national de l’énergie — Guinée</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257" w:name="métadonnées-14"/>
    <w:p>
      <w:pPr>
        <w:pStyle w:val="Heading3"/>
      </w:pPr>
      <w:r>
        <w:t xml:space="preserve">0. Métadonnées</w:t>
      </w:r>
    </w:p>
    <w:p>
      <w:pPr>
        <w:numPr>
          <w:ilvl w:val="0"/>
          <w:numId w:val="1235"/>
        </w:numPr>
        <w:pStyle w:val="Compact"/>
      </w:pPr>
      <w:r>
        <w:t xml:space="preserve">Cohorte / date de présentation : « September 2025 » selon la page Banque mondiale [2] [V] ; le pacte mentionne lui-même sa « présentation du Pacte M300 en marge des assemblées générales New York en septembre », suivie d’une table ronde des bailleurs au T4 2025 [1] [V]. Hors première cohorte de janvier 2025 [E].</w:t>
      </w:r>
    </w:p>
    <w:p>
      <w:pPr>
        <w:numPr>
          <w:ilvl w:val="0"/>
          <w:numId w:val="1235"/>
        </w:numPr>
        <w:pStyle w:val="Compact"/>
      </w:pPr>
      <w:r>
        <w:t xml:space="preserve">Document du pacte consulté : « Pacte national de l’énergie pour la République de Guinée », 40 p.,</w:t>
      </w:r>
      <w:r>
        <w:t xml:space="preserve"> </w:t>
      </w:r>
      <w:r>
        <w:rPr>
          <w:bCs/>
          <w:b/>
        </w:rPr>
        <w:t xml:space="preserve">français</w:t>
      </w:r>
      <w:r>
        <w:t xml:space="preserve">, non daté, mention « Official Use Only » (base 2024) [1]. URL : https://www.worldbank.org/content/dam/theworldbankgroupasset/document/2026/m300-energy-compacts/Guinea-Compact-M300.pdf</w:t>
      </w:r>
    </w:p>
    <w:p>
      <w:pPr>
        <w:numPr>
          <w:ilvl w:val="0"/>
          <w:numId w:val="1235"/>
        </w:numPr>
        <w:pStyle w:val="Compact"/>
      </w:pPr>
      <w:r>
        <w:t xml:space="preserve">Accès au texte intégral :</w:t>
      </w:r>
      <w:r>
        <w:t xml:space="preserve"> </w:t>
      </w:r>
      <w:r>
        <w:rPr>
          <w:bCs/>
          <w:b/>
        </w:rPr>
        <w:t xml:space="preserve">oui</w:t>
      </w:r>
      <w:r>
        <w:t xml:space="preserve"> </w:t>
      </w:r>
      <w:r>
        <w:t xml:space="preserve">(PDF téléchargé et extrait). Aucun rapport d’avancement listé [2] [V].</w:t>
      </w:r>
    </w:p>
    <w:p>
      <w:pPr>
        <w:numPr>
          <w:ilvl w:val="0"/>
          <w:numId w:val="1235"/>
        </w:numPr>
        <w:pStyle w:val="Compact"/>
      </w:pPr>
      <w:r>
        <w:t xml:space="preserve">Opérateur(s) national(aux) d’électricité : Électricité de Guinée (EDG-SA), production, transport et distribution,</w:t>
      </w:r>
      <w:r>
        <w:t xml:space="preserve"> </w:t>
      </w:r>
      <w:r>
        <w:rPr>
          <w:bCs/>
          <w:b/>
        </w:rPr>
        <w:t xml:space="preserve">acheteur unique</w:t>
      </w:r>
      <w:r>
        <w:t xml:space="preserve">, monopole du transport et de la distribution hors zones de l’AGER [1] [V] ; Agence guinéenne d’électrification rurale (AGER) [1] [V] ; 4 producteurs indépendants (SOGES, SOGEKA, Te Power, Karpowership) représentant ~67 % de la capacité installée, en contrats BOO/BOOT [1] [V].</w:t>
      </w:r>
    </w:p>
    <w:p>
      <w:pPr>
        <w:numPr>
          <w:ilvl w:val="0"/>
          <w:numId w:val="1235"/>
        </w:numPr>
        <w:pStyle w:val="Compact"/>
      </w:pPr>
      <w:r>
        <w:t xml:space="preserve">Régulateur : Autorité de régulation de l’eau et de l’électricité (AREE) ; tutelle : ministère en charge de l’Énergie (sigle MEHH dans les arrêtés cités) et Direction nationale de l’énergie (DNE) [1] [V].</w:t>
      </w:r>
    </w:p>
    <w:bookmarkEnd w:id="257"/>
    <w:bookmarkStart w:id="258" w:name="situation-de-départ-selon-le-pacte-14"/>
    <w:p>
      <w:pPr>
        <w:pStyle w:val="Heading3"/>
      </w:pPr>
      <w:r>
        <w:t xml:space="preserve">1. Situation de départ (selon le pacte)</w:t>
      </w:r>
    </w:p>
    <w:p>
      <w:pPr>
        <w:numPr>
          <w:ilvl w:val="0"/>
          <w:numId w:val="1236"/>
        </w:numPr>
        <w:pStyle w:val="Compact"/>
      </w:pPr>
      <w:r>
        <w:t xml:space="preserve">Taux d’accès national : 53 % en 2024 (7,6 millions de personnes), contre 18 % (18,1 %) en 2013 [1] [V] ; urbain 89 %, rural 21 % (2024) [1] [V]. 567 180 branchements réalisés par les projets 2010-2024 [1] [V].</w:t>
      </w:r>
    </w:p>
    <w:p>
      <w:pPr>
        <w:numPr>
          <w:ilvl w:val="0"/>
          <w:numId w:val="1236"/>
        </w:numPr>
        <w:pStyle w:val="Compact"/>
      </w:pPr>
      <w:r>
        <w:t xml:space="preserve">Population sans accès : population 14,2 millions (2024) [1] [V] → environ 6,7 millions sans accès [E]. Le pacte vise 7,75 millions de personnes supplémentaires d’ici 2030 (population projetée de 16,6 millions) [1] [V].</w:t>
      </w:r>
    </w:p>
    <w:p>
      <w:pPr>
        <w:numPr>
          <w:ilvl w:val="0"/>
          <w:numId w:val="1236"/>
        </w:numPr>
        <w:pStyle w:val="Compact"/>
      </w:pPr>
      <w:r>
        <w:t xml:space="preserve">Capacité installée, mix de production : 1 310 MW fin 2024, dont 817 MW hydro (62 %, « 61 % hydraulique, 39 % thermique » ailleurs) [1] [V] ; Kaleta 240 MW et Souapiti 450 MW [1] [V]. Potentiel hydro ~6 000 MW [1] [V]. Croissance de la demande de 12-14 %/an (2022-2024) [1] [V]. Réseau de transport 1 600 km fin 2024 [1] [V]. Exportations 240,25 GWh contre 281 GWh importés du Sénégal (2024) [1] [V].</w:t>
      </w:r>
    </w:p>
    <w:p>
      <w:pPr>
        <w:numPr>
          <w:ilvl w:val="0"/>
          <w:numId w:val="1236"/>
        </w:numPr>
        <w:pStyle w:val="Compact"/>
      </w:pPr>
      <w:r>
        <w:t xml:space="preserve">Coûts et tarifs : tarif moyen pondéré « 10 cents US par kWh » couvrant « environ 45 % des coûts » (plan d’action)</w:t>
      </w:r>
      <w:r>
        <w:t xml:space="preserve"> </w:t>
      </w:r>
      <w:r>
        <w:rPr>
          <w:bCs/>
          <w:b/>
        </w:rPr>
        <w:t xml:space="preserve">ou</w:t>
      </w:r>
      <w:r>
        <w:t xml:space="preserve"> </w:t>
      </w:r>
      <w:r>
        <w:t xml:space="preserve">« environ 8 cents US par kWh » couvrant « environ 36 % des coûts » (section 3.2), pour un coût moyen de production de 22 cents US/kWh dans les deux cas [1] [V — incohérence interne]. Ajustements tarifaires en 2018, 2019 et 2021 [1] [V].</w:t>
      </w:r>
    </w:p>
    <w:p>
      <w:pPr>
        <w:numPr>
          <w:ilvl w:val="0"/>
          <w:numId w:val="1236"/>
        </w:numPr>
        <w:pStyle w:val="Compact"/>
      </w:pPr>
      <w:r>
        <w:t xml:space="preserve">Opérateur : pertes techniques et commerciales d’EDG 30 % [1] [V] ; SAIFI 47 et SAIDI 99 h en 2024, 16 déclenchements généraux [1] [V] ; états financiers audités disponibles jusqu’à fin 2022, derniers rapports audités « avec réserve » [1] [V] ; arriérés envers les IPP (montant non chiffré) [1] [V].</w:t>
      </w:r>
    </w:p>
    <w:p>
      <w:pPr>
        <w:numPr>
          <w:ilvl w:val="0"/>
          <w:numId w:val="1236"/>
        </w:numPr>
        <w:pStyle w:val="Compact"/>
      </w:pPr>
      <w:r>
        <w:t xml:space="preserve">Accès à la cuisson propre : 12 % de la population [1] [V] ; ~98 % des ménages utilisent le bois-énergie ; un peu plus de 1 % en 2022 utilisaient des combustibles propres (butane, électricité) [1] [V — écart non expliqué entre 1 % (2022) et 12 % (« aujourd’hui »)]. Recharge subventionnée du butane à ~60 000 GNF (6 kg) et 125 000 GNF (12 kg) [1] [V].</w:t>
      </w:r>
    </w:p>
    <w:bookmarkEnd w:id="258"/>
    <w:bookmarkStart w:id="259" w:name="cibles-2030-13"/>
    <w:p>
      <w:pPr>
        <w:pStyle w:val="Heading3"/>
      </w:pPr>
      <w:r>
        <w:t xml:space="preserve">2. Cibles 2030</w:t>
      </w:r>
    </w:p>
    <w:p>
      <w:pPr>
        <w:numPr>
          <w:ilvl w:val="0"/>
          <w:numId w:val="1237"/>
        </w:numPr>
        <w:pStyle w:val="Compact"/>
      </w:pPr>
      <w:r>
        <w:t xml:space="preserve">Accès électricité : 100 % en 2030, +7,75 millions de personnes, rythme moyen de 1,55 million/an [1] [V]. Ventilation des nouveaux accès : 71 % extension de réseau, 19 % kits solaires, 10 % mini-réseaux [1] [V] ; en personnes : 5,5 millions réseau, 784 000 mini-réseaux, 1,46 million kits solaires [1] [V]. 7 063 localités à électrifier, dont 5 023 par extension MT, 1 326 par kits, 714 par mini-réseaux [1] [V]. Pic de connexions en 2027-2028 (2,9 millions de personnes) [1] [V].</w:t>
      </w:r>
    </w:p>
    <w:p>
      <w:pPr>
        <w:numPr>
          <w:ilvl w:val="0"/>
          <w:numId w:val="1237"/>
        </w:numPr>
        <w:pStyle w:val="Compact"/>
      </w:pPr>
      <w:r>
        <w:t xml:space="preserve">Part des renouvelables : 70 % de la capacité en 2030 (42 % hydro, 28 % solaire) contre 62 % aujourd’hui [1] [V] ; +1 086 MW solaires et +791 MW hydro (dont Koukoutamba 294 MW), +640 MW conventionnels ; capacité totale de 1 310 MW (2024) à 3 827 MW (2030), dont ~1 925 MW non encore financés [1] [V]. Demande de pointe 2030 projetée à 3 894 MW (1 635 domestique, 1 442 mines, 817 interconnexions) [1] [V].</w:t>
      </w:r>
    </w:p>
    <w:p>
      <w:pPr>
        <w:numPr>
          <w:ilvl w:val="0"/>
          <w:numId w:val="1237"/>
        </w:numPr>
        <w:pStyle w:val="Compact"/>
      </w:pPr>
      <w:r>
        <w:t xml:space="preserve">Cuisson propre : de 12 % à 35 %, +4,1 millions de personnes [1] [V] ; butane pour 20 % des ménages (474 000) ; foyers améliorés 355 000 auprès de 15 % des ménages (~71 000/an) [1] [V] (le texte donne aussi « environ 103.000 foyers » butane et « environ 144.000 foyers » améliorés, sans explication [1] [V]).</w:t>
      </w:r>
    </w:p>
    <w:p>
      <w:pPr>
        <w:numPr>
          <w:ilvl w:val="0"/>
          <w:numId w:val="1237"/>
        </w:numPr>
        <w:pStyle w:val="Compact"/>
      </w:pPr>
      <w:r>
        <w:t xml:space="preserve">Autres cibles chiffrées : capitaux privés 7,6 Md USD additionnels (référence 2,5 Md USD) [1] [V] ; pertes de 30 % à 8 % d’ici 2030 [1] [V] ; puissance réservée à l’export de 90 à 200 MW en 2030 [1] [V] ; SAIFI 1,5 et SAIDI 4 h en 2029 [1] [V] ; 765 000 emplois directs et 2,6 millions indirects d’ici 2030 [1] [V].</w:t>
      </w:r>
    </w:p>
    <w:bookmarkEnd w:id="259"/>
    <w:bookmarkStart w:id="266" w:name="réformes-promises-cœur-de-lanalyse-11"/>
    <w:p>
      <w:pPr>
        <w:pStyle w:val="Heading3"/>
      </w:pPr>
      <w:r>
        <w:t xml:space="preserve">3. Réformes promises (cœur de l’analyse)</w:t>
      </w:r>
    </w:p>
    <w:bookmarkStart w:id="260" w:name="tarifs-et-subventions-14"/>
    <w:p>
      <w:pPr>
        <w:pStyle w:val="Heading4"/>
      </w:pPr>
      <w:r>
        <w:t xml:space="preserve">3.1 Tarifs et subventions</w:t>
      </w:r>
    </w:p>
    <w:p>
      <w:pPr>
        <w:numPr>
          <w:ilvl w:val="0"/>
          <w:numId w:val="1238"/>
        </w:numPr>
        <w:pStyle w:val="Compact"/>
      </w:pPr>
      <w:r>
        <w:rPr>
          <w:bCs/>
          <w:b/>
        </w:rPr>
        <w:t xml:space="preserve">Plan d’ajustement tarifaire chiffré</w:t>
      </w:r>
      <w:r>
        <w:t xml:space="preserve"> </w:t>
      </w:r>
      <w:r>
        <w:t xml:space="preserve">(tableau 6) : +12 % par an de 2024 à 2029, soit +97,38 % cumulés [1] [V]. Méthodologie tarifaire adoptée par arrêté conjoint en 2024, avec plan d’ajustement régulatoire visant l’équilibre du secteur d’ici 2029 ; application des arrêtés conjoints de 2024 « au dernier trimestre 2025 » [1] [V].</w:t>
      </w:r>
    </w:p>
    <w:p>
      <w:pPr>
        <w:numPr>
          <w:ilvl w:val="0"/>
          <w:numId w:val="1238"/>
        </w:numPr>
        <w:pStyle w:val="Compact"/>
      </w:pPr>
      <w:r>
        <w:t xml:space="preserve">Engagement de « réviser progressivement les tarifs » et d’instaurer « des mécanismes de protection pour les ménages vulnérables » (non détaillés) [1] [V].</w:t>
      </w:r>
    </w:p>
    <w:p>
      <w:pPr>
        <w:numPr>
          <w:ilvl w:val="0"/>
          <w:numId w:val="1238"/>
        </w:numPr>
        <w:pStyle w:val="Compact"/>
      </w:pPr>
      <w:r>
        <w:t xml:space="preserve">Baisse de la subvention de l’État et réduction des charges d’exploitation (notamment coûts de production) d’ici fin décembre 2027 [1] [V].</w:t>
      </w:r>
    </w:p>
    <w:p>
      <w:pPr>
        <w:numPr>
          <w:ilvl w:val="0"/>
          <w:numId w:val="1238"/>
        </w:numPr>
        <w:pStyle w:val="Compact"/>
      </w:pPr>
      <w:r>
        <w:t xml:space="preserve">Subvention du butane pour les ménages vulnérables (existante) [1] [V].</w:t>
      </w:r>
    </w:p>
    <w:p>
      <w:pPr>
        <w:numPr>
          <w:ilvl w:val="0"/>
          <w:numId w:val="1238"/>
        </w:numPr>
        <w:pStyle w:val="Compact"/>
      </w:pPr>
      <w:r>
        <w:t xml:space="preserve">Programme d’appui au préfinancement des frais de raccordement au T4 2026 [1] [V].</w:t>
      </w:r>
    </w:p>
    <w:p>
      <w:pPr>
        <w:numPr>
          <w:ilvl w:val="0"/>
          <w:numId w:val="1238"/>
        </w:numPr>
        <w:pStyle w:val="Compact"/>
      </w:pPr>
      <w:r>
        <w:t xml:space="preserve">Subventions et avantages fiscaux/douaniers aux investisseurs privés ; clarification des conditions d’accès d’ici T1 2026 (ERD) et T2 2026 (cuisson) [1] [V].</w:t>
      </w:r>
    </w:p>
    <w:bookmarkEnd w:id="260"/>
    <w:bookmarkStart w:id="261" w:name="X53fea6b1acaa4680b3c9006e7e097b140627867"/>
    <w:p>
      <w:pPr>
        <w:pStyle w:val="Heading4"/>
      </w:pPr>
      <w:r>
        <w:t xml:space="preserve">3.2 Opérateur (redressement, contrats de performance, pertes, recouvrement, compteurs)</w:t>
      </w:r>
    </w:p>
    <w:p>
      <w:pPr>
        <w:numPr>
          <w:ilvl w:val="0"/>
          <w:numId w:val="1239"/>
        </w:numPr>
        <w:pStyle w:val="Compact"/>
      </w:pPr>
      <w:r>
        <w:rPr>
          <w:bCs/>
          <w:b/>
        </w:rPr>
        <w:t xml:space="preserve">Convention de concession assortie d’un contrat de performance avec EDG</w:t>
      </w:r>
      <w:r>
        <w:t xml:space="preserve"> </w:t>
      </w:r>
      <w:r>
        <w:t xml:space="preserve">et convention de concession assortie d’un contrat-programme avec l’AGER « d’ici fin 2025 », pour l’équilibre financier du secteur à l’horizon 2030 [1] [V].</w:t>
      </w:r>
    </w:p>
    <w:p>
      <w:pPr>
        <w:numPr>
          <w:ilvl w:val="0"/>
          <w:numId w:val="1239"/>
        </w:numPr>
        <w:pStyle w:val="Compact"/>
      </w:pPr>
      <w:r>
        <w:t xml:space="preserve">Pertes de 30 % à 8 % (−4,4 points/an), trajectoire tabulée 30 → 26 → 21 → 17 → 12 → 8 % [1] [V] : compteurs totalisateurs sur tous les postes de distribution d’ici fin 2027 ; compteurs à prépaiement chez les particuliers et dans toutes les administrations non stratégiques d’ici 2027 [1] [V].</w:t>
      </w:r>
    </w:p>
    <w:p>
      <w:pPr>
        <w:numPr>
          <w:ilvl w:val="0"/>
          <w:numId w:val="1239"/>
        </w:numPr>
        <w:pStyle w:val="Compact"/>
      </w:pPr>
      <w:r>
        <w:t xml:space="preserve">Audit et certification des états financiers 2023 et 2024 d’EDG d’ici fin 2025 ; mécanisme pour les années suivantes [1] [V].</w:t>
      </w:r>
    </w:p>
    <w:p>
      <w:pPr>
        <w:numPr>
          <w:ilvl w:val="0"/>
          <w:numId w:val="1239"/>
        </w:numPr>
        <w:pStyle w:val="Compact"/>
      </w:pPr>
      <w:r>
        <w:t xml:space="preserve">Progiciel de gestion intégrée (PGI) pour la comptabilité analytique et la dématérialisation des achats d’ici fin S1 2026 [1] [V].</w:t>
      </w:r>
    </w:p>
    <w:p>
      <w:pPr>
        <w:numPr>
          <w:ilvl w:val="0"/>
          <w:numId w:val="1239"/>
        </w:numPr>
        <w:pStyle w:val="Compact"/>
      </w:pPr>
      <w:r>
        <w:t xml:space="preserve">Renforcement des capacités d’EDG pour reprendre les contrats O&amp;M du réseau OMVG et le dispatching (T1 2026) [1] [V].</w:t>
      </w:r>
    </w:p>
    <w:p>
      <w:pPr>
        <w:numPr>
          <w:ilvl w:val="0"/>
          <w:numId w:val="1239"/>
        </w:numPr>
        <w:pStyle w:val="Compact"/>
      </w:pPr>
      <w:r>
        <w:t xml:space="preserve">Plan de redressement du secteur finalisé en 2024 [1] [V].</w:t>
      </w:r>
    </w:p>
    <w:bookmarkEnd w:id="261"/>
    <w:bookmarkStart w:id="262" w:name="régulation-et-gouvernance-10"/>
    <w:p>
      <w:pPr>
        <w:pStyle w:val="Heading4"/>
      </w:pPr>
      <w:r>
        <w:t xml:space="preserve">3.3 Régulation et gouvernance</w:t>
      </w:r>
    </w:p>
    <w:p>
      <w:pPr>
        <w:numPr>
          <w:ilvl w:val="0"/>
          <w:numId w:val="1240"/>
        </w:numPr>
        <w:pStyle w:val="Compact"/>
      </w:pPr>
      <w:r>
        <w:t xml:space="preserve">Actualisation d’ici fin T1 2026 : lettre de politique de développement du secteur (2012), projet de loi-cadre du secteur, Plan directeur production-transport-distribution 2019-2035 ; feuille de route solaire d’ici fin 2025 [1] [V] (la loi-cadre est datée « fin du premier semestre 2026 » dans un autre passage [1] [V]).</w:t>
      </w:r>
    </w:p>
    <w:p>
      <w:pPr>
        <w:numPr>
          <w:ilvl w:val="0"/>
          <w:numId w:val="1240"/>
        </w:numPr>
        <w:pStyle w:val="Compact"/>
      </w:pPr>
      <w:r>
        <w:t xml:space="preserve">Révision de la loi sur l’électricité de 1993 pour abolir le monopole d’EDG sur le transport et permettre l’accès des tiers au réseau [1] [V].</w:t>
      </w:r>
    </w:p>
    <w:p>
      <w:pPr>
        <w:numPr>
          <w:ilvl w:val="0"/>
          <w:numId w:val="1240"/>
        </w:numPr>
        <w:pStyle w:val="Compact"/>
      </w:pPr>
      <w:r>
        <w:t xml:space="preserve">Opérationnalisation de l’AREE comme autorité autonome et indépendante, notamment sur les tarifs [1] [V].</w:t>
      </w:r>
    </w:p>
    <w:p>
      <w:pPr>
        <w:numPr>
          <w:ilvl w:val="0"/>
          <w:numId w:val="1240"/>
        </w:numPr>
        <w:pStyle w:val="Compact"/>
      </w:pPr>
      <w:r>
        <w:t xml:space="preserve">Mise à jour du Système d’information énergétique (SIE, non actualisé depuis 2018) : plan de capacités et collecte des données d’ici déc. 2025, bilan énergétique annuel publié d’ici déc. 2026 [1] [V].</w:t>
      </w:r>
    </w:p>
    <w:p>
      <w:pPr>
        <w:numPr>
          <w:ilvl w:val="0"/>
          <w:numId w:val="1240"/>
        </w:numPr>
        <w:pStyle w:val="Compact"/>
      </w:pPr>
      <w:r>
        <w:t xml:space="preserve">Commission interministérielle cuisson propre (T4 2025) ; stratégie cuisson actualisée avant T4 2026 ; normes techniques hors réseau d’ici déc. 2026 ; plan d’action genre fin 2026 [1] [V].</w:t>
      </w:r>
    </w:p>
    <w:p>
      <w:pPr>
        <w:numPr>
          <w:ilvl w:val="0"/>
          <w:numId w:val="1240"/>
        </w:numPr>
        <w:pStyle w:val="Compact"/>
      </w:pPr>
      <w:r>
        <w:t xml:space="preserve">Interdiction des lampes à incandescence (projet de décret, déc. 2025) [1] [V].</w:t>
      </w:r>
    </w:p>
    <w:bookmarkEnd w:id="262"/>
    <w:bookmarkStart w:id="263" w:name="X5c062aebd1208e4ad184f003321409ddd632056"/>
    <w:p>
      <w:pPr>
        <w:pStyle w:val="Heading4"/>
      </w:pPr>
      <w:r>
        <w:t xml:space="preserve">3.4 Participation du privé (producteurs indépendants, concessions, hors réseau)</w:t>
      </w:r>
    </w:p>
    <w:p>
      <w:pPr>
        <w:numPr>
          <w:ilvl w:val="0"/>
          <w:numId w:val="1241"/>
        </w:numPr>
        <w:pStyle w:val="Compact"/>
      </w:pPr>
      <w:r>
        <w:t xml:space="preserve">Revue au cas par cas des projets solaires attribués</w:t>
      </w:r>
      <w:r>
        <w:t xml:space="preserve"> </w:t>
      </w:r>
      <w:r>
        <w:rPr>
          <w:bCs/>
          <w:b/>
        </w:rPr>
        <w:t xml:space="preserve">par entente directe</w:t>
      </w:r>
      <w:r>
        <w:t xml:space="preserve"> </w:t>
      </w:r>
      <w:r>
        <w:t xml:space="preserve">mais non financés et reversement dans un portefeuille soumis à appel d’offres (T1 2026) ; appels d’offres pour les centrales solaires et hydro prioritaires au T2 2026 [1] [V].</w:t>
      </w:r>
    </w:p>
    <w:p>
      <w:pPr>
        <w:numPr>
          <w:ilvl w:val="0"/>
          <w:numId w:val="1241"/>
        </w:numPr>
        <w:pStyle w:val="Compact"/>
      </w:pPr>
      <w:r>
        <w:t xml:space="preserve">Plan de paiement des arriérés dus aux IPP [1] [V].</w:t>
      </w:r>
    </w:p>
    <w:p>
      <w:pPr>
        <w:numPr>
          <w:ilvl w:val="0"/>
          <w:numId w:val="1241"/>
        </w:numPr>
        <w:pStyle w:val="Compact"/>
      </w:pPr>
      <w:r>
        <w:t xml:space="preserve">Concessions solaires et PPA déjà signés : 300 MW solaire, 302,5 MW hydro [1] [V] ; Amaria 300 MW (BOT, 1 151,59 M USD privés, mise en service attendue en 2027) [1] [V].</w:t>
      </w:r>
    </w:p>
    <w:p>
      <w:pPr>
        <w:numPr>
          <w:ilvl w:val="0"/>
          <w:numId w:val="1241"/>
        </w:numPr>
        <w:pStyle w:val="Compact"/>
      </w:pPr>
      <w:r>
        <w:t xml:space="preserve">Processus d’approbation réglementaire des mini-réseaux privés et mécanisme de subvention/financement des ERD d’ici fin T1 2026 ; concessions mini-réseaux/kits d’au moins 15 ans [1] [V]. Précédent : 2 mini-réseaux (Kalinko, Siguirini) ~2,5 M USD dont 20 % privé et 80 % subvention [1] [V].</w:t>
      </w:r>
    </w:p>
    <w:p>
      <w:pPr>
        <w:numPr>
          <w:ilvl w:val="0"/>
          <w:numId w:val="1241"/>
        </w:numPr>
        <w:pStyle w:val="Compact"/>
      </w:pPr>
      <w:r>
        <w:t xml:space="preserve">Cadre existant : loi PPP 2017/32/AN, décrets 2021, dossiers types 2024 ; Code des investissements L/2015/008/AN [1] [V].</w:t>
      </w:r>
    </w:p>
    <w:bookmarkEnd w:id="263"/>
    <w:bookmarkStart w:id="264" w:name="X5ae181d400f5bfd15e665b2a69bf82d55ca6a9c"/>
    <w:p>
      <w:pPr>
        <w:pStyle w:val="Heading4"/>
      </w:pPr>
      <w:r>
        <w:t xml:space="preserve">3.5 Intégration régionale (pools énergétiques, interconnexions)</w:t>
      </w:r>
    </w:p>
    <w:p>
      <w:pPr>
        <w:numPr>
          <w:ilvl w:val="0"/>
          <w:numId w:val="1242"/>
        </w:numPr>
        <w:pStyle w:val="Compact"/>
      </w:pPr>
      <w:r>
        <w:t xml:space="preserve">Adoption des recommandations WAPP sur la tarification harmonisée ; révision du modèle de tarification du transport au sein du CLSG et de l’OMVG [1] [V].</w:t>
      </w:r>
    </w:p>
    <w:p>
      <w:pPr>
        <w:numPr>
          <w:ilvl w:val="0"/>
          <w:numId w:val="1242"/>
        </w:numPr>
        <w:pStyle w:val="Compact"/>
      </w:pPr>
      <w:r>
        <w:t xml:space="preserve">Second terne du CLSG ; interconnexion 225 kV avec l’OMVS ; mise en service de Guinée-Mali (à partir de 2026) [1] [V].</w:t>
      </w:r>
    </w:p>
    <w:p>
      <w:pPr>
        <w:numPr>
          <w:ilvl w:val="0"/>
          <w:numId w:val="1242"/>
        </w:numPr>
        <w:pStyle w:val="Compact"/>
      </w:pPr>
      <w:r>
        <w:t xml:space="preserve">Puissance réservée à l’export de 90 à 200 MW en 2030 [1] [V].</w:t>
      </w:r>
    </w:p>
    <w:bookmarkEnd w:id="264"/>
    <w:bookmarkStart w:id="265" w:name="autres-fiscalité-foncier-local-content-7"/>
    <w:p>
      <w:pPr>
        <w:pStyle w:val="Heading4"/>
      </w:pPr>
      <w:r>
        <w:t xml:space="preserve">3.6 Autres (fiscalité, foncier, local content)</w:t>
      </w:r>
    </w:p>
    <w:p>
      <w:pPr>
        <w:numPr>
          <w:ilvl w:val="0"/>
          <w:numId w:val="1243"/>
        </w:numPr>
        <w:pStyle w:val="Compact"/>
      </w:pPr>
      <w:r>
        <w:t xml:space="preserve">Exonération de TVA et de droits de douane pour l’électrification rurale (arrêté conjoint AC/2023/1649 du 10 mai 2023), maintenue [1] [V].</w:t>
      </w:r>
    </w:p>
    <w:p>
      <w:pPr>
        <w:numPr>
          <w:ilvl w:val="0"/>
          <w:numId w:val="1243"/>
        </w:numPr>
        <w:pStyle w:val="Compact"/>
      </w:pPr>
      <w:r>
        <w:t xml:space="preserve">Usine de bouteilles de gaz (1 000 000 bouteilles/an), dépôt de 7 000 t à Konta (Forécariah), centres emplisseurs dans 7 régions [1] [V].</w:t>
      </w:r>
    </w:p>
    <w:p>
      <w:pPr>
        <w:numPr>
          <w:ilvl w:val="0"/>
          <w:numId w:val="1243"/>
        </w:numPr>
        <w:pStyle w:val="Compact"/>
      </w:pPr>
      <w:r>
        <w:t xml:space="preserve">Sécurisation des corridors et du foncier [1] [V].</w:t>
      </w:r>
    </w:p>
    <w:p>
      <w:pPr>
        <w:numPr>
          <w:ilvl w:val="0"/>
          <w:numId w:val="1243"/>
        </w:numPr>
        <w:pStyle w:val="Compact"/>
      </w:pPr>
      <w:r>
        <w:t xml:space="preserve">Fonds de préparation de projets (décret D2024/0176 du 13 octobre 2024) [1] [V].</w:t>
      </w:r>
    </w:p>
    <w:bookmarkEnd w:id="265"/>
    <w:bookmarkEnd w:id="266"/>
    <w:bookmarkStart w:id="267" w:name="financement-14"/>
    <w:p>
      <w:pPr>
        <w:pStyle w:val="Heading3"/>
      </w:pPr>
      <w:r>
        <w:t xml:space="preserve">4. Financement</w:t>
      </w:r>
    </w:p>
    <w:p>
      <w:pPr>
        <w:numPr>
          <w:ilvl w:val="0"/>
          <w:numId w:val="1244"/>
        </w:numPr>
        <w:pStyle w:val="Compact"/>
      </w:pPr>
      <w:r>
        <w:t xml:space="preserve">Besoin total (tableau 1, M USD, 2025-2030) : 11 465 au total, dont 2 561 déjà mobilisés ; reste à mobiliser 8 904 (public 1 263 / privé 7 641) [1] [V]. Par segment (total / reste à mobiliser) : production 5 330 / 3 773 ; transport 1 735 / 1 468 ; distribution 1 127 / 430 ; cuisson propre 94 / 94 ; électrification rurale 3 176 / 3 135 ; assistance technique 4 / 4 [1] [V]. Le préambule résume : 8,9 Md USD dont 1,2 Md public et 7,6 Md privé [1] [V] ; l’appel à partenariat dit « 7.6 milliards USD attendus des partenaires techniques et financiers » [1] [V — formulation contradictoire avec « privé »].</w:t>
      </w:r>
    </w:p>
    <w:p>
      <w:pPr>
        <w:numPr>
          <w:ilvl w:val="0"/>
          <w:numId w:val="1244"/>
        </w:numPr>
        <w:pStyle w:val="Compact"/>
      </w:pPr>
      <w:r>
        <w:t xml:space="preserve">Engagements cités : liste de projets valorisés (annexe I) avec financements BM, BAD, AFD, BEI, BID, BIDC, UE (PAESE, PER, PIEGM, PREREC, PRSE, PAAEG) [1] [V] ; le projet PER (BAD) a donné accès à 44 016 ménages [1] [V] ; 26 mini-réseaux à l’étude sur financement BM pour 10 400 ménages [1] [V]. Montants par bailleur non totalisés dans le texte [?].</w:t>
      </w:r>
    </w:p>
    <w:bookmarkEnd w:id="267"/>
    <w:bookmarkStart w:id="268" w:name="calendrier-et-suivi-14"/>
    <w:p>
      <w:pPr>
        <w:pStyle w:val="Heading3"/>
      </w:pPr>
      <w:r>
        <w:t xml:space="preserve">5. Calendrier et suivi</w:t>
      </w:r>
    </w:p>
    <w:p>
      <w:pPr>
        <w:numPr>
          <w:ilvl w:val="0"/>
          <w:numId w:val="1245"/>
        </w:numPr>
        <w:pStyle w:val="Compact"/>
      </w:pPr>
      <w:r>
        <w:t xml:space="preserve">Jalons datés : fin 2025 (feuille de route solaire, contrat de performance EDG, audits 2023-2024, SIE, application des arrêtés tarifaires) ; T1 2026 (politique sectorielle, loi-cadre, plan directeur, revue des projets en entente directe, cadre mini-réseaux, mécanisme ERD) ; T2 2026 (appels d’offres prioritaires) ; T4 2026 (préfinancement des raccordements, stratégie cuisson) ; 2027 (compteurs, baisse de la subvention, Amaria) ; 2029 (équilibre du secteur, +97 % tarifs cumulés) ; 2030 (pertes 8 %, accès 100 %) [1] [V].</w:t>
      </w:r>
    </w:p>
    <w:p>
      <w:pPr>
        <w:numPr>
          <w:ilvl w:val="0"/>
          <w:numId w:val="1245"/>
        </w:numPr>
        <w:pStyle w:val="Compact"/>
      </w:pPr>
      <w:r>
        <w:t xml:space="preserve">Suivi : organe de décision présidé par le Premier ministre (rapporteur : ministre de l’Énergie) et organe technique dirigé par un coordinateur, institués par décret présidentiel ; premier bilan avant le 31 décembre 2025 [1] [V].</w:t>
      </w:r>
    </w:p>
    <w:bookmarkEnd w:id="268"/>
    <w:bookmarkStart w:id="269" w:name="lecture-critique-11"/>
    <w:p>
      <w:pPr>
        <w:pStyle w:val="Heading3"/>
      </w:pPr>
      <w:r>
        <w:t xml:space="preserve">6. Lecture critique</w:t>
      </w:r>
    </w:p>
    <w:p>
      <w:pPr>
        <w:numPr>
          <w:ilvl w:val="0"/>
          <w:numId w:val="1246"/>
        </w:numPr>
        <w:pStyle w:val="Compact"/>
      </w:pPr>
      <w:r>
        <w:t xml:space="preserve">Réalisme des cibles : passer de 53 % à 100 % en 6 ans exige 1,55 million de personnes/an, contre ~0,48 million/an en moyenne entre 2013 et 2024 (de ~2,34 millions à 7,6 millions de personnes avec accès selon le tableau 2 [1]) [E, calcul sur les chiffres du pacte] — soit un rythme à multiplier par environ 3. Le triplement de la capacité (1 310 → 3 827 MW) avec ~1 925 MW non financés, dans un contexte de « take or pay » qui pèse déjà sur l’acheteur unique, est très ambitieux [1] [E].</w:t>
      </w:r>
    </w:p>
    <w:p>
      <w:pPr>
        <w:numPr>
          <w:ilvl w:val="0"/>
          <w:numId w:val="1246"/>
        </w:numPr>
        <w:pStyle w:val="Compact"/>
      </w:pPr>
      <w:r>
        <w:t xml:space="preserve">Engagements tarifaires :</w:t>
      </w:r>
      <w:r>
        <w:t xml:space="preserve"> </w:t>
      </w:r>
      <w:r>
        <w:rPr>
          <w:bCs/>
          <w:b/>
        </w:rPr>
        <w:t xml:space="preserve">les plus précis des six pays de ce lot</w:t>
      </w:r>
      <w:r>
        <w:t xml:space="preserve"> </w:t>
      </w:r>
      <w:r>
        <w:t xml:space="preserve">— trajectoire chiffrée (+12 %/an, +97 % cumulés d’ici 2029) adossée à une méthodologie adoptée par arrêté. Mais l’écart de base (tarif 8 ou 10 cents ; couverture 36 % ou 45 %) n’est pas tranché, et même un doublement ne couvre pas un coût de 22 cents si le tarif de départ est de 8 cents [E] ; la protection des ménages vulnérables n’est pas spécifiée [1].</w:t>
      </w:r>
    </w:p>
    <w:p>
      <w:pPr>
        <w:numPr>
          <w:ilvl w:val="0"/>
          <w:numId w:val="1246"/>
        </w:numPr>
        <w:pStyle w:val="Compact"/>
      </w:pPr>
      <w:r>
        <w:t xml:space="preserve">Engagement opérateur le plus saillant : contrat de performance EDG (fin 2025) et pertes 30 → 8 % (cible très agressive au regard des références régionales [E]).</w:t>
      </w:r>
    </w:p>
    <w:p>
      <w:pPr>
        <w:numPr>
          <w:ilvl w:val="0"/>
          <w:numId w:val="1246"/>
        </w:numPr>
        <w:pStyle w:val="Compact"/>
      </w:pPr>
      <w:r>
        <w:t xml:space="preserve">Risques principaux : arriérés et clauses take-or-pay des IPP ; projets attribués de gré à gré non financés ; dépendance hydrologique ; fiabilité des données (SIE non mis à jour, comptes audités avec réserve) [1] [E].</w:t>
      </w:r>
    </w:p>
    <w:p>
      <w:pPr>
        <w:numPr>
          <w:ilvl w:val="0"/>
          <w:numId w:val="1246"/>
        </w:numPr>
        <w:pStyle w:val="Compact"/>
      </w:pPr>
      <w:r>
        <w:t xml:space="preserve">Points à approfondir — phase 2 (opérateur) : contenu et signature effective du contrat de performance EDG, trajectoire des pertes, arriérés IPP. Phase 3 (tarifs) : application des arrêtés conjoints 2024, hausses de 12 % effectivement appliquées en 2024-2026, tarif de base réel, rôle de l’AREE.</w:t>
      </w:r>
    </w:p>
    <w:bookmarkEnd w:id="269"/>
    <w:bookmarkStart w:id="270" w:name="inconnus-données-non-trouvées-14"/>
    <w:p>
      <w:pPr>
        <w:pStyle w:val="Heading3"/>
      </w:pPr>
      <w:r>
        <w:t xml:space="preserve">7. Inconnus / données non trouvées</w:t>
      </w:r>
    </w:p>
    <w:p>
      <w:pPr>
        <w:numPr>
          <w:ilvl w:val="0"/>
          <w:numId w:val="1247"/>
        </w:numPr>
        <w:pStyle w:val="Compact"/>
      </w:pPr>
      <w:r>
        <w:t xml:space="preserve">Tarif moyen de référence (8 ou 10 cents) et taux de couverture des coûts (36 % ou 45 %) : [?].</w:t>
      </w:r>
    </w:p>
    <w:p>
      <w:pPr>
        <w:numPr>
          <w:ilvl w:val="0"/>
          <w:numId w:val="1247"/>
        </w:numPr>
        <w:pStyle w:val="Compact"/>
      </w:pPr>
      <w:r>
        <w:t xml:space="preserve">Montant des arriérés envers les IPP et du subside budgétaire : [?].</w:t>
      </w:r>
    </w:p>
    <w:p>
      <w:pPr>
        <w:numPr>
          <w:ilvl w:val="0"/>
          <w:numId w:val="1247"/>
        </w:numPr>
        <w:pStyle w:val="Compact"/>
      </w:pPr>
      <w:r>
        <w:t xml:space="preserve">Contenu des « mécanismes de protection » des ménages vulnérables : [?].</w:t>
      </w:r>
    </w:p>
    <w:p>
      <w:pPr>
        <w:numPr>
          <w:ilvl w:val="0"/>
          <w:numId w:val="1247"/>
        </w:numPr>
        <w:pStyle w:val="Compact"/>
      </w:pPr>
      <w:r>
        <w:t xml:space="preserve">Signature effective du contrat de performance EDG (prévue fin 2025) : [?] non vérifié.</w:t>
      </w:r>
    </w:p>
    <w:p>
      <w:pPr>
        <w:numPr>
          <w:ilvl w:val="0"/>
          <w:numId w:val="1247"/>
        </w:numPr>
        <w:pStyle w:val="Compact"/>
      </w:pPr>
      <w:r>
        <w:t xml:space="preserve">Écart entre 1 % (2022) et 12 % (aujourd’hui) d’accès à la cuisson propre : [?].</w:t>
      </w:r>
    </w:p>
    <w:p>
      <w:pPr>
        <w:numPr>
          <w:ilvl w:val="0"/>
          <w:numId w:val="1247"/>
        </w:numPr>
        <w:pStyle w:val="Compact"/>
      </w:pPr>
      <w:r>
        <w:t xml:space="preserve">Rapport d’avancement : [?] non publié.</w:t>
      </w:r>
    </w:p>
    <w:bookmarkEnd w:id="270"/>
    <w:bookmarkStart w:id="271" w:name="sources-15"/>
    <w:p>
      <w:pPr>
        <w:pStyle w:val="Heading3"/>
      </w:pPr>
      <w:r>
        <w:t xml:space="preserve">Sources</w:t>
      </w:r>
    </w:p>
    <w:p>
      <w:pPr>
        <w:pStyle w:val="FirstParagraph"/>
      </w:pPr>
      <w:r>
        <w:t xml:space="preserve">[1] République de Guinée, « Pacte national de l’énergie pour la République de Guinée », Mission 300, s.d. (présenté en sept. 2025), 40 p., français. https://www.worldbank.org/content/dam/theworldbankgroupasset/document/2026/m300-energy-compacts/Guinea-Compact-M300.pdf (consulté le 18/10/2026)</w:t>
      </w:r>
      <w:r>
        <w:t xml:space="preserve"> </w:t>
      </w:r>
      <w:r>
        <w:t xml:space="preserve">[2] Banque mondiale, page « National Energy Compacts ». https://www.worldbank.org/ext/en/energizingafrica/national-energy-compacts (consultée le 18/10/2026)</w:t>
      </w:r>
    </w:p>
    <w:p>
      <w:r>
        <w:br w:type="page"/>
      </w:r>
    </w:p>
    <w:bookmarkEnd w:id="271"/>
    <w:bookmarkEnd w:id="272"/>
    <w:bookmarkStart w:id="288" w:name="fiche-pacte-national-de-lénergie-gambie"/>
    <w:p>
      <w:pPr>
        <w:pStyle w:val="Heading2"/>
      </w:pPr>
      <w:r>
        <w:t xml:space="preserve">Fiche pacte national de l’énergie — Gambie</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273" w:name="métadonnées-15"/>
    <w:p>
      <w:pPr>
        <w:pStyle w:val="Heading3"/>
      </w:pPr>
      <w:r>
        <w:t xml:space="preserve">0. Métadonnées</w:t>
      </w:r>
    </w:p>
    <w:p>
      <w:pPr>
        <w:numPr>
          <w:ilvl w:val="0"/>
          <w:numId w:val="1248"/>
        </w:numPr>
        <w:pStyle w:val="Compact"/>
      </w:pPr>
      <w:r>
        <w:t xml:space="preserve">Cohorte / date de présentation : « September 2025 » selon la page Banque mondiale [2] [V] ; hors première cohorte de janvier 2025 [E]. Date de signature non indiquée [?].</w:t>
      </w:r>
    </w:p>
    <w:p>
      <w:pPr>
        <w:numPr>
          <w:ilvl w:val="0"/>
          <w:numId w:val="1248"/>
        </w:numPr>
        <w:pStyle w:val="Compact"/>
      </w:pPr>
      <w:r>
        <w:t xml:space="preserve">Document du pacte consulté : « National Energy Compact for the Republic of The Gambia », 27 p., anglais, non daté (base 2024-2025 ; échéances à partir de juin 2025) [1]. URL : https://www.worldbank.org/content/dam/theworldbankgroupasset/document/2026/m300-energy-compacts/Gambia-National-Energy-Compact-Mission-300.pdf</w:t>
      </w:r>
    </w:p>
    <w:p>
      <w:pPr>
        <w:numPr>
          <w:ilvl w:val="0"/>
          <w:numId w:val="1248"/>
        </w:numPr>
        <w:pStyle w:val="Compact"/>
      </w:pPr>
      <w:r>
        <w:t xml:space="preserve">Accès au texte intégral :</w:t>
      </w:r>
      <w:r>
        <w:t xml:space="preserve"> </w:t>
      </w:r>
      <w:r>
        <w:rPr>
          <w:bCs/>
          <w:b/>
        </w:rPr>
        <w:t xml:space="preserve">oui</w:t>
      </w:r>
      <w:r>
        <w:t xml:space="preserve"> </w:t>
      </w:r>
      <w:r>
        <w:t xml:space="preserve">(PDF téléchargé et extrait). Aucun rapport d’avancement listé [2] [V].</w:t>
      </w:r>
    </w:p>
    <w:p>
      <w:pPr>
        <w:numPr>
          <w:ilvl w:val="0"/>
          <w:numId w:val="1248"/>
        </w:numPr>
        <w:pStyle w:val="Compact"/>
      </w:pPr>
      <w:r>
        <w:t xml:space="preserve">Opérateur(s) national(aux) d’électricité : National Water and Electricity Company (NAWEC), opérateur public intégré eau et électricité (production publique, transport et distribution en monopole) ; décision gouvernementale de séparer électricité et eau en deux entités distinctes [1] [V]. Deux IPP licenciés [1] [V].</w:t>
      </w:r>
    </w:p>
    <w:p>
      <w:pPr>
        <w:numPr>
          <w:ilvl w:val="0"/>
          <w:numId w:val="1248"/>
        </w:numPr>
        <w:pStyle w:val="Compact"/>
      </w:pPr>
      <w:r>
        <w:t xml:space="preserve">Régulateur : Public Utilities Regulatory Authority (PURA), régulateur multisectoriel créé en 2001 ; tutelle : Ministry of Petroleum, Energy and Mines (MoPEM) [1] [V].</w:t>
      </w:r>
    </w:p>
    <w:bookmarkEnd w:id="273"/>
    <w:bookmarkStart w:id="274" w:name="situation-de-départ-selon-le-pacte-15"/>
    <w:p>
      <w:pPr>
        <w:pStyle w:val="Heading3"/>
      </w:pPr>
      <w:r>
        <w:t xml:space="preserve">1. Situation de départ (selon le pacte)</w:t>
      </w:r>
    </w:p>
    <w:p>
      <w:pPr>
        <w:numPr>
          <w:ilvl w:val="0"/>
          <w:numId w:val="1249"/>
        </w:numPr>
        <w:pStyle w:val="Compact"/>
      </w:pPr>
      <w:r>
        <w:t xml:space="preserve">Taux d’accès national : 73,7 % (2024) [1] [V] ; urbain (Banjul, Kanifing) &gt; 97 %, rural ~45 % (2024) [1] [V] ; Janjanbureh et Kuntaur &lt; 40 % [1] [V]. Plus de 99 % des connexions sont sur le réseau [1] [V]. Les projets en cours doivent porter l’accès à 90 % fin 2025 (900 nouvelles communautés, ~700 000 personnes) [1] [V].</w:t>
      </w:r>
    </w:p>
    <w:p>
      <w:pPr>
        <w:numPr>
          <w:ilvl w:val="0"/>
          <w:numId w:val="1249"/>
        </w:numPr>
        <w:pStyle w:val="Compact"/>
      </w:pPr>
      <w:r>
        <w:t xml:space="preserve">Population sans accès : non chiffrée explicitement ; population 2,4 millions [1] [V] ; cible de 633 000 personnes supplémentaires d’ici 2030 [1] [V].</w:t>
      </w:r>
    </w:p>
    <w:p>
      <w:pPr>
        <w:numPr>
          <w:ilvl w:val="0"/>
          <w:numId w:val="1249"/>
        </w:numPr>
        <w:pStyle w:val="Compact"/>
      </w:pPr>
      <w:r>
        <w:t xml:space="preserve">Capacité installée, mix de production : ~90 MW installés, disponibilité &lt; 50 % (texte) [1] [V] ; 99 MW installés / 40 MW disponibles en 2025 (annexe III) [1] [V]. Production 2024 : 696 382 MWh, 87 % thermique / 13 % renouvelable (importations incluses) [1] [V]. Production T1 2025 : importations 57 % (thermique du Sénégal 32 %, hydro de Guinée 25 %), thermique public 7 %, IPP privé 29 % (contrat expiré le 2 mai 2025), solaire public 6 % ; les importations doivent atteindre 85 % après le non-renouvellement de la centrale flottante [1] [V]. Centrale solaire publique de 23 MWc + 8 MWh mise en service en 2023 [1] [V]. Capacité d’importation dans le Grand Banjul portée de 60 à 140 MW [1] [V].</w:t>
      </w:r>
    </w:p>
    <w:p>
      <w:pPr>
        <w:numPr>
          <w:ilvl w:val="0"/>
          <w:numId w:val="1249"/>
        </w:numPr>
        <w:pStyle w:val="Compact"/>
      </w:pPr>
      <w:r>
        <w:t xml:space="preserve">Coûts et tarifs : tarif domestique moyen 0,21 USD/kWh [1] [V] ; coût moyen de production 0,18 USD/kWh ; coût des importations 0,16 USD/kWh [1] [V] ; frais de raccordement 500 GMD (~7 USD) en rural et 7 500 GMD (~104 USD) en urbain [1] [V].</w:t>
      </w:r>
    </w:p>
    <w:p>
      <w:pPr>
        <w:numPr>
          <w:ilvl w:val="0"/>
          <w:numId w:val="1249"/>
        </w:numPr>
        <w:pStyle w:val="Compact"/>
      </w:pPr>
      <w:r>
        <w:t xml:space="preserve">Opérateur : pertes du système 21 % (21,52 % en 2024) contre un plafond réglementaire de 18 % [1] [V] ; prépaiement &gt; 97 % (ou 99 %) des clients [1] [V] ; marge nette −28 % en 2024 (section 2.1) ou « −37% in 2024 » (section 2) [1] [V — incohérence] ; résultat net −33,6 M USD (2024, non audité) [1] [V] ; fonds propres négatifs, renflouements publics en 2023 et 2024 [1] [V] ; arriérés envers les fournisseurs 40 M USD (2024, texte) ou 18,0 M USD envers les IPP (annexe III) [1] [V] ; reprise par l’État de 75 % des dettes de NAWEC en 2019 [1] [V] ; hausse tarifaire pondérée de 37 % en 2023 [1] [V].</w:t>
      </w:r>
    </w:p>
    <w:p>
      <w:pPr>
        <w:numPr>
          <w:ilvl w:val="0"/>
          <w:numId w:val="1249"/>
        </w:numPr>
        <w:pStyle w:val="Compact"/>
      </w:pPr>
      <w:r>
        <w:t xml:space="preserve">Accès à la cuisson propre : 25 % (2024, MoPEM) ; plus de 75 % des ménages dépendent du bois et du charbon [1] [V].</w:t>
      </w:r>
    </w:p>
    <w:bookmarkEnd w:id="274"/>
    <w:bookmarkStart w:id="275" w:name="cibles-2030-14"/>
    <w:p>
      <w:pPr>
        <w:pStyle w:val="Heading3"/>
      </w:pPr>
      <w:r>
        <w:t xml:space="preserve">2. Cibles 2030</w:t>
      </w:r>
    </w:p>
    <w:p>
      <w:pPr>
        <w:numPr>
          <w:ilvl w:val="0"/>
          <w:numId w:val="1250"/>
        </w:numPr>
        <w:pStyle w:val="Compact"/>
      </w:pPr>
      <w:r>
        <w:t xml:space="preserve">Accès électricité : 100 % en 2030, soit 633 000 personnes supplémentaires [1] [V]. Base : ~20 000 ménages raccordés par an (2018-2024) [1] [V]. Essentiellement par extension du réseau ; mini-réseaux seulement là où l’extension est infaisable ; conception des 645 communautés restantes non électrifiées d’ici mars 2026 [1] [V]. Pas de ventilation chiffrée réseau / hors réseau [?].</w:t>
      </w:r>
    </w:p>
    <w:p>
      <w:pPr>
        <w:numPr>
          <w:ilvl w:val="0"/>
          <w:numId w:val="1250"/>
        </w:numPr>
        <w:pStyle w:val="Compact"/>
      </w:pPr>
      <w:r>
        <w:t xml:space="preserve">Part des renouvelables (production + importations, en MWh) : de 13 % à 30 % [1] [V]. Ajouts : 150 MW solaires (parc de Soma : 50 MW + 10 MW/40 MWh en 2027 ; 100 MW en 2030) et +80 MW thermiques (HFO/CCGT ; centrales bi-combustible de 30 et 50 MW) sur financement public [1] [V].</w:t>
      </w:r>
    </w:p>
    <w:p>
      <w:pPr>
        <w:numPr>
          <w:ilvl w:val="0"/>
          <w:numId w:val="1250"/>
        </w:numPr>
        <w:pStyle w:val="Compact"/>
      </w:pPr>
      <w:r>
        <w:t xml:space="preserve">Cuisson propre : de 25 % à 50 % en 2030 [1] [V] (le texte de la section 2.1 évoque un programme phare pour que « 15% of households adopt clean cooking solutions by 2030 » [1] [V — incohérence]).</w:t>
      </w:r>
    </w:p>
    <w:p>
      <w:pPr>
        <w:numPr>
          <w:ilvl w:val="0"/>
          <w:numId w:val="1250"/>
        </w:numPr>
        <w:pStyle w:val="Compact"/>
      </w:pPr>
      <w:r>
        <w:t xml:space="preserve">Autres cibles chiffrées : capitaux privés 247 M USD (base 0) [1] [V] ; pertes de 21 % à 18 % en 2030 [1] [V].</w:t>
      </w:r>
    </w:p>
    <w:bookmarkEnd w:id="275"/>
    <w:bookmarkStart w:id="282" w:name="réformes-promises-cœur-de-lanalyse-12"/>
    <w:p>
      <w:pPr>
        <w:pStyle w:val="Heading3"/>
      </w:pPr>
      <w:r>
        <w:t xml:space="preserve">3. Réformes promises (cœur de l’analyse)</w:t>
      </w:r>
    </w:p>
    <w:bookmarkStart w:id="276" w:name="tarifs-et-subventions-15"/>
    <w:p>
      <w:pPr>
        <w:pStyle w:val="Heading4"/>
      </w:pPr>
      <w:r>
        <w:t xml:space="preserve">3.1 Tarifs et subventions</w:t>
      </w:r>
    </w:p>
    <w:p>
      <w:pPr>
        <w:numPr>
          <w:ilvl w:val="0"/>
          <w:numId w:val="1251"/>
        </w:numPr>
        <w:pStyle w:val="Compact"/>
      </w:pPr>
      <w:r>
        <w:t xml:space="preserve">Étude de coût de service pour fixer structures et niveaux tarifaires permettant le plein recouvrement ; la politique de subvention indiquera le délai (« e.g., 5 years ») pour atteindre la pleine couverture des coûts [1] [V].</w:t>
      </w:r>
    </w:p>
    <w:p>
      <w:pPr>
        <w:numPr>
          <w:ilvl w:val="0"/>
          <w:numId w:val="1251"/>
        </w:numPr>
        <w:pStyle w:val="Compact"/>
      </w:pPr>
      <w:r>
        <w:t xml:space="preserve">Application de répercussions périodiques (« pass-through ») des coûts non contrôlables (combustible, taux de change) et calendrier ferme des révisions tarifaires majeures et mineures [1] [V]. Le pacte reconnaît que l’application du pass-through a été « inconsistent » [1] [V].</w:t>
      </w:r>
    </w:p>
    <w:p>
      <w:pPr>
        <w:numPr>
          <w:ilvl w:val="0"/>
          <w:numId w:val="1251"/>
        </w:numPr>
        <w:pStyle w:val="Compact"/>
      </w:pPr>
      <w:r>
        <w:t xml:space="preserve">Politique de péréquation tarifaire nationale déjà adoptée (tarifs des mini-réseaux plafonnés au tarif de NAWEC) → besoin de subventions CAPEX aux mini-réseaux ; révision de la loi sur les renouvelables d’ici 2026 pour corriger ce décalage [1] [V].</w:t>
      </w:r>
    </w:p>
    <w:p>
      <w:pPr>
        <w:numPr>
          <w:ilvl w:val="0"/>
          <w:numId w:val="1251"/>
        </w:numPr>
        <w:pStyle w:val="Compact"/>
      </w:pPr>
      <w:r>
        <w:t xml:space="preserve">Passage de subventions générales à des aides ciblées par ménage via le registre social ; « Any price adjustment will be accompanied by compensatory measures for vulnerable consumers » [1] [V]. Mécanisme de compensation des recettes (RCM) existant [1] [V]. Subventions : 20 M USD (annexe III) [1] [V].</w:t>
      </w:r>
    </w:p>
    <w:p>
      <w:pPr>
        <w:numPr>
          <w:ilvl w:val="0"/>
          <w:numId w:val="1251"/>
        </w:numPr>
        <w:pStyle w:val="Compact"/>
      </w:pPr>
      <w:r>
        <w:t xml:space="preserve">Cuisson propre : droits de douane nuls sur les composants (liste publiée en ligne d’ici 2026), RBF / e-vouchers [1] [V].</w:t>
      </w:r>
    </w:p>
    <w:bookmarkEnd w:id="276"/>
    <w:bookmarkStart w:id="277" w:name="Xa1d5fbb6aa88bba7bb762fdbbf47ab5ba359630"/>
    <w:p>
      <w:pPr>
        <w:pStyle w:val="Heading4"/>
      </w:pPr>
      <w:r>
        <w:t xml:space="preserve">3.2 Opérateur (redressement, contrats de performance, pertes, recouvrement, compteurs)</w:t>
      </w:r>
    </w:p>
    <w:p>
      <w:pPr>
        <w:numPr>
          <w:ilvl w:val="0"/>
          <w:numId w:val="1252"/>
        </w:numPr>
        <w:pStyle w:val="Compact"/>
      </w:pPr>
      <w:r>
        <w:t xml:space="preserve">Mesures de redressement : sortir des contrats d’énergie coûteux (non-renouvellement de la centrale flottante en 2025), apurement par l’État de tous les arriérés hérités de NAWEC, nouvelles sources moins chères, comptage et réduction des pertes [1] [V].</w:t>
      </w:r>
    </w:p>
    <w:p>
      <w:pPr>
        <w:numPr>
          <w:ilvl w:val="0"/>
          <w:numId w:val="1252"/>
        </w:numPr>
        <w:pStyle w:val="Compact"/>
      </w:pPr>
      <w:r>
        <w:t xml:space="preserve">Stratégie de réduction des coûts de NAWEC d’ici décembre 2025 ; vente prépayée par canaux numériques d’ici juin 2026 [1] [V].</w:t>
      </w:r>
    </w:p>
    <w:p>
      <w:pPr>
        <w:numPr>
          <w:ilvl w:val="0"/>
          <w:numId w:val="1252"/>
        </w:numPr>
        <w:pStyle w:val="Compact"/>
      </w:pPr>
      <w:r>
        <w:t xml:space="preserve">Pertes de 21 % à 18 % d’ici 2030 ; réglementation anti-fraude d’ici décembre 2026 ; IA pour la protection des recettes ; remplacement de compteurs [1] [V].</w:t>
      </w:r>
    </w:p>
    <w:p>
      <w:pPr>
        <w:numPr>
          <w:ilvl w:val="0"/>
          <w:numId w:val="1252"/>
        </w:numPr>
        <w:pStyle w:val="Compact"/>
      </w:pPr>
      <w:r>
        <w:t xml:space="preserve">Factures de l’État : institutionnalisation de l’affectation de trésorerie (« cash earmarking ») pour les entités publiques encore au post-paiement (défense, santé) [1] [V].</w:t>
      </w:r>
    </w:p>
    <w:p>
      <w:pPr>
        <w:numPr>
          <w:ilvl w:val="0"/>
          <w:numId w:val="1252"/>
        </w:numPr>
        <w:pStyle w:val="Compact"/>
      </w:pPr>
      <w:r>
        <w:t xml:space="preserve">Assainissement du bilan par des protocoles de transfert de dette avec le ministère des Finances ; plan de restructuration du capital (« Yes ») [1] [V].</w:t>
      </w:r>
    </w:p>
    <w:p>
      <w:pPr>
        <w:numPr>
          <w:ilvl w:val="0"/>
          <w:numId w:val="1252"/>
        </w:numPr>
        <w:pStyle w:val="Compact"/>
      </w:pPr>
      <w:r>
        <w:t xml:space="preserve">Mécanisme de « cash waterfall » priorisant les paiements des importations et des IPP locaux (d’ici décembre 2026) [1] [V].</w:t>
      </w:r>
    </w:p>
    <w:p>
      <w:pPr>
        <w:numPr>
          <w:ilvl w:val="0"/>
          <w:numId w:val="1252"/>
        </w:numPr>
        <w:pStyle w:val="Compact"/>
      </w:pPr>
      <w:r>
        <w:t xml:space="preserve">Séparation eau / électricité avec contrats de performance, redimensionnement des effectifs et répartition des actifs [1] [V] (sans date).</w:t>
      </w:r>
    </w:p>
    <w:p>
      <w:pPr>
        <w:numPr>
          <w:ilvl w:val="0"/>
          <w:numId w:val="1252"/>
        </w:numPr>
        <w:pStyle w:val="Compact"/>
      </w:pPr>
      <w:r>
        <w:t xml:space="preserve">Contrats d’O&amp;M privés envisagés pour les centrales publiques [1] [V].</w:t>
      </w:r>
    </w:p>
    <w:p>
      <w:pPr>
        <w:numPr>
          <w:ilvl w:val="0"/>
          <w:numId w:val="1252"/>
        </w:numPr>
        <w:pStyle w:val="Compact"/>
      </w:pPr>
      <w:r>
        <w:t xml:space="preserve">Comptes audités déjà publiés mais en retard [1] [V].</w:t>
      </w:r>
    </w:p>
    <w:p>
      <w:pPr>
        <w:numPr>
          <w:ilvl w:val="0"/>
          <w:numId w:val="1252"/>
        </w:numPr>
        <w:pStyle w:val="Compact"/>
      </w:pPr>
      <w:r>
        <w:t xml:space="preserve">Projet e-Gambia Power (fibre OPGW, compteurs intelligents, recettes non tarifaires) [1] [V].</w:t>
      </w:r>
    </w:p>
    <w:bookmarkEnd w:id="277"/>
    <w:bookmarkStart w:id="278" w:name="régulation-et-gouvernance-11"/>
    <w:p>
      <w:pPr>
        <w:pStyle w:val="Heading4"/>
      </w:pPr>
      <w:r>
        <w:t xml:space="preserve">3.3 Régulation et gouvernance</w:t>
      </w:r>
    </w:p>
    <w:p>
      <w:pPr>
        <w:numPr>
          <w:ilvl w:val="0"/>
          <w:numId w:val="1253"/>
        </w:numPr>
        <w:pStyle w:val="Compact"/>
      </w:pPr>
      <w:r>
        <w:t xml:space="preserve">Mise à jour de la feuille de route sectorielle et du LCPDP 2021-2040 d’ici décembre 2025 (outils géospatiaux d’ici déc. 2026) ; modèle de dispatch selon l’ordre de mérite pour NAWEC d’ici déc. 2026 [1] [V].</w:t>
      </w:r>
    </w:p>
    <w:p>
      <w:pPr>
        <w:numPr>
          <w:ilvl w:val="0"/>
          <w:numId w:val="1253"/>
        </w:numPr>
        <w:pStyle w:val="Compact"/>
      </w:pPr>
      <w:r>
        <w:t xml:space="preserve">Résolution du Conseil des ministres rendant obligatoire l’appel d’offres concurrentiel pour toute nouvelle production, avec cadre pour les offres spontanées (juillet 2025) [1] [V].</w:t>
      </w:r>
    </w:p>
    <w:p>
      <w:pPr>
        <w:numPr>
          <w:ilvl w:val="0"/>
          <w:numId w:val="1253"/>
        </w:numPr>
        <w:pStyle w:val="Compact"/>
      </w:pPr>
      <w:r>
        <w:t xml:space="preserve">Loi PPP fin 2025 (janvier 2026 dans le plan d’action) [1] [V].</w:t>
      </w:r>
    </w:p>
    <w:p>
      <w:pPr>
        <w:numPr>
          <w:ilvl w:val="0"/>
          <w:numId w:val="1253"/>
        </w:numPr>
        <w:pStyle w:val="Compact"/>
      </w:pPr>
      <w:r>
        <w:t xml:space="preserve">Mise à jour de l’étude d’accès universel de 2021 (validation T3 2025) ; enquête MTF (août 2025 / T2 2025) ; tableau de bord sectoriel hébergé par PURA (juin 2026) [1] [V].</w:t>
      </w:r>
    </w:p>
    <w:p>
      <w:pPr>
        <w:numPr>
          <w:ilvl w:val="0"/>
          <w:numId w:val="1253"/>
        </w:numPr>
        <w:pStyle w:val="Compact"/>
      </w:pPr>
      <w:r>
        <w:t xml:space="preserve">Stratégie de cuisson propre d’ici juin 2026 ; normes (T4 2026) ; loi sur l’efficacité énergétique d’ici décembre 2026 [1] [V].</w:t>
      </w:r>
    </w:p>
    <w:p>
      <w:pPr>
        <w:numPr>
          <w:ilvl w:val="0"/>
          <w:numId w:val="1253"/>
        </w:numPr>
        <w:pStyle w:val="Compact"/>
      </w:pPr>
      <w:r>
        <w:t xml:space="preserve">Compact Delivery and Monitoring Unit (CDMU) présidée par le ministre de l’Énergie, rapportant au Conseil des ministres [1] [V].</w:t>
      </w:r>
    </w:p>
    <w:bookmarkEnd w:id="278"/>
    <w:bookmarkStart w:id="279" w:name="Xd8037bb7afcb36e15a20281ab10e93f434458bb"/>
    <w:p>
      <w:pPr>
        <w:pStyle w:val="Heading4"/>
      </w:pPr>
      <w:r>
        <w:t xml:space="preserve">3.4 Participation du privé (producteurs indépendants, concessions, hors réseau)</w:t>
      </w:r>
    </w:p>
    <w:p>
      <w:pPr>
        <w:numPr>
          <w:ilvl w:val="0"/>
          <w:numId w:val="1254"/>
        </w:numPr>
        <w:pStyle w:val="Compact"/>
      </w:pPr>
      <w:r>
        <w:t xml:space="preserve">Soma phase I : 50 MW solaire + 10 MW/40 MWh, appel d’offres concurrentiel, rehaussement de crédit Banque mondiale (compte séquestre couvrant 6 mois de recettes de l’IPP) ; clôture financière fin 2025 (plan d’action) ou juin 2026 (section 2.1) ; mise en service 2027 [1] [V]. Foncier phase I juillet 2025, phase II juillet 2026 ; conseil transactionnel phase II (100 MW, destinée à l’export) dès août 2025 [1] [V].</w:t>
      </w:r>
    </w:p>
    <w:p>
      <w:pPr>
        <w:numPr>
          <w:ilvl w:val="0"/>
          <w:numId w:val="1254"/>
        </w:numPr>
        <w:pStyle w:val="Compact"/>
      </w:pPr>
      <w:r>
        <w:t xml:space="preserve">Tarifs d’achat garantis (feed-in) : étude d’intégration des ENR variables et réserves foncières d’ici déc. 2025 ; premier appel à propositions en juin 2026 (plan d’action) ou janvier 2026 (section 2.1) [1] [V — incohérence] ; lignes directrices de net-metering d’ici juin 2025 [1] [V].</w:t>
      </w:r>
    </w:p>
    <w:p>
      <w:pPr>
        <w:numPr>
          <w:ilvl w:val="0"/>
          <w:numId w:val="1254"/>
        </w:numPr>
        <w:pStyle w:val="Compact"/>
      </w:pPr>
      <w:r>
        <w:t xml:space="preserve">Subventions CAPEX aux mini-réseaux via le Gambia Renewable Energy Fund ; appel à propositions mini-réseaux fin 2025 [1] [V].</w:t>
      </w:r>
    </w:p>
    <w:p>
      <w:pPr>
        <w:numPr>
          <w:ilvl w:val="0"/>
          <w:numId w:val="1254"/>
        </w:numPr>
        <w:pStyle w:val="Compact"/>
      </w:pPr>
      <w:r>
        <w:t xml:space="preserve">Pas de participation privée prévue dans le transport et la distribution (« solely under the remit of NAWEC ») [1] [V]. Le pacte exclut de nouveaux IPP thermiques privés (variabilité des PPA, dépréciation du dalasi) [1] [V].</w:t>
      </w:r>
    </w:p>
    <w:bookmarkEnd w:id="279"/>
    <w:bookmarkStart w:id="280" w:name="X7f405c96407984419fc3c746d1619c2f982cc1e"/>
    <w:p>
      <w:pPr>
        <w:pStyle w:val="Heading4"/>
      </w:pPr>
      <w:r>
        <w:t xml:space="preserve">3.5 Intégration régionale (pools énergétiques, interconnexions)</w:t>
      </w:r>
    </w:p>
    <w:p>
      <w:pPr>
        <w:numPr>
          <w:ilvl w:val="0"/>
          <w:numId w:val="1255"/>
        </w:numPr>
        <w:pStyle w:val="Compact"/>
      </w:pPr>
      <w:r>
        <w:t xml:space="preserve">Soutien au groupe de travail tarifaire d’ERERA ; transposition par PURA des tarifs de transport harmonisés une fois adoptés [1] [V].</w:t>
      </w:r>
    </w:p>
    <w:p>
      <w:pPr>
        <w:numPr>
          <w:ilvl w:val="0"/>
          <w:numId w:val="1255"/>
        </w:numPr>
        <w:pStyle w:val="Compact"/>
      </w:pPr>
      <w:r>
        <w:t xml:space="preserve">Paiement ponctuel des obligations au titre du contrat de transport (TSA) de l’OMVG ; apurement des arriérés envers les fournisseurs bilatéraux ; protocole de partage de données NAWEC–OMVG (déc. 2026) ; étude de commercialisation de la fibre OPGW (juin 2026) [1] [V].</w:t>
      </w:r>
    </w:p>
    <w:p>
      <w:pPr>
        <w:numPr>
          <w:ilvl w:val="0"/>
          <w:numId w:val="1255"/>
        </w:numPr>
        <w:pStyle w:val="Compact"/>
      </w:pPr>
      <w:r>
        <w:t xml:space="preserve">Interconnexion avec Sénégal, Guinée et Guinée-Bissau ; discussions avec la Côte d’Ivoire [1] [V].</w:t>
      </w:r>
    </w:p>
    <w:bookmarkEnd w:id="280"/>
    <w:bookmarkStart w:id="281" w:name="autres-fiscalité-foncier-local-content-8"/>
    <w:p>
      <w:pPr>
        <w:pStyle w:val="Heading4"/>
      </w:pPr>
      <w:r>
        <w:t xml:space="preserve">3.6 Autres (fiscalité, foncier, local content)</w:t>
      </w:r>
    </w:p>
    <w:p>
      <w:pPr>
        <w:numPr>
          <w:ilvl w:val="0"/>
          <w:numId w:val="1256"/>
        </w:numPr>
        <w:pStyle w:val="Compact"/>
      </w:pPr>
      <w:r>
        <w:t xml:space="preserve">Droits nuls sur les composants de cuisson propre (voir 3.1) [1] [V].</w:t>
      </w:r>
    </w:p>
    <w:p>
      <w:pPr>
        <w:numPr>
          <w:ilvl w:val="0"/>
          <w:numId w:val="1256"/>
        </w:numPr>
        <w:pStyle w:val="Compact"/>
      </w:pPr>
      <w:r>
        <w:t xml:space="preserve">Renforcement des cadres fonciers (permis, évaluations, réinstallation) [1] [V].</w:t>
      </w:r>
    </w:p>
    <w:p>
      <w:pPr>
        <w:numPr>
          <w:ilvl w:val="0"/>
          <w:numId w:val="1256"/>
        </w:numPr>
        <w:pStyle w:val="Compact"/>
      </w:pPr>
      <w:r>
        <w:t xml:space="preserve">Chaînes d’approvisionnement locales pour foyers et combustibles [1] [V].</w:t>
      </w:r>
    </w:p>
    <w:bookmarkEnd w:id="281"/>
    <w:bookmarkEnd w:id="282"/>
    <w:bookmarkStart w:id="283" w:name="financement-15"/>
    <w:p>
      <w:pPr>
        <w:pStyle w:val="Heading3"/>
      </w:pPr>
      <w:r>
        <w:t xml:space="preserve">4. Financement</w:t>
      </w:r>
    </w:p>
    <w:p>
      <w:pPr>
        <w:numPr>
          <w:ilvl w:val="0"/>
          <w:numId w:val="1257"/>
        </w:numPr>
        <w:pStyle w:val="Compact"/>
      </w:pPr>
      <w:r>
        <w:t xml:space="preserve">Besoin total : 552 M USD (public 305 / privé 247) [1] [V]. Détail (M USD) : production 364 (139 / 225) ; transport 75 (public) ; distribution 30 kV 40 ; réhabilitation 20 ; dernier kilomètre 20 ; hors réseau 3 (1 / 2) ; cuisson propre 21 (5 / 20 — la somme ligne donne 25, erreur interne) ; renforcement des capacités 5 [1] [V].</w:t>
      </w:r>
    </w:p>
    <w:p>
      <w:pPr>
        <w:numPr>
          <w:ilvl w:val="0"/>
          <w:numId w:val="1257"/>
        </w:numPr>
        <w:pStyle w:val="Compact"/>
      </w:pPr>
      <w:r>
        <w:t xml:space="preserve">Engagements cités (annexe I) : BAD — GEAP 17 M USD (2019-2023), GESREP 20 M USD (2023-2028) ; UE/BEI — GSEC 35 M USD (solarisation de 1 100 écoles et hôpitaux) ; Banque mondiale/UE/BEI — GERMP 165 M USD ; Banque mondiale — ECOREAP 66 M USD, GIP 26 M USD (2025-2031, 5 000 ménages), OMVG 47 M USD, RSPG 1,35 M USD (conseil transactionnel Soma) [1] [V]. Priorités : ligne 225 kV Eastern Backbone Soma–Basse (200 km, 75 M USD, 2028/29) [1] [V].</w:t>
      </w:r>
    </w:p>
    <w:bookmarkEnd w:id="283"/>
    <w:bookmarkStart w:id="284" w:name="calendrier-et-suivi-15"/>
    <w:p>
      <w:pPr>
        <w:pStyle w:val="Heading3"/>
      </w:pPr>
      <w:r>
        <w:t xml:space="preserve">5. Calendrier et suivi</w:t>
      </w:r>
    </w:p>
    <w:p>
      <w:pPr>
        <w:numPr>
          <w:ilvl w:val="0"/>
          <w:numId w:val="1258"/>
        </w:numPr>
        <w:pStyle w:val="Compact"/>
      </w:pPr>
      <w:r>
        <w:t xml:space="preserve">Jalons datés : net-metering juin 2025 ; résolution sur les appels d’offres juillet 2025 ; MTF 2025 ; LCPDP déc. 2025 ; stratégie de réduction des coûts NAWEC déc. 2025 ; loi PPP fin 2025 / janv. 2026 ; feed-in 2026 ; stratégie cuisson juin 2026 ; cash waterfall, anti-fraude, loi EE déc. 2026 ; Soma I 2027 ; Eastern Backbone 2028 ; Soma II 2030 ; pertes 18 % en 2030 [1] [V].</w:t>
      </w:r>
    </w:p>
    <w:p>
      <w:pPr>
        <w:numPr>
          <w:ilvl w:val="0"/>
          <w:numId w:val="1258"/>
        </w:numPr>
        <w:pStyle w:val="Compact"/>
      </w:pPr>
      <w:r>
        <w:t xml:space="preserve">Suivi : CDMU avec Universal Access Taskforce, ligne hiérarchique directe vers le Conseil des ministres ; tableau de bord public chez PURA [1] [V].</w:t>
      </w:r>
    </w:p>
    <w:bookmarkEnd w:id="284"/>
    <w:bookmarkStart w:id="285" w:name="lecture-critique-12"/>
    <w:p>
      <w:pPr>
        <w:pStyle w:val="Heading3"/>
      </w:pPr>
      <w:r>
        <w:t xml:space="preserve">6. Lecture critique</w:t>
      </w:r>
    </w:p>
    <w:p>
      <w:pPr>
        <w:numPr>
          <w:ilvl w:val="0"/>
          <w:numId w:val="1259"/>
        </w:numPr>
        <w:pStyle w:val="Compact"/>
      </w:pPr>
      <w:r>
        <w:t xml:space="preserve">Réalisme des cibles : l’accès universel est crédible au vu du rythme historique (141 000 connexions depuis 2017, ~20 000/an [1]) et de la petite taille du pays ; le risque principal est la qualité de service (réseaux monophasés saturés, disponibilité &lt; 50 %) plutôt que le nombre de connexions [E]. La cible renouvelable (30 %) dépend presque entièrement de Soma I/II et de la clôture financière d’un IPP adossé à un acheteur à fonds propres négatifs [E].</w:t>
      </w:r>
    </w:p>
    <w:p>
      <w:pPr>
        <w:numPr>
          <w:ilvl w:val="0"/>
          <w:numId w:val="1259"/>
        </w:numPr>
        <w:pStyle w:val="Compact"/>
      </w:pPr>
      <w:r>
        <w:t xml:space="preserve">Engagements tarifaires :</w:t>
      </w:r>
      <w:r>
        <w:t xml:space="preserve"> </w:t>
      </w:r>
      <w:r>
        <w:rPr>
          <w:bCs/>
          <w:b/>
        </w:rPr>
        <w:t xml:space="preserve">orientés processus</w:t>
      </w:r>
      <w:r>
        <w:t xml:space="preserve"> </w:t>
      </w:r>
      <w:r>
        <w:t xml:space="preserve">— étude de coût de service, pass-through, calendrier de révisions, politique de subvention avec délai « e.g., 5 years » non arrêté ; aucun niveau de tarif cible, aucune trajectoire de subvention [E]. Le pacte reconnaît l’application irrégulière du pass-through [1].</w:t>
      </w:r>
    </w:p>
    <w:p>
      <w:pPr>
        <w:numPr>
          <w:ilvl w:val="0"/>
          <w:numId w:val="1259"/>
        </w:numPr>
        <w:pStyle w:val="Compact"/>
      </w:pPr>
      <w:r>
        <w:t xml:space="preserve">Engagement opérateur le plus saillant : apurement des arriérés hérités par l’État, cash waterfall et séparation eau/électricité ; pas de recours à un opérateur privé pour NAWEC [1] [E].</w:t>
      </w:r>
    </w:p>
    <w:p>
      <w:pPr>
        <w:numPr>
          <w:ilvl w:val="0"/>
          <w:numId w:val="1259"/>
        </w:numPr>
        <w:pStyle w:val="Compact"/>
      </w:pPr>
      <w:r>
        <w:t xml:space="preserve">Risques principaux : dépendance aux importations (jusqu’à 85 % [1]) et aux arriérés régionaux ; solvabilité de NAWEC ; incohérences internes (marge −28 % vs −37 %, arriérés 40 vs 18 M USD, dates Soma et feed-in) [1] [E].</w:t>
      </w:r>
    </w:p>
    <w:p>
      <w:pPr>
        <w:numPr>
          <w:ilvl w:val="0"/>
          <w:numId w:val="1259"/>
        </w:numPr>
        <w:pStyle w:val="Compact"/>
      </w:pPr>
      <w:r>
        <w:t xml:space="preserve">Points à approfondir — phase 2 (opérateur) : bilan financier NAWEC, séparation eau/électricité, contrats de performance, cash waterfall. Phase 3 (tarifs) : étude de coût de service PURA, application du pass-through, péréquation et RCM.</w:t>
      </w:r>
    </w:p>
    <w:bookmarkEnd w:id="285"/>
    <w:bookmarkStart w:id="286" w:name="inconnus-données-non-trouvées-15"/>
    <w:p>
      <w:pPr>
        <w:pStyle w:val="Heading3"/>
      </w:pPr>
      <w:r>
        <w:t xml:space="preserve">7. Inconnus / données non trouvées</w:t>
      </w:r>
    </w:p>
    <w:p>
      <w:pPr>
        <w:numPr>
          <w:ilvl w:val="0"/>
          <w:numId w:val="1260"/>
        </w:numPr>
        <w:pStyle w:val="Compact"/>
      </w:pPr>
      <w:r>
        <w:t xml:space="preserve">Date de présentation et de signature : [?].</w:t>
      </w:r>
    </w:p>
    <w:p>
      <w:pPr>
        <w:numPr>
          <w:ilvl w:val="0"/>
          <w:numId w:val="1260"/>
        </w:numPr>
        <w:pStyle w:val="Compact"/>
      </w:pPr>
      <w:r>
        <w:t xml:space="preserve">Ventilation des raccordements réseau / hors réseau : [?].</w:t>
      </w:r>
    </w:p>
    <w:p>
      <w:pPr>
        <w:numPr>
          <w:ilvl w:val="0"/>
          <w:numId w:val="1260"/>
        </w:numPr>
        <w:pStyle w:val="Compact"/>
      </w:pPr>
      <w:r>
        <w:t xml:space="preserve">Trajectoire tarifaire chiffrée et délai de couverture des coûts : [?] (« e.g., 5 years »).</w:t>
      </w:r>
    </w:p>
    <w:p>
      <w:pPr>
        <w:numPr>
          <w:ilvl w:val="0"/>
          <w:numId w:val="1260"/>
        </w:numPr>
        <w:pStyle w:val="Compact"/>
      </w:pPr>
      <w:r>
        <w:t xml:space="preserve">Montant exact des arriérés (40 vs 18 M USD) et marge nette 2024 (−28 % vs −37 %) : [?].</w:t>
      </w:r>
    </w:p>
    <w:p>
      <w:pPr>
        <w:numPr>
          <w:ilvl w:val="0"/>
          <w:numId w:val="1260"/>
        </w:numPr>
        <w:pStyle w:val="Compact"/>
      </w:pPr>
      <w:r>
        <w:t xml:space="preserve">Cible de cuisson propre (50 % de la population vs 15 % des ménages via le programme phare) : [?].</w:t>
      </w:r>
    </w:p>
    <w:p>
      <w:pPr>
        <w:numPr>
          <w:ilvl w:val="0"/>
          <w:numId w:val="1260"/>
        </w:numPr>
        <w:pStyle w:val="Compact"/>
      </w:pPr>
      <w:r>
        <w:t xml:space="preserve">Rapport d’avancement : [?] non publié.</w:t>
      </w:r>
    </w:p>
    <w:bookmarkEnd w:id="286"/>
    <w:bookmarkStart w:id="287" w:name="sources-16"/>
    <w:p>
      <w:pPr>
        <w:pStyle w:val="Heading3"/>
      </w:pPr>
      <w:r>
        <w:t xml:space="preserve">Sources</w:t>
      </w:r>
    </w:p>
    <w:p>
      <w:pPr>
        <w:pStyle w:val="FirstParagraph"/>
      </w:pPr>
      <w:r>
        <w:t xml:space="preserve">[1] Government of The Gambia, « National Energy Compact for the Republic of The Gambia », Mission 300, s.d. (base 2024-2025), 27 p. https://www.worldbank.org/content/dam/theworldbankgroupasset/document/2026/m300-energy-compacts/Gambia-National-Energy-Compact-Mission-300.pdf (consulté le 18/10/2026)</w:t>
      </w:r>
      <w:r>
        <w:t xml:space="preserve"> </w:t>
      </w:r>
      <w:r>
        <w:t xml:space="preserve">[2] Banque mondiale, page « National Energy Compacts ». https://www.worldbank.org/ext/en/energizingafrica/national-energy-compacts (consultée le 18/10/2026)</w:t>
      </w:r>
    </w:p>
    <w:p>
      <w:r>
        <w:br w:type="page"/>
      </w:r>
    </w:p>
    <w:bookmarkEnd w:id="287"/>
    <w:bookmarkEnd w:id="288"/>
    <w:bookmarkStart w:id="299" w:name="fiche-pacte-national-de-lénergie-kenya"/>
    <w:p>
      <w:pPr>
        <w:pStyle w:val="Heading2"/>
      </w:pPr>
      <w:r>
        <w:t xml:space="preserve">Fiche pacte national de l’énergie — Kenya</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289" w:name="métadonnées-16"/>
    <w:p>
      <w:pPr>
        <w:pStyle w:val="Heading3"/>
      </w:pPr>
      <w:r>
        <w:t xml:space="preserve">0. Métadonnées</w:t>
      </w:r>
    </w:p>
    <w:p>
      <w:pPr>
        <w:numPr>
          <w:ilvl w:val="0"/>
          <w:numId w:val="1261"/>
        </w:numPr>
        <w:pStyle w:val="Compact"/>
      </w:pPr>
      <w:r>
        <w:rPr>
          <w:bCs/>
          <w:b/>
        </w:rPr>
        <w:t xml:space="preserve">Cohorte / date de présentation</w:t>
      </w:r>
      <w:r>
        <w:t xml:space="preserve"> </w:t>
      </w:r>
      <w:r>
        <w:t xml:space="preserve">: « September 2025 » selon la page Banque mondiale des pactes [2] [V] (2e vague, après la cohorte de janvier 2025) ; PDF créé le 22/09/2025 (métadonnées) [E]. Le rapport d’avancement du Burundi indique que la 2e cohorte (18 pays) a présenté ses pactes en septembre 2025 au Bloomberg Philanthropies Global Forum (New York) ; la présence du Kenya à cet événement est probable mais non vérifiée [E]. Signataire : [?].</w:t>
      </w:r>
    </w:p>
    <w:p>
      <w:pPr>
        <w:numPr>
          <w:ilvl w:val="0"/>
          <w:numId w:val="1261"/>
        </w:numPr>
        <w:pStyle w:val="Compact"/>
      </w:pPr>
      <w:r>
        <w:rPr>
          <w:bCs/>
          <w:b/>
        </w:rPr>
        <w:t xml:space="preserve">Document consulté</w:t>
      </w:r>
      <w:r>
        <w:t xml:space="preserve"> </w:t>
      </w:r>
      <w:r>
        <w:t xml:space="preserve">: « National Energy Compact 2025–2030 for the Republic of Kenya », 76 p., anglais, mention « Official Use Only » sur chaque page [1] [V].</w:t>
      </w:r>
    </w:p>
    <w:p>
      <w:pPr>
        <w:numPr>
          <w:ilvl w:val="0"/>
          <w:numId w:val="1261"/>
        </w:numPr>
        <w:pStyle w:val="Compact"/>
      </w:pPr>
      <w:r>
        <w:rPr>
          <w:bCs/>
          <w:b/>
        </w:rPr>
        <w:t xml:space="preserve">Accès au texte intégral</w:t>
      </w:r>
      <w:r>
        <w:t xml:space="preserve"> </w:t>
      </w:r>
      <w:r>
        <w:t xml:space="preserve">:</w:t>
      </w:r>
      <w:r>
        <w:t xml:space="preserve"> </w:t>
      </w:r>
      <w:r>
        <w:rPr>
          <w:bCs/>
          <w:b/>
        </w:rPr>
        <w:t xml:space="preserve">oui</w:t>
      </w:r>
      <w:r>
        <w:t xml:space="preserve"> </w:t>
      </w:r>
      <w:r>
        <w:t xml:space="preserve">— https://www.worldbank.org/content/dam/theworldbankgroupasset/document/2026/m300-energy-compacts/Kenya-National-Energy-Compact-Mission-300.pdf</w:t>
      </w:r>
    </w:p>
    <w:p>
      <w:pPr>
        <w:numPr>
          <w:ilvl w:val="0"/>
          <w:numId w:val="1261"/>
        </w:numPr>
        <w:pStyle w:val="Compact"/>
      </w:pPr>
      <w:r>
        <w:rPr>
          <w:bCs/>
          <w:b/>
        </w:rPr>
        <w:t xml:space="preserve">Opérateurs</w:t>
      </w:r>
      <w:r>
        <w:t xml:space="preserve"> </w:t>
      </w:r>
      <w:r>
        <w:t xml:space="preserve">: secteur dégroupé (Sessional Paper 4 of 2004 ; Energy Act Cap 314) [1] [V] —</w:t>
      </w:r>
      <w:r>
        <w:t xml:space="preserve"> </w:t>
      </w:r>
      <w:r>
        <w:rPr>
          <w:bCs/>
          <w:b/>
        </w:rPr>
        <w:t xml:space="preserve">KPLC</w:t>
      </w:r>
      <w:r>
        <w:t xml:space="preserve"> </w:t>
      </w:r>
      <w:r>
        <w:t xml:space="preserve">(Kenya Power and Lighting Company PLC : acheteur unique, distribution, actifs de transport d’avant 2006 ≤ 220 kV) ;</w:t>
      </w:r>
      <w:r>
        <w:t xml:space="preserve"> </w:t>
      </w:r>
      <w:r>
        <w:rPr>
          <w:bCs/>
          <w:b/>
        </w:rPr>
        <w:t xml:space="preserve">KenGen</w:t>
      </w:r>
      <w:r>
        <w:t xml:space="preserve"> </w:t>
      </w:r>
      <w:r>
        <w:t xml:space="preserve">(production, 1 779 MW) ;</w:t>
      </w:r>
      <w:r>
        <w:t xml:space="preserve"> </w:t>
      </w:r>
      <w:r>
        <w:rPr>
          <w:bCs/>
          <w:b/>
        </w:rPr>
        <w:t xml:space="preserve">KETRACO</w:t>
      </w:r>
      <w:r>
        <w:t xml:space="preserve"> </w:t>
      </w:r>
      <w:r>
        <w:t xml:space="preserve">(transport ≥ 132 kV nouveau) ;</w:t>
      </w:r>
      <w:r>
        <w:t xml:space="preserve"> </w:t>
      </w:r>
      <w:r>
        <w:rPr>
          <w:bCs/>
          <w:b/>
        </w:rPr>
        <w:t xml:space="preserve">GDC</w:t>
      </w:r>
      <w:r>
        <w:t xml:space="preserve"> </w:t>
      </w:r>
      <w:r>
        <w:t xml:space="preserve">(géothermie, accords PISSA) ;</w:t>
      </w:r>
      <w:r>
        <w:t xml:space="preserve"> </w:t>
      </w:r>
      <w:r>
        <w:rPr>
          <w:bCs/>
          <w:b/>
        </w:rPr>
        <w:t xml:space="preserve">REREC</w:t>
      </w:r>
      <w:r>
        <w:t xml:space="preserve"> </w:t>
      </w:r>
      <w:r>
        <w:t xml:space="preserve">(électrification rurale) ;</w:t>
      </w:r>
      <w:r>
        <w:t xml:space="preserve"> </w:t>
      </w:r>
      <w:r>
        <w:rPr>
          <w:bCs/>
          <w:b/>
        </w:rPr>
        <w:t xml:space="preserve">NuPEA</w:t>
      </w:r>
      <w:r>
        <w:t xml:space="preserve"> </w:t>
      </w:r>
      <w:r>
        <w:t xml:space="preserve">(nucléaire) ; IPP (1 163 MW) [1] [V].</w:t>
      </w:r>
    </w:p>
    <w:p>
      <w:pPr>
        <w:numPr>
          <w:ilvl w:val="0"/>
          <w:numId w:val="1261"/>
        </w:numPr>
        <w:pStyle w:val="Compact"/>
      </w:pPr>
      <w:r>
        <w:rPr>
          <w:bCs/>
          <w:b/>
        </w:rPr>
        <w:t xml:space="preserve">Régulateur</w:t>
      </w:r>
      <w:r>
        <w:t xml:space="preserve"> </w:t>
      </w:r>
      <w:r>
        <w:t xml:space="preserve">: EPRA (Energy and Petroleum Regulatory Authority) ; Energy and Petroleum Tribunal pour les litiges ; tutelle MoEP [1] [V].</w:t>
      </w:r>
    </w:p>
    <w:bookmarkEnd w:id="289"/>
    <w:bookmarkStart w:id="290" w:name="situation-de-départ-selon-le-pacte-16"/>
    <w:p>
      <w:pPr>
        <w:pStyle w:val="Heading3"/>
      </w:pPr>
      <w:r>
        <w:t xml:space="preserve">1. Situation de départ (selon le pacte)</w:t>
      </w:r>
    </w:p>
    <w:p>
      <w:pPr>
        <w:numPr>
          <w:ilvl w:val="0"/>
          <w:numId w:val="1262"/>
        </w:numPr>
        <w:pStyle w:val="Compact"/>
      </w:pPr>
      <w:r>
        <w:rPr>
          <w:bCs/>
          <w:b/>
        </w:rPr>
        <w:t xml:space="preserve">Accès</w:t>
      </w:r>
      <w:r>
        <w:t xml:space="preserve"> </w:t>
      </w:r>
      <w:r>
        <w:t xml:space="preserve">: ≈ 30 % (2014) → &gt; 75 % (2024), dont 65 % réseau, 0,84 % mini-réseau, 9,2 % solaire autonome [1] [V] ; urbain 90 %, rural 68 % [1] [V]. Ailleurs : 29 % en 2013 [1] [V].</w:t>
      </w:r>
    </w:p>
    <w:p>
      <w:pPr>
        <w:numPr>
          <w:ilvl w:val="0"/>
          <w:numId w:val="1262"/>
        </w:numPr>
        <w:pStyle w:val="Compact"/>
      </w:pPr>
      <w:r>
        <w:rPr>
          <w:bCs/>
          <w:b/>
        </w:rPr>
        <w:t xml:space="preserve">Ménages</w:t>
      </w:r>
      <w:r>
        <w:t xml:space="preserve"> </w:t>
      </w:r>
      <w:r>
        <w:t xml:space="preserve">: 9,75 M ménages avec accès sur 13,4 M (8,5 M clients domestiques réseau, 110 000 mini-réseau, 1,2 M SHS) ; 15 M ménages projetés en 2030 (KNBS) [1] [V]. Population 2024 : 52,4 M, 3,9 pers./ménage [1] [V].</w:t>
      </w:r>
    </w:p>
    <w:p>
      <w:pPr>
        <w:numPr>
          <w:ilvl w:val="0"/>
          <w:numId w:val="1262"/>
        </w:numPr>
        <w:pStyle w:val="Compact"/>
      </w:pPr>
      <w:r>
        <w:rPr>
          <w:bCs/>
          <w:b/>
        </w:rPr>
        <w:t xml:space="preserve">Population sans accès</w:t>
      </w:r>
      <w:r>
        <w:t xml:space="preserve"> </w:t>
      </w:r>
      <w:r>
        <w:t xml:space="preserve">: ≈ 25 % des Kenyans [1] [V] ; ≈ 3,65 M ménages (13,4 – 9,75) [E].</w:t>
      </w:r>
    </w:p>
    <w:p>
      <w:pPr>
        <w:numPr>
          <w:ilvl w:val="0"/>
          <w:numId w:val="1262"/>
        </w:numPr>
        <w:pStyle w:val="Compact"/>
      </w:pPr>
      <w:r>
        <w:rPr>
          <w:bCs/>
          <w:b/>
        </w:rPr>
        <w:t xml:space="preserve">Capacité</w:t>
      </w:r>
      <w:r>
        <w:t xml:space="preserve"> </w:t>
      </w:r>
      <w:r>
        <w:t xml:space="preserve">: 3 192 MW effectifs (réseau, déc. 2024) — mix 26 % hydro, 18 % thermique, 29 % géothermie, 14 % éolien, 7 % solaire, 6 % importations [1] [V] ; Annexe I : 3 237 MW installés [1] [V]. Captif : ≈ 575 MW ; isolé : 52 MW [1] [V]. Pointe : 2 316 MW (févr./juin 2025) [1] [V]. Énergie achetée 13 684 GWh, ventes 10 516 GWh (2023/24) [1] [V]. Renouvelables : 82 % de la capacité et 93 % de la consommation (préambule), « 83 % » dans les cibles [1] [V].</w:t>
      </w:r>
    </w:p>
    <w:p>
      <w:pPr>
        <w:numPr>
          <w:ilvl w:val="0"/>
          <w:numId w:val="1262"/>
        </w:numPr>
        <w:pStyle w:val="Compact"/>
      </w:pPr>
      <w:r>
        <w:rPr>
          <w:bCs/>
          <w:b/>
        </w:rPr>
        <w:t xml:space="preserve">Cuisson propre</w:t>
      </w:r>
      <w:r>
        <w:t xml:space="preserve"> </w:t>
      </w:r>
      <w:r>
        <w:t xml:space="preserve">: 34,4 % (KNBS 2023-24) — GPL 30,7 %, e-cuisson 1,5 %, bioéthanol 1,8 %, biogaz 0,4 % ; urbain 71,5 %, rural 11,1 % ; 4,8 M ménages [1] [V]. &gt; 69 % des ménages dépendent de la biomasse traditionnelle [1] [V].</w:t>
      </w:r>
    </w:p>
    <w:bookmarkEnd w:id="290"/>
    <w:bookmarkStart w:id="291" w:name="cibles-2030-15"/>
    <w:p>
      <w:pPr>
        <w:pStyle w:val="Heading3"/>
      </w:pPr>
      <w:r>
        <w:t xml:space="preserve">2. Cibles 2030</w:t>
      </w:r>
    </w:p>
    <w:p>
      <w:pPr>
        <w:numPr>
          <w:ilvl w:val="0"/>
          <w:numId w:val="1263"/>
        </w:numPr>
        <w:pStyle w:val="Compact"/>
      </w:pPr>
      <w:r>
        <w:rPr>
          <w:bCs/>
          <w:b/>
        </w:rPr>
        <w:t xml:space="preserve">Électricité</w:t>
      </w:r>
      <w:r>
        <w:t xml:space="preserve"> </w:t>
      </w:r>
      <w:r>
        <w:t xml:space="preserve">: 75 % →</w:t>
      </w:r>
      <w:r>
        <w:t xml:space="preserve"> </w:t>
      </w:r>
      <w:r>
        <w:rPr>
          <w:bCs/>
          <w:b/>
        </w:rPr>
        <w:t xml:space="preserve">100 %</w:t>
      </w:r>
      <w:r>
        <w:t xml:space="preserve"> </w:t>
      </w:r>
      <w:r>
        <w:t xml:space="preserve">en 2030, + 5,1 M ménages (total 15 M) [1] [V]. Répartition (KNES 2025) : densification KPLC 4 002 187 (78,5 %), intensification 567 917 (11 %), extension réseau REREC 320 278 (6,3 %), mini-réseaux 199 048 (4,9 %), solaire autonome 11 000 systèmes (0,22 %) [1] [V]. Rythme visé : &gt; 980 000 raccordements réseau/an (vs 400 000 en 2024) ; jusqu’à 400 000 mini-réseau/SHS/an [1] [V]. 30 000 établissements publics à raccorder [1] [V].</w:t>
      </w:r>
    </w:p>
    <w:p>
      <w:pPr>
        <w:numPr>
          <w:ilvl w:val="0"/>
          <w:numId w:val="1263"/>
        </w:numPr>
        <w:pStyle w:val="Compact"/>
      </w:pPr>
      <w:r>
        <w:rPr>
          <w:bCs/>
          <w:b/>
        </w:rPr>
        <w:t xml:space="preserve">Renouvelables / « énergie propre »</w:t>
      </w:r>
      <w:r>
        <w:t xml:space="preserve"> </w:t>
      </w:r>
      <w:r>
        <w:t xml:space="preserve">: 83 % →</w:t>
      </w:r>
      <w:r>
        <w:t xml:space="preserve"> </w:t>
      </w:r>
      <w:r>
        <w:rPr>
          <w:bCs/>
          <w:b/>
        </w:rPr>
        <w:t xml:space="preserve">100 %</w:t>
      </w:r>
      <w:r>
        <w:t xml:space="preserve"> </w:t>
      </w:r>
      <w:r>
        <w:t xml:space="preserve">d’énergie propre dans le système électrique en 2030, avec le</w:t>
      </w:r>
      <w:r>
        <w:t xml:space="preserve"> </w:t>
      </w:r>
      <w:r>
        <w:rPr>
          <w:bCs/>
          <w:b/>
        </w:rPr>
        <w:t xml:space="preserve">GNL comme combustible de transition</w:t>
      </w:r>
      <w:r>
        <w:t xml:space="preserve"> </w:t>
      </w:r>
      <w:r>
        <w:t xml:space="preserve">[1] [V]. Capacité ENR à porter à 5 952 MW (géothermie 1 681, hydro 1 403, éolien 966, solaire 807, biomasse 295, import 400 MW, BESS 400 MW/MWh) [1] [V]. Les tableaux d’action donnent « import 200 MW » ajouté — incohérences internes [1] [V].</w:t>
      </w:r>
    </w:p>
    <w:p>
      <w:pPr>
        <w:numPr>
          <w:ilvl w:val="0"/>
          <w:numId w:val="1263"/>
        </w:numPr>
        <w:pStyle w:val="Compact"/>
      </w:pPr>
      <w:r>
        <w:rPr>
          <w:bCs/>
          <w:b/>
        </w:rPr>
        <w:t xml:space="preserve">Cuisson propre</w:t>
      </w:r>
      <w:r>
        <w:t xml:space="preserve"> </w:t>
      </w:r>
      <w:r>
        <w:t xml:space="preserve">: 34,4 % →</w:t>
      </w:r>
      <w:r>
        <w:t xml:space="preserve"> </w:t>
      </w:r>
      <w:r>
        <w:rPr>
          <w:bCs/>
          <w:b/>
        </w:rPr>
        <w:t xml:space="preserve">100 %</w:t>
      </w:r>
      <w:r>
        <w:t xml:space="preserve"> </w:t>
      </w:r>
      <w:r>
        <w:t xml:space="preserve">en 2030 (+ 10,2 M ménages) ; GPL 31 % → 50 % des ménages ; e-cuisson 1,8 % → 10 % ; 4 373 établissements scolaires publics [1] [V].</w:t>
      </w:r>
    </w:p>
    <w:p>
      <w:pPr>
        <w:numPr>
          <w:ilvl w:val="0"/>
          <w:numId w:val="1263"/>
        </w:numPr>
        <w:pStyle w:val="Compact"/>
      </w:pPr>
      <w:r>
        <w:rPr>
          <w:bCs/>
          <w:b/>
        </w:rPr>
        <w:t xml:space="preserve">Capitaux privés</w:t>
      </w:r>
      <w:r>
        <w:t xml:space="preserve"> </w:t>
      </w:r>
      <w:r>
        <w:t xml:space="preserve">: 2,1 Md USD → &gt; 5 Md USD (5,1 Md USD au plan de financement) [1] [V].</w:t>
      </w:r>
    </w:p>
    <w:p>
      <w:pPr>
        <w:numPr>
          <w:ilvl w:val="0"/>
          <w:numId w:val="1263"/>
        </w:numPr>
        <w:pStyle w:val="Compact"/>
      </w:pPr>
      <w:r>
        <w:rPr>
          <w:bCs/>
          <w:b/>
        </w:rPr>
        <w:t xml:space="preserve">Autres</w:t>
      </w:r>
      <w:r>
        <w:t xml:space="preserve"> </w:t>
      </w:r>
      <w:r>
        <w:t xml:space="preserve">: efficacité énergétique doublée (intensité –2,8 %/an) ; pertes système 23 % →</w:t>
      </w:r>
      <w:r>
        <w:t xml:space="preserve"> </w:t>
      </w:r>
      <w:r>
        <w:rPr>
          <w:bCs/>
          <w:b/>
        </w:rPr>
        <w:t xml:space="preserve">15 %</w:t>
      </w:r>
      <w:r>
        <w:t xml:space="preserve"> </w:t>
      </w:r>
      <w:r>
        <w:t xml:space="preserve">en 2030 ; pertes transport 4,5 % → 3,5 % ; pertes distribution 11,19 % → 9,3 % ; échanges régionaux 1 000 MW ; + 8 000 km de lignes HT et + 12 000 MVA ; 10 000 bornes VE ; 150 000 emplois [1] [V].</w:t>
      </w:r>
    </w:p>
    <w:bookmarkEnd w:id="291"/>
    <w:bookmarkStart w:id="293" w:name="réformes-promises-cœur-de-lanalyse-13"/>
    <w:p>
      <w:pPr>
        <w:pStyle w:val="Heading3"/>
      </w:pPr>
      <w:r>
        <w:t xml:space="preserve">3. Réformes promises (cœur de l’analyse)</w:t>
      </w:r>
    </w:p>
    <w:bookmarkStart w:id="292" w:name="tarifs-et-subventions-16"/>
    <w:p>
      <w:pPr>
        <w:pStyle w:val="Heading4"/>
      </w:pPr>
      <w:r>
        <w:t xml:space="preserve">3.1 Tarifs et subventions</w:t>
      </w:r>
    </w:p>
    <w:p>
      <w:pPr>
        <w:numPr>
          <w:ilvl w:val="0"/>
          <w:numId w:val="1264"/>
        </w:numPr>
        <w:pStyle w:val="Compact"/>
      </w:pPr>
      <w:r>
        <w:rPr>
          <w:bCs/>
          <w:b/>
        </w:rPr>
        <w:t xml:space="preserve">Étude de coût de service</w:t>
      </w:r>
      <w:r>
        <w:t xml:space="preserve"> </w:t>
      </w:r>
      <w:r>
        <w:t xml:space="preserve">(dernière : 2018) — rapport d’ici FY 2025/26, puis tous les 3 ans [1] [V].</w:t>
      </w:r>
    </w:p>
    <w:p>
      <w:pPr>
        <w:numPr>
          <w:ilvl w:val="0"/>
          <w:numId w:val="1264"/>
        </w:numPr>
        <w:pStyle w:val="Compact"/>
      </w:pPr>
      <w:r>
        <w:rPr>
          <w:bCs/>
          <w:b/>
        </w:rPr>
        <w:t xml:space="preserve">Ordonnance de révision tarifaire 2026-2029 d’ici avril 2026</w:t>
      </w:r>
      <w:r>
        <w:t xml:space="preserve"> </w:t>
      </w:r>
      <w:r>
        <w:t xml:space="preserve">; révision des tarifs tous les 3 ans « pour garantir prévisibilité, recouvrement en temps voulu et tarifs reflétant les coûts » [1] [V].</w:t>
      </w:r>
    </w:p>
    <w:p>
      <w:pPr>
        <w:numPr>
          <w:ilvl w:val="0"/>
          <w:numId w:val="1264"/>
        </w:numPr>
        <w:pStyle w:val="Compact"/>
      </w:pPr>
      <w:r>
        <w:rPr>
          <w:bCs/>
          <w:b/>
        </w:rPr>
        <w:t xml:space="preserve">Suivi (presse)</w:t>
      </w:r>
      <w:r>
        <w:t xml:space="preserve"> </w:t>
      </w:r>
      <w:r>
        <w:t xml:space="preserve">: KPLC a déposé sa demande de révision le 31/03/2026 ; le Cabinet Secretary à l’Énergie Opiyo Wandayi l’a</w:t>
      </w:r>
      <w:r>
        <w:t xml:space="preserve"> </w:t>
      </w:r>
      <w:r>
        <w:rPr>
          <w:bCs/>
          <w:b/>
        </w:rPr>
        <w:t xml:space="preserve">retirée le 03/06/2026</w:t>
      </w:r>
      <w:r>
        <w:t xml:space="preserve"> </w:t>
      </w:r>
      <w:r>
        <w:t xml:space="preserve">pour « protéger ménages et entreprises » ; les tarifs existants restent inchangés [4] [S]. Des surcharges (ajustement de change, prélèvement eau, coût combustible) ont été ajoutées aux factures d’avril 2026 par avis au Journal officiel [5] [S] — montants non vérifiés ici [?].</w:t>
      </w:r>
    </w:p>
    <w:p>
      <w:pPr>
        <w:numPr>
          <w:ilvl w:val="0"/>
          <w:numId w:val="1264"/>
        </w:numPr>
        <w:pStyle w:val="Compact"/>
      </w:pPr>
      <w:r>
        <w:rPr>
          <w:bCs/>
          <w:b/>
        </w:rPr>
        <w:t xml:space="preserve">Tarifs incitatifs</w:t>
      </w:r>
      <w:r>
        <w:t xml:space="preserve"> </w:t>
      </w:r>
      <w:r>
        <w:t xml:space="preserve">: revue du tarif horo-saisonnier (ToU), tarif spécial e-cuisson, régime de remises, tarifs spéciaux e-mobilité et ZES (FY 2025/26) [1] [V].</w:t>
      </w:r>
    </w:p>
    <w:p>
      <w:pPr>
        <w:numPr>
          <w:ilvl w:val="0"/>
          <w:numId w:val="1264"/>
        </w:numPr>
        <w:pStyle w:val="Compact"/>
      </w:pPr>
      <w:r>
        <w:rPr>
          <w:bCs/>
          <w:b/>
        </w:rPr>
        <w:t xml:space="preserve">Tarif national uniforme</w:t>
      </w:r>
      <w:r>
        <w:t xml:space="preserve"> </w:t>
      </w:r>
      <w:r>
        <w:t xml:space="preserve">pour clients réseau et mini-réseaux concurrentiellement passés, « tout en assurant leur viabilité financière » [1] [V].</w:t>
      </w:r>
    </w:p>
    <w:p>
      <w:pPr>
        <w:numPr>
          <w:ilvl w:val="0"/>
          <w:numId w:val="1264"/>
        </w:numPr>
        <w:pStyle w:val="Compact"/>
      </w:pPr>
      <w:r>
        <w:rPr>
          <w:bCs/>
          <w:b/>
        </w:rPr>
        <w:t xml:space="preserve">Subvention croisée</w:t>
      </w:r>
      <w:r>
        <w:t xml:space="preserve"> </w:t>
      </w:r>
      <w:r>
        <w:t xml:space="preserve">pour combustibles de cuisson propre d’ici 2030 ; bouteilles GPL 6 kg subventionnées pour ménages modestes ; suppression des barrières tarifaires/douanières sur foyers et combustibles [1] [V].</w:t>
      </w:r>
    </w:p>
    <w:p>
      <w:pPr>
        <w:numPr>
          <w:ilvl w:val="0"/>
          <w:numId w:val="1264"/>
        </w:numPr>
        <w:pStyle w:val="Compact"/>
      </w:pPr>
      <w:r>
        <w:t xml:space="preserve">Le pacte reconnaît que « de multiples prélèvements augmentent les tarifs finaux » et que les retards de révision tarifaire créent des tensions financières [1] [V]. Niveau tarifaire moyen et taux de recouvrement des coûts : [?] non donnés.</w:t>
      </w:r>
    </w:p>
    <w:p>
      <w:pPr>
        <w:numPr>
          <w:ilvl w:val="0"/>
          <w:numId w:val="1264"/>
        </w:numPr>
        <w:pStyle w:val="Compact"/>
      </w:pPr>
      <w:r>
        <w:t xml:space="preserve">Densification KPLC « soutenue par des recettes tarifaires suffisantes ou un autre soutien public » [1] [V].</w:t>
      </w:r>
      <w:r>
        <w:t xml:space="preserve"> </w:t>
      </w:r>
      <w:r>
        <w:t xml:space="preserve">#### 3.2 Opérateur</w:t>
      </w:r>
    </w:p>
    <w:p>
      <w:pPr>
        <w:numPr>
          <w:ilvl w:val="0"/>
          <w:numId w:val="1264"/>
        </w:numPr>
        <w:pStyle w:val="Compact"/>
      </w:pPr>
      <w:r>
        <w:t xml:space="preserve">Plans d’affaires et d’investissement de toutes les entreprises (KPLC, KenGen ; REREC, KETRACO, GDC) d’ici FY 2025/26 [1] [V].</w:t>
      </w:r>
    </w:p>
    <w:p>
      <w:pPr>
        <w:numPr>
          <w:ilvl w:val="0"/>
          <w:numId w:val="1264"/>
        </w:numPr>
        <w:pStyle w:val="Compact"/>
      </w:pPr>
      <w:r>
        <w:rPr>
          <w:bCs/>
          <w:b/>
        </w:rPr>
        <w:t xml:space="preserve">Étude des pertes</w:t>
      </w:r>
      <w:r>
        <w:t xml:space="preserve"> </w:t>
      </w:r>
      <w:r>
        <w:t xml:space="preserve">d’ici déc. 2025 ; toutes les mesures mises en œuvre d’ici 2029/30 ; pertes 23,16 % (juin 2024) → 15 % [1] [V].</w:t>
      </w:r>
    </w:p>
    <w:p>
      <w:pPr>
        <w:numPr>
          <w:ilvl w:val="0"/>
          <w:numId w:val="1264"/>
        </w:numPr>
        <w:pStyle w:val="Compact"/>
      </w:pPr>
      <w:r>
        <w:t xml:space="preserve">Système de gestion des actifs (20 % du réseau national d’ici 2030) ; étude d’options de liquidité (monétisation, titrisation, tokenisation des actifs) 2025/26 ; plans de rétention du personnel [1] [V].</w:t>
      </w:r>
    </w:p>
    <w:p>
      <w:pPr>
        <w:numPr>
          <w:ilvl w:val="0"/>
          <w:numId w:val="1264"/>
        </w:numPr>
        <w:pStyle w:val="Compact"/>
      </w:pPr>
      <w:r>
        <w:t xml:space="preserve">Résultats : KPLC bénéfice après impôt 30 Md KES (2023/24) ; KenGen 6,8 Md KES [1] [V]. Recouvrement, arriérés, compteurs : [?] non chiffrés.</w:t>
      </w:r>
    </w:p>
    <w:p>
      <w:pPr>
        <w:numPr>
          <w:ilvl w:val="0"/>
          <w:numId w:val="1264"/>
        </w:numPr>
        <w:pStyle w:val="Compact"/>
      </w:pPr>
      <w:r>
        <w:t xml:space="preserve">Le pacte cite la « viabilité financière de l’acheteur » (KPLC) comme frein à la confiance des investisseurs dans les PPA [1] [V].</w:t>
      </w:r>
      <w:r>
        <w:t xml:space="preserve"> </w:t>
      </w:r>
      <w:r>
        <w:t xml:space="preserve">#### 3.3 Régulation et gouvernance</w:t>
      </w:r>
    </w:p>
    <w:p>
      <w:pPr>
        <w:numPr>
          <w:ilvl w:val="0"/>
          <w:numId w:val="1264"/>
        </w:numPr>
        <w:pStyle w:val="Compact"/>
      </w:pPr>
      <w:r>
        <w:t xml:space="preserve">Cadre INEP (planification énergétique intégrée nationale/comtés) ; mises à jour des plans directeurs transport (juin 2026) et distribution ; Grid Code FY 2026/27 [1] [V].</w:t>
      </w:r>
    </w:p>
    <w:p>
      <w:pPr>
        <w:numPr>
          <w:ilvl w:val="0"/>
          <w:numId w:val="1264"/>
        </w:numPr>
        <w:pStyle w:val="Compact"/>
      </w:pPr>
      <w:r>
        <w:rPr>
          <w:bCs/>
          <w:b/>
        </w:rPr>
        <w:t xml:space="preserve">Transition vers un marché concurrentiel</w:t>
      </w:r>
      <w:r>
        <w:t xml:space="preserve"> </w:t>
      </w:r>
      <w:r>
        <w:t xml:space="preserve">: règles Open Access, Bulk Supply et Electricity Market (FY 2025/26) ; feuille de route de marché ; services auxiliaires ; AGC [1] [V].</w:t>
      </w:r>
    </w:p>
    <w:p>
      <w:pPr>
        <w:numPr>
          <w:ilvl w:val="0"/>
          <w:numId w:val="1264"/>
        </w:numPr>
        <w:pStyle w:val="Compact"/>
      </w:pPr>
      <w:r>
        <w:t xml:space="preserve">CDMU rattachée directement au Président, comité de pilotage coprésidé par les CS Énergie et Trésor [1] [V].</w:t>
      </w:r>
      <w:r>
        <w:t xml:space="preserve"> </w:t>
      </w:r>
      <w:r>
        <w:t xml:space="preserve">#### 3.4 Participation du privé</w:t>
      </w:r>
    </w:p>
    <w:p>
      <w:pPr>
        <w:numPr>
          <w:ilvl w:val="0"/>
          <w:numId w:val="1264"/>
        </w:numPr>
        <w:pStyle w:val="Compact"/>
      </w:pPr>
      <w:r>
        <w:rPr>
          <w:bCs/>
          <w:b/>
        </w:rPr>
        <w:t xml:space="preserve">Moratoire sur les nouveaux PPA</w:t>
      </w:r>
      <w:r>
        <w:t xml:space="preserve"> </w:t>
      </w:r>
      <w:r>
        <w:t xml:space="preserve">en cours de levée ; politique d’enchères ENR (Renewable Energy Auction Policy) à opérationnaliser en 2025, premières enchères d’ici 2027 ; révision de la politique FiT ; tarifs indicatifs publiés [1] [V].</w:t>
      </w:r>
    </w:p>
    <w:p>
      <w:pPr>
        <w:numPr>
          <w:ilvl w:val="0"/>
          <w:numId w:val="1264"/>
        </w:numPr>
        <w:pStyle w:val="Compact"/>
      </w:pPr>
      <w:r>
        <w:t xml:space="preserve">PPA standardisés (FY 2026/27), réglementation PPP (Cap 430),</w:t>
      </w:r>
      <w:r>
        <w:t xml:space="preserve"> </w:t>
      </w:r>
      <w:r>
        <w:rPr>
          <w:bCs/>
          <w:b/>
        </w:rPr>
        <w:t xml:space="preserve">PPP pilote en transport</w:t>
      </w:r>
      <w:r>
        <w:t xml:space="preserve"> </w:t>
      </w:r>
      <w:r>
        <w:t xml:space="preserve">(2026/27), monétisation d’actifs de transport (pilote 2027/28) [1] [V].</w:t>
      </w:r>
    </w:p>
    <w:p>
      <w:pPr>
        <w:numPr>
          <w:ilvl w:val="0"/>
          <w:numId w:val="1264"/>
        </w:numPr>
        <w:pStyle w:val="Compact"/>
      </w:pPr>
      <w:r>
        <w:t xml:space="preserve">Politique de mesures de soutien de l’État (GSM, lettres de soutien) révisée FY 2026/27 ; compte projet préfinancé couvrant 3 mois pour un IPT ; facilité de risque géothermique (33,7 M USD, x3 d’ici 2030 ; 50 puits) [1] [V].</w:t>
      </w:r>
    </w:p>
    <w:p>
      <w:pPr>
        <w:numPr>
          <w:ilvl w:val="0"/>
          <w:numId w:val="1264"/>
        </w:numPr>
        <w:pStyle w:val="Compact"/>
      </w:pPr>
      <w:r>
        <w:t xml:space="preserve">Capitaux locaux (fonds de pension) : 5 % des besoins du pacte d’ici 2030 ; obligations vertes d’ici 2030 [1] [V].</w:t>
      </w:r>
    </w:p>
    <w:p>
      <w:pPr>
        <w:numPr>
          <w:ilvl w:val="0"/>
          <w:numId w:val="1264"/>
        </w:numPr>
        <w:pStyle w:val="Compact"/>
      </w:pPr>
      <w:r>
        <w:t xml:space="preserve">Mini-réseaux : réglementation à publier (FY 2025/26) ; privé = 7,4 MW sur 52 MW de mini-réseaux ; 1,2 M SHS (tous privés) [1] [V].</w:t>
      </w:r>
      <w:r>
        <w:t xml:space="preserve"> </w:t>
      </w:r>
      <w:r>
        <w:t xml:space="preserve">#### 3.5 Intégration régionale</w:t>
      </w:r>
    </w:p>
    <w:p>
      <w:pPr>
        <w:numPr>
          <w:ilvl w:val="0"/>
          <w:numId w:val="1264"/>
        </w:numPr>
        <w:pStyle w:val="Compact"/>
      </w:pPr>
      <w:r>
        <w:t xml:space="preserve">Interconnexions : Éthiopie (HVDC 500 kV, 1 282 km), Tanzanie (400 kV), Ouganda (132 kV) ; Kenya–Ouganda 400 kV (Lessos–Tororo) d’ici 2030 ; accords bilatéraux Éthiopie 200 MW, Ouganda 50 MW, Tanzanie 100 MW attendus [1] [V]. Importations 8,76 % de l’énergie (2023/24) [1] [V].</w:t>
      </w:r>
    </w:p>
    <w:p>
      <w:pPr>
        <w:numPr>
          <w:ilvl w:val="0"/>
          <w:numId w:val="1264"/>
        </w:numPr>
        <w:pStyle w:val="Compact"/>
      </w:pPr>
      <w:r>
        <w:t xml:space="preserve">Cadre réglementaire de marché régional EAPP d’ici 2027 ; unités de négoce ; approvisionnement de villes frontalières (Mandera, Takaba, Banisa, Rhamu, Sololo) [1] [V].</w:t>
      </w:r>
      <w:r>
        <w:t xml:space="preserve"> </w:t>
      </w:r>
      <w:r>
        <w:t xml:space="preserve">#### 3.6 Autres</w:t>
      </w:r>
    </w:p>
    <w:p>
      <w:pPr>
        <w:numPr>
          <w:ilvl w:val="0"/>
          <w:numId w:val="1264"/>
        </w:numPr>
        <w:pStyle w:val="Compact"/>
      </w:pPr>
      <w:r>
        <w:t xml:space="preserve">Exonérations fiscales élargies sur équipements d’infrastructure électrique (FY 2026/27) ; marchés carbone (guide FY 2026/27) ; indexation foncière, compensation [1] [V].</w:t>
      </w:r>
    </w:p>
    <w:p>
      <w:pPr>
        <w:numPr>
          <w:ilvl w:val="0"/>
          <w:numId w:val="1264"/>
        </w:numPr>
        <w:pStyle w:val="Compact"/>
      </w:pPr>
      <w:r>
        <w:t xml:space="preserve">Genre (30 % de femmes en plus aux postes de direction/techniques FY 28/29), jeunesse, hydrogène vert [1] [V].</w:t>
      </w:r>
    </w:p>
    <w:bookmarkEnd w:id="292"/>
    <w:bookmarkEnd w:id="293"/>
    <w:bookmarkStart w:id="294" w:name="financement-16"/>
    <w:p>
      <w:pPr>
        <w:pStyle w:val="Heading3"/>
      </w:pPr>
      <w:r>
        <w:t xml:space="preserve">4. Financement</w:t>
      </w:r>
    </w:p>
    <w:p>
      <w:pPr>
        <w:numPr>
          <w:ilvl w:val="0"/>
          <w:numId w:val="1265"/>
        </w:numPr>
        <w:pStyle w:val="Compact"/>
      </w:pPr>
      <w:r>
        <w:rPr>
          <w:bCs/>
          <w:b/>
        </w:rPr>
        <w:t xml:space="preserve">Besoin total</w:t>
      </w:r>
      <w:r>
        <w:t xml:space="preserve"> </w:t>
      </w:r>
      <w:r>
        <w:t xml:space="preserve">: 19 115 M USD — public 14 002 M, privé 5 113 M [1] [V]. Principaux postes : production 5 318 ; transport 2 426 ; distribution 888 ; dernier km réseau 4 705 ; DRE/PUE/EE 1 940 ; établissements publics 1 850 ; cuisson propre 1 142 ; e-mobilité 147 ; incitations privé 313 ; utilities 61 (M USD) [1] [V]. Le tableau pilier I mentionne aussi 18,73 Md USD (privé 7,91 ; public 10,82) — incohérence interne [1] [V].</w:t>
      </w:r>
    </w:p>
    <w:p>
      <w:pPr>
        <w:numPr>
          <w:ilvl w:val="0"/>
          <w:numId w:val="1265"/>
        </w:numPr>
        <w:pStyle w:val="Compact"/>
      </w:pPr>
      <w:r>
        <w:rPr>
          <w:bCs/>
          <w:b/>
        </w:rPr>
        <w:t xml:space="preserve">Partenaires (Annexe II)</w:t>
      </w:r>
      <w:r>
        <w:t xml:space="preserve"> </w:t>
      </w:r>
      <w:r>
        <w:t xml:space="preserve">: BM — KOSAP (150 M USD), mini-réseaux (85 M USD), BESS (79 M USD), STATCOM (100 M USD, avec GoK) ; BAD — Last Mile Connectivity Phase VI (124,5 M USD avec GoK) et plusieurs lignes/postes ; AFD/UE/BEI (dernier km phase IV, 208,4 M USD), JICA, KfW, EXIM Chine [1] [V]. Engagements M300 nouveaux spécifiques : [?].</w:t>
      </w:r>
    </w:p>
    <w:bookmarkEnd w:id="294"/>
    <w:bookmarkStart w:id="295" w:name="calendrier-et-suivi-16"/>
    <w:p>
      <w:pPr>
        <w:pStyle w:val="Heading3"/>
      </w:pPr>
      <w:r>
        <w:t xml:space="preserve">5. Calendrier et suivi</w:t>
      </w:r>
    </w:p>
    <w:p>
      <w:pPr>
        <w:numPr>
          <w:ilvl w:val="0"/>
          <w:numId w:val="1266"/>
        </w:numPr>
        <w:pStyle w:val="Compact"/>
      </w:pPr>
      <w:r>
        <w:t xml:space="preserve">Jalons en exercices budgétaires FY 2025/26 → FY 2029/30 (voir §3) [1] [V].</w:t>
      </w:r>
    </w:p>
    <w:p>
      <w:pPr>
        <w:numPr>
          <w:ilvl w:val="0"/>
          <w:numId w:val="1266"/>
        </w:numPr>
        <w:pStyle w:val="Compact"/>
      </w:pPr>
      <w:r>
        <w:t xml:space="preserve">CDMU : rapports annuels, revues à mi-parcours et finale, tableaux de bord numériques [1] [V].</w:t>
      </w:r>
    </w:p>
    <w:p>
      <w:pPr>
        <w:numPr>
          <w:ilvl w:val="0"/>
          <w:numId w:val="1266"/>
        </w:numPr>
        <w:pStyle w:val="Compact"/>
      </w:pPr>
      <w:r>
        <w:t xml:space="preserve">Aucun rapport d’avancement Kenya publié sur la page Banque mondiale à la date de consultation [2] [V].</w:t>
      </w:r>
    </w:p>
    <w:bookmarkEnd w:id="295"/>
    <w:bookmarkStart w:id="296" w:name="lecture-critique-13"/>
    <w:p>
      <w:pPr>
        <w:pStyle w:val="Heading3"/>
      </w:pPr>
      <w:r>
        <w:t xml:space="preserve">6. Lecture critique</w:t>
      </w:r>
    </w:p>
    <w:p>
      <w:pPr>
        <w:numPr>
          <w:ilvl w:val="0"/>
          <w:numId w:val="1267"/>
        </w:numPr>
        <w:pStyle w:val="Compact"/>
      </w:pPr>
      <w:r>
        <w:rPr>
          <w:bCs/>
          <w:b/>
        </w:rPr>
        <w:t xml:space="preserve">Réalisme</w:t>
      </w:r>
      <w:r>
        <w:t xml:space="preserve"> </w:t>
      </w:r>
      <w:r>
        <w:t xml:space="preserve">: 100 % d’accès en 2030 exige ≈ 1 M de raccordements/an, soit 2,5x le rythme réseau 2024 [1] [E] ; KPLC porte 78,5 % de l’effort par densification, ce qui suppose une capacité financière que le pacte lui-même met en doute. 100 % de cuisson propre depuis 34,4 % (rural 11,1 %) paraît hors de portée [E].</w:t>
      </w:r>
    </w:p>
    <w:p>
      <w:pPr>
        <w:numPr>
          <w:ilvl w:val="0"/>
          <w:numId w:val="1267"/>
        </w:numPr>
        <w:pStyle w:val="Compact"/>
      </w:pPr>
      <w:r>
        <w:rPr>
          <w:bCs/>
          <w:b/>
        </w:rPr>
        <w:t xml:space="preserve">Tarifs</w:t>
      </w:r>
      <w:r>
        <w:t xml:space="preserve"> </w:t>
      </w:r>
      <w:r>
        <w:t xml:space="preserve">: engagement procédural clair (coût de service + révision triennale + ordonnance 2026-2029 d’avril 2026), mais il a</w:t>
      </w:r>
      <w:r>
        <w:t xml:space="preserve"> </w:t>
      </w:r>
      <w:r>
        <w:rPr>
          <w:bCs/>
          <w:b/>
        </w:rPr>
        <w:t xml:space="preserve">déjà été contredit</w:t>
      </w:r>
      <w:r>
        <w:t xml:space="preserve"> </w:t>
      </w:r>
      <w:r>
        <w:t xml:space="preserve">: la demande de révision a été retirée politiquement en juin 2026 [4] [S]. Aucun niveau cible de recouvrement des coûts n’est donné. Tension entre « tarifs reflétant les coûts » et multiplication de tarifs spéciaux (e-cuisson, ToU, ZES, remises) [E].</w:t>
      </w:r>
    </w:p>
    <w:p>
      <w:pPr>
        <w:numPr>
          <w:ilvl w:val="0"/>
          <w:numId w:val="1267"/>
        </w:numPr>
        <w:pStyle w:val="Compact"/>
      </w:pPr>
      <w:r>
        <w:rPr>
          <w:bCs/>
          <w:b/>
        </w:rPr>
        <w:t xml:space="preserve">Opérateur</w:t>
      </w:r>
      <w:r>
        <w:t xml:space="preserve"> </w:t>
      </w:r>
      <w:r>
        <w:t xml:space="preserve">: la cible de pertes (23 % → 15 %) est l’engagement chiffré le plus fort ; aucune donnée sur arriérés, recouvrement ou dette de KPLC [E].</w:t>
      </w:r>
    </w:p>
    <w:p>
      <w:pPr>
        <w:numPr>
          <w:ilvl w:val="0"/>
          <w:numId w:val="1267"/>
        </w:numPr>
        <w:pStyle w:val="Compact"/>
      </w:pPr>
      <w:r>
        <w:rPr>
          <w:bCs/>
          <w:b/>
        </w:rPr>
        <w:t xml:space="preserve">Risques</w:t>
      </w:r>
      <w:r>
        <w:t xml:space="preserve"> </w:t>
      </w:r>
      <w:r>
        <w:t xml:space="preserve">: solvabilité de KPLC (acheteur unique), moratoire PPA, change (PPA en devises), retards fonciers, cohérence « 100 % propre » avec GNL [E].</w:t>
      </w:r>
    </w:p>
    <w:p>
      <w:pPr>
        <w:numPr>
          <w:ilvl w:val="0"/>
          <w:numId w:val="1267"/>
        </w:numPr>
        <w:pStyle w:val="Compact"/>
      </w:pPr>
      <w:r>
        <w:rPr>
          <w:bCs/>
          <w:b/>
        </w:rPr>
        <w:t xml:space="preserve">Phase 2</w:t>
      </w:r>
      <w:r>
        <w:t xml:space="preserve"> </w:t>
      </w:r>
      <w:r>
        <w:t xml:space="preserve">: comptes KPLC (dette, arriérés IPP, pertes), étude des pertes de déc. 2025.</w:t>
      </w:r>
      <w:r>
        <w:t xml:space="preserve"> </w:t>
      </w:r>
      <w:r>
        <w:rPr>
          <w:bCs/>
          <w:b/>
        </w:rPr>
        <w:t xml:space="preserve">Phase 3</w:t>
      </w:r>
      <w:r>
        <w:t xml:space="preserve"> </w:t>
      </w:r>
      <w:r>
        <w:t xml:space="preserve">: sort de la révision tarifaire 2026-2029, poids des prélèvements et surcharges pass-through, tarif uniforme mini-réseaux.</w:t>
      </w:r>
    </w:p>
    <w:bookmarkEnd w:id="296"/>
    <w:bookmarkStart w:id="297" w:name="inconnus-données-non-trouvées-16"/>
    <w:p>
      <w:pPr>
        <w:pStyle w:val="Heading3"/>
      </w:pPr>
      <w:r>
        <w:t xml:space="preserve">7. Inconnus / données non trouvées</w:t>
      </w:r>
    </w:p>
    <w:p>
      <w:pPr>
        <w:numPr>
          <w:ilvl w:val="0"/>
          <w:numId w:val="1268"/>
        </w:numPr>
        <w:pStyle w:val="Compact"/>
      </w:pPr>
      <w:r>
        <w:t xml:space="preserve">Tarif moyen, taux de couverture des coûts, montant des subventions [?].</w:t>
      </w:r>
    </w:p>
    <w:p>
      <w:pPr>
        <w:numPr>
          <w:ilvl w:val="0"/>
          <w:numId w:val="1268"/>
        </w:numPr>
        <w:pStyle w:val="Compact"/>
      </w:pPr>
      <w:r>
        <w:t xml:space="preserve">Taux de recouvrement et arriérés de KPLC [?].</w:t>
      </w:r>
    </w:p>
    <w:p>
      <w:pPr>
        <w:numPr>
          <w:ilvl w:val="0"/>
          <w:numId w:val="1268"/>
        </w:numPr>
        <w:pStyle w:val="Compact"/>
      </w:pPr>
      <w:r>
        <w:t xml:space="preserve">Événement de présentation et signataire du pacte [?].</w:t>
      </w:r>
    </w:p>
    <w:p>
      <w:pPr>
        <w:numPr>
          <w:ilvl w:val="0"/>
          <w:numId w:val="1268"/>
        </w:numPr>
        <w:pStyle w:val="Compact"/>
      </w:pPr>
      <w:r>
        <w:t xml:space="preserve">Nouvelle demande tarifaire après le retrait de juin 2026 [?].</w:t>
      </w:r>
    </w:p>
    <w:bookmarkEnd w:id="297"/>
    <w:bookmarkStart w:id="298" w:name="sources-17"/>
    <w:p>
      <w:pPr>
        <w:pStyle w:val="Heading3"/>
      </w:pPr>
      <w:r>
        <w:t xml:space="preserve">Sources</w:t>
      </w:r>
    </w:p>
    <w:p>
      <w:pPr>
        <w:pStyle w:val="FirstParagraph"/>
      </w:pPr>
      <w:r>
        <w:t xml:space="preserve">[1] Gouvernement du Kenya,</w:t>
      </w:r>
      <w:r>
        <w:t xml:space="preserve"> </w:t>
      </w:r>
      <w:r>
        <w:rPr>
          <w:iCs/>
          <w:i/>
        </w:rPr>
        <w:t xml:space="preserve">National Energy Compact 2025–2030 for the Republic of Kenya</w:t>
      </w:r>
      <w:r>
        <w:t xml:space="preserve">, Mission 300, sept. 2025. https://www.worldbank.org/content/dam/theworldbankgroupasset/document/2026/m300-energy-compacts/Kenya-National-Energy-Compact-Mission-300.pdf (consulté le 18/10/2026)</w:t>
      </w:r>
      <w:r>
        <w:t xml:space="preserve"> </w:t>
      </w:r>
      <w:r>
        <w:t xml:space="preserve">[2] Banque mondiale, page « National Energy Compacts ». https://www.worldbank.org/ext/en/energizingafrica/national-energy-compacts (consultée le 18/10/2026)</w:t>
      </w:r>
      <w:r>
        <w:t xml:space="preserve"> </w:t>
      </w:r>
      <w:r>
        <w:t xml:space="preserve">[3] Banque mondiale, communiqué du 16/06/2026 (bilan 50 M de personnes ; Kenya non mentionné). https://www.worldbank.org/en/news/press-release/2026/06/16/under-mission-300-a-new-way-of-doing-business-connects-over-50-million-people-to-electricity-across-africa</w:t>
      </w:r>
      <w:r>
        <w:t xml:space="preserve"> </w:t>
      </w:r>
      <w:r>
        <w:t xml:space="preserve">[4] Business Today (Kenya), « Govt withdraws proposed electricity tariff review », 03/06/2026. https://businesstoday.co.ke/govt-withdraws-proposed-electricity-tariff-review/</w:t>
      </w:r>
      <w:r>
        <w:t xml:space="preserve"> </w:t>
      </w:r>
      <w:r>
        <w:t xml:space="preserve">[5] Capital FM, « Electricity Bills Set to Rise as EPRA Introduces New April 2026 Charges », 2026 (non consulté en détail, cité via résultats de recherche). https://capitalfm.africa/electricity-bills-set-to-rise-as-epra-introduces-new-april-2026-charges/</w:t>
      </w:r>
    </w:p>
    <w:p>
      <w:r>
        <w:br w:type="page"/>
      </w:r>
    </w:p>
    <w:bookmarkEnd w:id="298"/>
    <w:bookmarkEnd w:id="299"/>
    <w:bookmarkStart w:id="315" w:name="fiche-pacte-national-de-lénergie-liberia"/>
    <w:p>
      <w:pPr>
        <w:pStyle w:val="Heading2"/>
      </w:pPr>
      <w:r>
        <w:t xml:space="preserve">Fiche pacte national de l’énergie — Liberia</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300" w:name="métadonnées-17"/>
    <w:p>
      <w:pPr>
        <w:pStyle w:val="Heading3"/>
      </w:pPr>
      <w:r>
        <w:t xml:space="preserve">0. Métadonnées</w:t>
      </w:r>
    </w:p>
    <w:p>
      <w:pPr>
        <w:numPr>
          <w:ilvl w:val="0"/>
          <w:numId w:val="1269"/>
        </w:numPr>
        <w:pStyle w:val="Compact"/>
      </w:pPr>
      <w:r>
        <w:t xml:space="preserve">Cohorte / date de présentation : « January 2025 » selon la page Banque mondiale [2] [V] ; vraisemblablement première cohorte du Sommet de Dar es Salaam [E] (le nom du fichier « M300-AES-Compact » renvoie à l’Africa Energy Summit [E]).</w:t>
      </w:r>
    </w:p>
    <w:p>
      <w:pPr>
        <w:numPr>
          <w:ilvl w:val="0"/>
          <w:numId w:val="1269"/>
        </w:numPr>
        <w:pStyle w:val="Compact"/>
      </w:pPr>
      <w:r>
        <w:t xml:space="preserve">Document du pacte consulté : « National Energy Compact for Liberia », 26 p., anglais, non daté (données de référence 2023-2024 ; mentionne une réunion du comité de pilotage du 9 octobre 2024) [1]. URL : https://www.worldbank.org/content/dam/theworldbankgroupasset/document/2026/m300-energy-compacts/Liberia-M300-AES-Compact.pdf</w:t>
      </w:r>
    </w:p>
    <w:p>
      <w:pPr>
        <w:numPr>
          <w:ilvl w:val="0"/>
          <w:numId w:val="1269"/>
        </w:numPr>
        <w:pStyle w:val="Compact"/>
      </w:pPr>
      <w:r>
        <w:t xml:space="preserve">Accès au texte intégral :</w:t>
      </w:r>
      <w:r>
        <w:t xml:space="preserve"> </w:t>
      </w:r>
      <w:r>
        <w:rPr>
          <w:bCs/>
          <w:b/>
        </w:rPr>
        <w:t xml:space="preserve">oui</w:t>
      </w:r>
      <w:r>
        <w:t xml:space="preserve"> </w:t>
      </w:r>
      <w:r>
        <w:t xml:space="preserve">(PDF téléchargé et extrait). Aucun rapport d’avancement listé sur la page Banque mondiale [2] [V].</w:t>
      </w:r>
    </w:p>
    <w:p>
      <w:pPr>
        <w:numPr>
          <w:ilvl w:val="0"/>
          <w:numId w:val="1269"/>
        </w:numPr>
        <w:pStyle w:val="Compact"/>
      </w:pPr>
      <w:r>
        <w:t xml:space="preserve">Opérateur(s) national(aux) d’électricité : Liberia Electricity Corporation (LEC, opérateur public intégré, zone principalement Monrovia) ; Rural and Renewable Energy Agency (RREA) pour l’électrification rurale ; 5 licenciés de distribution dont 4 privés (LIBENERGY, Jungle Energy Power, Energicity Liberia, Totota Electric) [1] [V].</w:t>
      </w:r>
    </w:p>
    <w:p>
      <w:pPr>
        <w:numPr>
          <w:ilvl w:val="0"/>
          <w:numId w:val="1269"/>
        </w:numPr>
        <w:pStyle w:val="Compact"/>
      </w:pPr>
      <w:r>
        <w:t xml:space="preserve">Régulateur : Liberia Electricity Regulatory Commission (LERC), créée par l’Electricity Law de 2015 ; tutelle : Ministry of Mines and Energy (MME) [1] [V].</w:t>
      </w:r>
    </w:p>
    <w:bookmarkEnd w:id="300"/>
    <w:bookmarkStart w:id="301" w:name="situation-de-départ-selon-le-pacte-17"/>
    <w:p>
      <w:pPr>
        <w:pStyle w:val="Heading3"/>
      </w:pPr>
      <w:r>
        <w:t xml:space="preserve">1. Situation de départ (selon le pacte)</w:t>
      </w:r>
    </w:p>
    <w:p>
      <w:pPr>
        <w:numPr>
          <w:ilvl w:val="0"/>
          <w:numId w:val="1270"/>
        </w:numPr>
        <w:pStyle w:val="Compact"/>
      </w:pPr>
      <w:r>
        <w:t xml:space="preserve">Taux d’accès national : 32,7 % (dont 25 % via le réseau LEC et 7,7 % hors réseau) [1] [V] ; urbain &gt; 50 %, rural &lt; 10 % [1] [V]. Année non précisée (données 2023-2024) [?].</w:t>
      </w:r>
    </w:p>
    <w:p>
      <w:pPr>
        <w:numPr>
          <w:ilvl w:val="0"/>
          <w:numId w:val="1270"/>
        </w:numPr>
        <w:pStyle w:val="Compact"/>
      </w:pPr>
      <w:r>
        <w:t xml:space="preserve">Population sans accès : non chiffrée explicitement ; population totale 5,56 millions [1] [V] → environ 3,7 millions sans accès [E].</w:t>
      </w:r>
    </w:p>
    <w:p>
      <w:pPr>
        <w:numPr>
          <w:ilvl w:val="0"/>
          <w:numId w:val="1270"/>
        </w:numPr>
        <w:pStyle w:val="Compact"/>
      </w:pPr>
      <w:r>
        <w:t xml:space="preserve">Capacité installée, mix de production : 126 MW installés — 88 MW hydro (Mount Coffee) et 38 MW au fioul lourd (HFO) ; pointe de 108 MW [1] [V] ; 74 % disponibles, maximum 40 MW en saison sèche [1] [V]. Production : 936 950 MWh, 67 % hydro / 33 % thermique [1] [V]. Coût : thermique 0,25 USD/kWh, hydro 0,06 USD/kWh, importations 0,16 USD/kWh [1] [V]. Importations via CLSG : 27 MW contractés dont seulement la moitié disponible [1] [V].</w:t>
      </w:r>
    </w:p>
    <w:p>
      <w:pPr>
        <w:numPr>
          <w:ilvl w:val="0"/>
          <w:numId w:val="1270"/>
        </w:numPr>
        <w:pStyle w:val="Compact"/>
      </w:pPr>
      <w:r>
        <w:t xml:space="preserve">Opérateur : LEC passée de 142 947 clients (2021) à 282 505 (2023), ~70 000 nouveaux raccordements/an [1] [V] ; pertes commerciales de 47,7 % (2021) à 31,4 % (2023) puis 27,4 % (juillet 2024) [1] [V] (27,5 % en octobre 2024 selon un autre passage [1] [V]) ; pertes ATC&amp;C 45,4 % (annexe II) [1] [V] ; 312 002 compteurs à prépaiement sur 312 622 clients comptés [1] [V] ; perte d’exploitation FY2023 ~18 M USD, soit ~37 % du chiffre d’affaires [1] [V] ; tarif moyen 0,23 USD/kWh, subventions totales « 0 » [1] [V] ; délestages 5 h/jour [1] [V].</w:t>
      </w:r>
    </w:p>
    <w:p>
      <w:pPr>
        <w:numPr>
          <w:ilvl w:val="0"/>
          <w:numId w:val="1270"/>
        </w:numPr>
        <w:pStyle w:val="Compact"/>
      </w:pPr>
      <w:r>
        <w:t xml:space="preserve">Accès à la cuisson propre : 9 545 connexions/équipements, soit 0,8 % de la population ; pas de base établie [1] [V].</w:t>
      </w:r>
    </w:p>
    <w:bookmarkEnd w:id="301"/>
    <w:bookmarkStart w:id="302" w:name="cibles-2030-16"/>
    <w:p>
      <w:pPr>
        <w:pStyle w:val="Heading3"/>
      </w:pPr>
      <w:r>
        <w:t xml:space="preserve">2. Cibles 2030</w:t>
      </w:r>
    </w:p>
    <w:p>
      <w:pPr>
        <w:numPr>
          <w:ilvl w:val="0"/>
          <w:numId w:val="1271"/>
        </w:numPr>
        <w:pStyle w:val="Compact"/>
      </w:pPr>
      <w:r>
        <w:t xml:space="preserve">Accès électricité : au moins 75 % en 2030 [1] [V], avec 100 000 ménages/an (contre ~70 000 aujourd’hui) : environ 60 000 via le réseau, 15 000 via mini-réseaux, 25 000 via solaire domestique / hors réseau [1] [V].</w:t>
      </w:r>
    </w:p>
    <w:p>
      <w:pPr>
        <w:numPr>
          <w:ilvl w:val="0"/>
          <w:numId w:val="1271"/>
        </w:numPr>
        <w:pStyle w:val="Compact"/>
      </w:pPr>
      <w:r>
        <w:t xml:space="preserve">Part des renouvelables : au moins 75 % (contre 67 % sur le réseau) ; 172 MW de projets renouvelables portant la capacité totale à 266 MW dont 238 MW renouvelables ; capacité de production +150 % [1] [V].</w:t>
      </w:r>
    </w:p>
    <w:p>
      <w:pPr>
        <w:numPr>
          <w:ilvl w:val="0"/>
          <w:numId w:val="1271"/>
        </w:numPr>
        <w:pStyle w:val="Compact"/>
      </w:pPr>
      <w:r>
        <w:t xml:space="preserve">Cuisson propre : pas de cible chiffrée ; stratégie nationale (ou plan d’affaires RREA) d’ici décembre 2025 / 2026 pour fixer base et cibles [1] [V].</w:t>
      </w:r>
    </w:p>
    <w:p>
      <w:pPr>
        <w:numPr>
          <w:ilvl w:val="0"/>
          <w:numId w:val="1271"/>
        </w:numPr>
        <w:pStyle w:val="Compact"/>
      </w:pPr>
      <w:r>
        <w:t xml:space="preserve">Autres cibles chiffrées : capitaux privés 150 M USD — 70 M USD pour le solaire à grande échelle et 80 M USD (80-100 M USD dans le préambule) pour mini-réseaux / hors réseau / cuisson [1] [V] ; LEC à l’équilibre d’exploitation (revenus &gt; coûts) pour l’exercice 2028 [1] [V].</w:t>
      </w:r>
    </w:p>
    <w:bookmarkEnd w:id="302"/>
    <w:bookmarkStart w:id="309" w:name="réformes-promises-cœur-de-lanalyse-14"/>
    <w:p>
      <w:pPr>
        <w:pStyle w:val="Heading3"/>
      </w:pPr>
      <w:r>
        <w:t xml:space="preserve">3. Réformes promises (cœur de l’analyse)</w:t>
      </w:r>
    </w:p>
    <w:bookmarkStart w:id="303" w:name="tarifs-et-subventions-17"/>
    <w:p>
      <w:pPr>
        <w:pStyle w:val="Heading4"/>
      </w:pPr>
      <w:r>
        <w:t xml:space="preserve">3.1 Tarifs et subventions</w:t>
      </w:r>
    </w:p>
    <w:p>
      <w:pPr>
        <w:numPr>
          <w:ilvl w:val="0"/>
          <w:numId w:val="1272"/>
        </w:numPr>
        <w:pStyle w:val="Compact"/>
      </w:pPr>
      <w:r>
        <w:t xml:space="preserve">Mise en place d’un mécanisme pluriannuel d’ajustement tarifaire reflet des coûts, avec objectifs de réduction des pertes commerciales, d’amélioration du recouvrement et de baisse du coût d’approvisionnement ; dépôt du tarif pluriannuel par LEC, approbation réglementaire attendue d’ici juin 2025 [1] [V].</w:t>
      </w:r>
    </w:p>
    <w:p>
      <w:pPr>
        <w:numPr>
          <w:ilvl w:val="0"/>
          <w:numId w:val="1272"/>
        </w:numPr>
        <w:pStyle w:val="Compact"/>
      </w:pPr>
      <w:r>
        <w:t xml:space="preserve">Feuille de route : « initiate cost-reflective tariff adjustments » au T3 2025 [1] [V].</w:t>
      </w:r>
    </w:p>
    <w:p>
      <w:pPr>
        <w:numPr>
          <w:ilvl w:val="0"/>
          <w:numId w:val="1272"/>
        </w:numPr>
        <w:pStyle w:val="Compact"/>
      </w:pPr>
      <w:r>
        <w:t xml:space="preserve">Pas de tarif social ni de mécanisme de subvention ciblée décrit ; le pacte note que les tarifs élevés alimentent la fraude [1] [V].</w:t>
      </w:r>
    </w:p>
    <w:p>
      <w:pPr>
        <w:numPr>
          <w:ilvl w:val="0"/>
          <w:numId w:val="1272"/>
        </w:numPr>
        <w:pStyle w:val="Compact"/>
      </w:pPr>
      <w:r>
        <w:t xml:space="preserve">Mécanisme RBF pour réduire le coût des produits solaires pour les ménages pauvres [1] [V].</w:t>
      </w:r>
    </w:p>
    <w:bookmarkEnd w:id="303"/>
    <w:bookmarkStart w:id="304" w:name="Xac00c37f0199f35ef737eabae144c8be8e22ac0"/>
    <w:p>
      <w:pPr>
        <w:pStyle w:val="Heading4"/>
      </w:pPr>
      <w:r>
        <w:t xml:space="preserve">3.2 Opérateur (redressement, contrats de performance, pertes, recouvrement, compteurs)</w:t>
      </w:r>
    </w:p>
    <w:p>
      <w:pPr>
        <w:numPr>
          <w:ilvl w:val="0"/>
          <w:numId w:val="1273"/>
        </w:numPr>
        <w:pStyle w:val="Compact"/>
      </w:pPr>
      <w:r>
        <w:t xml:space="preserve">LEC rentable (revenus &gt; coûts d’exploitation) pour l’exercice 2028 via : baisse du coût de production (remplacement du fioul par hydro et solaire), compteurs à prépaiement y compris pour l’administration, contrôle des pertes commerciales et techniques, diversification vers les clients miniers et industriels [1] [V].</w:t>
      </w:r>
    </w:p>
    <w:p>
      <w:pPr>
        <w:numPr>
          <w:ilvl w:val="0"/>
          <w:numId w:val="1273"/>
        </w:numPr>
        <w:pStyle w:val="Compact"/>
      </w:pPr>
      <w:r>
        <w:rPr>
          <w:bCs/>
          <w:b/>
        </w:rPr>
        <w:t xml:space="preserve">Factures de l’État</w:t>
      </w:r>
      <w:r>
        <w:t xml:space="preserve"> </w:t>
      </w:r>
      <w:r>
        <w:t xml:space="preserve">: arriérés des consommateurs publics réglés dans un délai maximal de 18 mois ; factures courantes payées intégralement à partir de janvier 2025 ; tous les consommateurs publics (hors services essentiels) passés au prépaiement en un an ; dotations budgétaires pour l’électricité de tous les consommateurs publics [1] [V].</w:t>
      </w:r>
    </w:p>
    <w:p>
      <w:pPr>
        <w:numPr>
          <w:ilvl w:val="0"/>
          <w:numId w:val="1273"/>
        </w:numPr>
        <w:pStyle w:val="Compact"/>
      </w:pPr>
      <w:r>
        <w:t xml:space="preserve">Gouvernance : cadre de gouvernance d’entreprise et recrutement d’une équipe dirigeante permanente de LEC [1] [V].</w:t>
      </w:r>
    </w:p>
    <w:p>
      <w:pPr>
        <w:numPr>
          <w:ilvl w:val="0"/>
          <w:numId w:val="1273"/>
        </w:numPr>
        <w:pStyle w:val="Compact"/>
      </w:pPr>
      <w:r>
        <w:t xml:space="preserve">Transparence : états financiers audités publiés dans les 6 mois suivant la clôture ; comptes FY2024 audités d’ici juin 2025 (actuellement seuls des comptes trimestriels non audités sont publiés) [1] [V].</w:t>
      </w:r>
    </w:p>
    <w:p>
      <w:pPr>
        <w:numPr>
          <w:ilvl w:val="0"/>
          <w:numId w:val="1273"/>
        </w:numPr>
        <w:pStyle w:val="Compact"/>
      </w:pPr>
      <w:r>
        <w:t xml:space="preserve">Dettes : arriérés à payer 74,3 M USD, créances 52,0 M USD [1] [V].</w:t>
      </w:r>
    </w:p>
    <w:bookmarkEnd w:id="304"/>
    <w:bookmarkStart w:id="305" w:name="régulation-et-gouvernance-12"/>
    <w:p>
      <w:pPr>
        <w:pStyle w:val="Heading4"/>
      </w:pPr>
      <w:r>
        <w:t xml:space="preserve">3.3 Régulation et gouvernance</w:t>
      </w:r>
    </w:p>
    <w:p>
      <w:pPr>
        <w:numPr>
          <w:ilvl w:val="0"/>
          <w:numId w:val="1274"/>
        </w:numPr>
        <w:pStyle w:val="Compact"/>
      </w:pPr>
      <w:r>
        <w:t xml:space="preserve">Nouvelle Politique énergétique nationale (NEP) adoptée d’ici mars 2025 [1] [V].</w:t>
      </w:r>
    </w:p>
    <w:p>
      <w:pPr>
        <w:numPr>
          <w:ilvl w:val="0"/>
          <w:numId w:val="1274"/>
        </w:numPr>
        <w:pStyle w:val="Compact"/>
      </w:pPr>
      <w:r>
        <w:t xml:space="preserve">Plan directeur intégré au moindre coût du système électrique d’ici juin 2026 (T1 2026 dans la feuille de route) [1] [V — deux dates].</w:t>
      </w:r>
    </w:p>
    <w:p>
      <w:pPr>
        <w:numPr>
          <w:ilvl w:val="0"/>
          <w:numId w:val="1274"/>
        </w:numPr>
        <w:pStyle w:val="Compact"/>
      </w:pPr>
      <w:r>
        <w:t xml:space="preserve">Mise à jour de la National Electrification Strategy (2020) et plan d’électrification quinquennal d’ici 2026 ; enquête MTF en 2025 ; suivi désagrégé par sexe [1] [V].</w:t>
      </w:r>
    </w:p>
    <w:p>
      <w:pPr>
        <w:numPr>
          <w:ilvl w:val="0"/>
          <w:numId w:val="1274"/>
        </w:numPr>
        <w:pStyle w:val="Compact"/>
      </w:pPr>
      <w:r>
        <w:t xml:space="preserve">Loi PPP par la National Investment Commission et règlements LERC d’ici novembre 2025 [1] [V].</w:t>
      </w:r>
    </w:p>
    <w:p>
      <w:pPr>
        <w:numPr>
          <w:ilvl w:val="0"/>
          <w:numId w:val="1274"/>
        </w:numPr>
        <w:pStyle w:val="Compact"/>
      </w:pPr>
      <w:r>
        <w:t xml:space="preserve">Comité de pilotage présidé par le vice-président (réunions trimestrielles), comité ministériel, comité technique LEC [1] [V].</w:t>
      </w:r>
    </w:p>
    <w:bookmarkEnd w:id="305"/>
    <w:bookmarkStart w:id="306" w:name="X1d4583b32ccf1c85dd698e709f44bbd2bc3b8b3"/>
    <w:p>
      <w:pPr>
        <w:pStyle w:val="Heading4"/>
      </w:pPr>
      <w:r>
        <w:t xml:space="preserve">3.4 Participation du privé (producteurs indépendants, concessions, hors réseau)</w:t>
      </w:r>
    </w:p>
    <w:p>
      <w:pPr>
        <w:numPr>
          <w:ilvl w:val="0"/>
          <w:numId w:val="1275"/>
        </w:numPr>
        <w:pStyle w:val="Compact"/>
      </w:pPr>
      <w:r>
        <w:t xml:space="preserve">Premier IPP solaire : acquisition foncière d’un parc solaire d’ici février 2025 ; conseiller transactionnel d’ici avril 2025 (don ESMAP de 2 M USD via LESSAP 2) ; appel d’offres d’ici septembre 2025 (août 2025 dans la déclaration) ; attribution d’ici décembre 2025 [1] [V]. 70 MW + stockage via le privé [1] [V].</w:t>
      </w:r>
    </w:p>
    <w:p>
      <w:pPr>
        <w:numPr>
          <w:ilvl w:val="0"/>
          <w:numId w:val="1275"/>
        </w:numPr>
        <w:pStyle w:val="Compact"/>
      </w:pPr>
      <w:r>
        <w:t xml:space="preserve">Location (leasing) d’une centrale solaire de 16,5 MW + 5 MWh de stockage avec l’appui d’IFC [1] [V].</w:t>
      </w:r>
    </w:p>
    <w:p>
      <w:pPr>
        <w:numPr>
          <w:ilvl w:val="0"/>
          <w:numId w:val="1275"/>
        </w:numPr>
        <w:pStyle w:val="Compact"/>
      </w:pPr>
      <w:r>
        <w:t xml:space="preserve">Mini-réseaux : lignes directrices LERC simplifiant l’approbation d’ici septembre 2025 [1] [V].</w:t>
      </w:r>
    </w:p>
    <w:p>
      <w:pPr>
        <w:numPr>
          <w:ilvl w:val="0"/>
          <w:numId w:val="1275"/>
        </w:numPr>
        <w:pStyle w:val="Compact"/>
      </w:pPr>
      <w:r>
        <w:t xml:space="preserve">Garanties du Groupe Banque mondiale envisagées pour pallier la faible solvabilité de LEC [1] [V].</w:t>
      </w:r>
    </w:p>
    <w:p>
      <w:pPr>
        <w:numPr>
          <w:ilvl w:val="0"/>
          <w:numId w:val="1275"/>
        </w:numPr>
        <w:pStyle w:val="Compact"/>
      </w:pPr>
      <w:r>
        <w:t xml:space="preserve">Pas d’engagement de concession ou de contrat de gestion pour LEC [1] [V].</w:t>
      </w:r>
    </w:p>
    <w:bookmarkEnd w:id="306"/>
    <w:bookmarkStart w:id="307" w:name="X87925053fdbbffd4918124c12b669a0581932f9"/>
    <w:p>
      <w:pPr>
        <w:pStyle w:val="Heading4"/>
      </w:pPr>
      <w:r>
        <w:t xml:space="preserve">3.5 Intégration régionale (pools énergétiques, interconnexions)</w:t>
      </w:r>
    </w:p>
    <w:p>
      <w:pPr>
        <w:numPr>
          <w:ilvl w:val="0"/>
          <w:numId w:val="1276"/>
        </w:numPr>
        <w:pStyle w:val="Compact"/>
      </w:pPr>
      <w:r>
        <w:t xml:space="preserve">Disponibilité des fonds pour rester à jour des paiements d’importations d’électricité dès janvier 2025 ; participation à l’harmonisation des prix de transport WAPP dès mars 2025 [1] [V].</w:t>
      </w:r>
    </w:p>
    <w:p>
      <w:pPr>
        <w:numPr>
          <w:ilvl w:val="0"/>
          <w:numId w:val="1276"/>
        </w:numPr>
        <w:pStyle w:val="Compact"/>
      </w:pPr>
      <w:r>
        <w:t xml:space="preserve">Importations via CLSG ; option d’importations depuis le Ghana [1] [V]. Frais de transit 0,02 USD/kWh [1] [V].</w:t>
      </w:r>
    </w:p>
    <w:bookmarkEnd w:id="307"/>
    <w:bookmarkStart w:id="308" w:name="autres-fiscalité-foncier-local-content-9"/>
    <w:p>
      <w:pPr>
        <w:pStyle w:val="Heading4"/>
      </w:pPr>
      <w:r>
        <w:t xml:space="preserve">3.6 Autres (fiscalité, foncier, local content)</w:t>
      </w:r>
    </w:p>
    <w:p>
      <w:pPr>
        <w:numPr>
          <w:ilvl w:val="0"/>
          <w:numId w:val="1277"/>
        </w:numPr>
        <w:pStyle w:val="Compact"/>
      </w:pPr>
      <w:r>
        <w:t xml:space="preserve">Exonération de droits d’importation pour le hors réseau, portée par RREA [1] [V].</w:t>
      </w:r>
    </w:p>
    <w:p>
      <w:pPr>
        <w:numPr>
          <w:ilvl w:val="0"/>
          <w:numId w:val="1277"/>
        </w:numPr>
        <w:pStyle w:val="Compact"/>
      </w:pPr>
      <w:r>
        <w:t xml:space="preserve">Le foncier est identifié comme contrainte clé pour les IPP solaires ; comité conjoint Land Authority / MME / LEC [1] [V].</w:t>
      </w:r>
    </w:p>
    <w:p>
      <w:pPr>
        <w:numPr>
          <w:ilvl w:val="0"/>
          <w:numId w:val="1277"/>
        </w:numPr>
        <w:pStyle w:val="Compact"/>
      </w:pPr>
      <w:r>
        <w:t xml:space="preserve">Besoins en renforcement des capacités : 25 M USD [1] [V].</w:t>
      </w:r>
    </w:p>
    <w:bookmarkEnd w:id="308"/>
    <w:bookmarkEnd w:id="309"/>
    <w:bookmarkStart w:id="310" w:name="financement-17"/>
    <w:p>
      <w:pPr>
        <w:pStyle w:val="Heading3"/>
      </w:pPr>
      <w:r>
        <w:t xml:space="preserve">4. Financement</w:t>
      </w:r>
    </w:p>
    <w:p>
      <w:pPr>
        <w:numPr>
          <w:ilvl w:val="0"/>
          <w:numId w:val="1278"/>
        </w:numPr>
        <w:pStyle w:val="Compact"/>
      </w:pPr>
      <w:r>
        <w:t xml:space="preserve">Besoin total : 1,25 Md USD à mobiliser, dont ~150 M USD privés (préambule) [1] [V] ; l’annexe II indique un besoin de 1,5 Md USD dont 250 M USD disponibles, d’où un écart de 1,25 Md USD [1] [V]. Le tableau des besoins 2030 (M USD) totalise 1 290 : public 1 150 (production 660 ; transport et distribution 390 ; hors réseau 70 ; cuisson 10 ; capacités 20) ; privé 140 (production 60 ; hors réseau 70 ; cuisson 5 ; capacités 5) [1] [V — 1 290 vs 1 250, 140 vs 150 non réconciliés].</w:t>
      </w:r>
    </w:p>
    <w:p>
      <w:pPr>
        <w:numPr>
          <w:ilvl w:val="0"/>
          <w:numId w:val="1278"/>
        </w:numPr>
        <w:pStyle w:val="Compact"/>
      </w:pPr>
      <w:r>
        <w:t xml:space="preserve">Engagements cités (annexe I) : Banque mondiale — LESSAP (2021-2030) 200 M USD, ~250 000 raccordements (1,25 M de personnes) ; RESPITE 96 M USD (20 MWc solaire, 64 MW hydro) ; LIRENAP 27 M USD [1] [V]. BAD — REEL 24,4 M UC ; LEEAP 31,4 M UC ; CLSG-RE 17,9 M UC [1] [V]. UE (plusieurs projets Greenville / Buchanan, de 1 à 10,8 M EUR) ; Suède (Beyond the Grid 10 M USD ; REACT 5 M USD) ; GIZ EnDev 6,9 M EUR ; USAID (850 000 USD ; Empower West Africa 73 M USD régional) ; Rockefeller/GEAPP 800 000 USD [1] [V].</w:t>
      </w:r>
    </w:p>
    <w:bookmarkEnd w:id="310"/>
    <w:bookmarkStart w:id="311" w:name="calendrier-et-suivi-17"/>
    <w:p>
      <w:pPr>
        <w:pStyle w:val="Heading3"/>
      </w:pPr>
      <w:r>
        <w:t xml:space="preserve">5. Calendrier et suivi</w:t>
      </w:r>
    </w:p>
    <w:p>
      <w:pPr>
        <w:numPr>
          <w:ilvl w:val="0"/>
          <w:numId w:val="1279"/>
        </w:numPr>
        <w:pStyle w:val="Compact"/>
      </w:pPr>
      <w:r>
        <w:t xml:space="preserve">Feuille de route : T1 2025 NEP ; T2 2025 foncier + lancement IPP solaire ; T3 2025 comptes FY2024 + ajustements tarifaires ; T4 2025 enquête MTF ; T1 2026 plan directeur ; T4 2026 Saint Paul 2 (faisabilité et lancement des appels d’offres, novembre 2026) ; T2 2027 première phase du solaire de 20 MW près de Mount Coffee ; T1 2028 équilibre d’exploitation de LEC ; T4 2028 75 % de renouvelables ; T2 2030 accès 75 % [1] [V]. Le texte indique aussi une mise en service du 20 MW attendue en octobre 2025 [1] [V — incohérence avec T2 2027].</w:t>
      </w:r>
    </w:p>
    <w:p>
      <w:pPr>
        <w:numPr>
          <w:ilvl w:val="0"/>
          <w:numId w:val="1279"/>
        </w:numPr>
        <w:pStyle w:val="Compact"/>
      </w:pPr>
      <w:r>
        <w:t xml:space="preserve">Suivi : National Energy Programming Unit du MME ; revues trimestrielles co-présidées par les ministres des Finances et du MME ; rapport semestriel au comité présidé par le vice-président [1] [V]. Registre des risques inclus [1] [V].</w:t>
      </w:r>
    </w:p>
    <w:bookmarkEnd w:id="311"/>
    <w:bookmarkStart w:id="312" w:name="lecture-critique-14"/>
    <w:p>
      <w:pPr>
        <w:pStyle w:val="Heading3"/>
      </w:pPr>
      <w:r>
        <w:t xml:space="preserve">6. Lecture critique</w:t>
      </w:r>
    </w:p>
    <w:p>
      <w:pPr>
        <w:numPr>
          <w:ilvl w:val="0"/>
          <w:numId w:val="1280"/>
        </w:numPr>
        <w:pStyle w:val="Compact"/>
      </w:pPr>
      <w:r>
        <w:t xml:space="preserve">Réalisme des cibles : passer de 32,7 % à 75 % représente environ +42 points ; le pacte admet qu’au rythme actuel l’accès n’atteindrait qu’environ 50 % en 2030 [1] [V]. 100 000 ménages/an × ~6 ans ≈ 600 000 ménages, soit environ 3 millions de personnes à 5 personnes par ménage [E, la taille des ménages n’est pas donnée dans le pacte] — cohérent en ordre de grandeur avec l’écart, mais exige que le réseau ajoute ~60 000 raccordements/an en continu alors que la capacité disponible tombe à 40 MW en saison sèche [E].</w:t>
      </w:r>
    </w:p>
    <w:p>
      <w:pPr>
        <w:numPr>
          <w:ilvl w:val="0"/>
          <w:numId w:val="1280"/>
        </w:numPr>
        <w:pStyle w:val="Compact"/>
      </w:pPr>
      <w:r>
        <w:t xml:space="preserve">Engagements tarifaires :</w:t>
      </w:r>
      <w:r>
        <w:t xml:space="preserve"> </w:t>
      </w:r>
      <w:r>
        <w:rPr>
          <w:bCs/>
          <w:b/>
        </w:rPr>
        <w:t xml:space="preserve">vagues sur le niveau</w:t>
      </w:r>
      <w:r>
        <w:t xml:space="preserve">, précis sur la procédure (tarif pluriannuel déposé, approbation juin 2025). Aucune trajectoire de prix, aucune subvention identifiée (« 0 ») ; le tarif moyen de 0,23 USD/kWh est déjà élevé, l’enjeu est surtout la baisse du coût de production [E].</w:t>
      </w:r>
    </w:p>
    <w:p>
      <w:pPr>
        <w:numPr>
          <w:ilvl w:val="0"/>
          <w:numId w:val="1280"/>
        </w:numPr>
        <w:pStyle w:val="Compact"/>
      </w:pPr>
      <w:r>
        <w:t xml:space="preserve">Engagement opérateur le plus saillant : paiement des factures de l’État (courantes dès janv. 2025, arriérés ≤ 18 mois) et prépaiement des administrations — mesurable et vérifiable [E].</w:t>
      </w:r>
    </w:p>
    <w:p>
      <w:pPr>
        <w:numPr>
          <w:ilvl w:val="0"/>
          <w:numId w:val="1280"/>
        </w:numPr>
        <w:pStyle w:val="Compact"/>
      </w:pPr>
      <w:r>
        <w:t xml:space="preserve">Risques principaux : variabilité saisonnière de Mount Coffee, dépendance au fioul et aux importations CLSG (Côte d’Ivoire contrainte) ; solvabilité de LEC comme acheteur unique pour les IPP ; retards de Saint Paul 2 ; écarts internes de dates (mise en service du 20 MW) [1] [E].</w:t>
      </w:r>
    </w:p>
    <w:p>
      <w:pPr>
        <w:numPr>
          <w:ilvl w:val="0"/>
          <w:numId w:val="1280"/>
        </w:numPr>
        <w:pStyle w:val="Compact"/>
      </w:pPr>
      <w:r>
        <w:t xml:space="preserve">Points à approfondir — phase 2 (opérateur) : historique des contrats de gestion de LEC (non mentionnés dans le pacte), trajectoire des pertes, arriérés publics, comptes audités FY2024. Phase 3 (tarifs) : décision LERC sur le tarif pluriannuel, structure tarifaire et coût de revient.</w:t>
      </w:r>
    </w:p>
    <w:bookmarkEnd w:id="312"/>
    <w:bookmarkStart w:id="313" w:name="inconnus-données-non-trouvées-17"/>
    <w:p>
      <w:pPr>
        <w:pStyle w:val="Heading3"/>
      </w:pPr>
      <w:r>
        <w:t xml:space="preserve">7. Inconnus / données non trouvées</w:t>
      </w:r>
    </w:p>
    <w:p>
      <w:pPr>
        <w:numPr>
          <w:ilvl w:val="0"/>
          <w:numId w:val="1281"/>
        </w:numPr>
        <w:pStyle w:val="Compact"/>
      </w:pPr>
      <w:r>
        <w:t xml:space="preserve">Année de référence exacte du taux d’accès 32,7 % : [?].</w:t>
      </w:r>
    </w:p>
    <w:p>
      <w:pPr>
        <w:numPr>
          <w:ilvl w:val="0"/>
          <w:numId w:val="1281"/>
        </w:numPr>
        <w:pStyle w:val="Compact"/>
      </w:pPr>
      <w:r>
        <w:t xml:space="preserve">Nombre de personnes sans accès : [?] (seulement estimable).</w:t>
      </w:r>
    </w:p>
    <w:p>
      <w:pPr>
        <w:numPr>
          <w:ilvl w:val="0"/>
          <w:numId w:val="1281"/>
        </w:numPr>
        <w:pStyle w:val="Compact"/>
      </w:pPr>
      <w:r>
        <w:t xml:space="preserve">Cible chiffrée de cuisson propre : [?] (renvoyée à une stratégie future).</w:t>
      </w:r>
    </w:p>
    <w:p>
      <w:pPr>
        <w:numPr>
          <w:ilvl w:val="0"/>
          <w:numId w:val="1281"/>
        </w:numPr>
        <w:pStyle w:val="Compact"/>
      </w:pPr>
      <w:r>
        <w:t xml:space="preserve">Cibles de pertes / recouvrement chiffrées : [?] (« set targets » sans valeur).</w:t>
      </w:r>
    </w:p>
    <w:p>
      <w:pPr>
        <w:numPr>
          <w:ilvl w:val="0"/>
          <w:numId w:val="1281"/>
        </w:numPr>
        <w:pStyle w:val="Compact"/>
      </w:pPr>
      <w:r>
        <w:t xml:space="preserve">Statut d’avancement 2025-2026 : [?] aucun rapport publié.</w:t>
      </w:r>
    </w:p>
    <w:p>
      <w:pPr>
        <w:numPr>
          <w:ilvl w:val="0"/>
          <w:numId w:val="1281"/>
        </w:numPr>
        <w:pStyle w:val="Compact"/>
      </w:pPr>
      <w:r>
        <w:t xml:space="preserve">Montants totaux réconciliés (1,25 / 1,29 / 1,5 Md USD) : [?].</w:t>
      </w:r>
    </w:p>
    <w:bookmarkEnd w:id="313"/>
    <w:bookmarkStart w:id="314" w:name="sources-18"/>
    <w:p>
      <w:pPr>
        <w:pStyle w:val="Heading3"/>
      </w:pPr>
      <w:r>
        <w:t xml:space="preserve">Sources</w:t>
      </w:r>
    </w:p>
    <w:p>
      <w:pPr>
        <w:pStyle w:val="FirstParagraph"/>
      </w:pPr>
      <w:r>
        <w:t xml:space="preserve">[1] Government of Liberia, « National Energy Compact for Liberia », Mission 300, s.d. (présenté janv. 2025), 26 p. https://www.worldbank.org/content/dam/theworldbankgroupasset/document/2026/m300-energy-compacts/Liberia-M300-AES-Compact.pdf (consulté le 18/10/2026)</w:t>
      </w:r>
      <w:r>
        <w:t xml:space="preserve"> </w:t>
      </w:r>
      <w:r>
        <w:t xml:space="preserve">[2] Banque mondiale, page « National Energy Compacts ». https://www.worldbank.org/ext/en/energizingafrica/national-energy-compacts (consultée le 18/10/2026)</w:t>
      </w:r>
    </w:p>
    <w:p>
      <w:r>
        <w:br w:type="page"/>
      </w:r>
    </w:p>
    <w:bookmarkEnd w:id="314"/>
    <w:bookmarkEnd w:id="315"/>
    <w:bookmarkStart w:id="326" w:name="fiche-pacte-national-de-lénergie-lesotho"/>
    <w:p>
      <w:pPr>
        <w:pStyle w:val="Heading2"/>
      </w:pPr>
      <w:r>
        <w:t xml:space="preserve">Fiche pacte national de l’énergie — Lesotho</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316" w:name="métadonnées-18"/>
    <w:p>
      <w:pPr>
        <w:pStyle w:val="Heading3"/>
      </w:pPr>
      <w:r>
        <w:t xml:space="preserve">0. Métadonnées</w:t>
      </w:r>
    </w:p>
    <w:p>
      <w:pPr>
        <w:numPr>
          <w:ilvl w:val="0"/>
          <w:numId w:val="1282"/>
        </w:numPr>
        <w:pStyle w:val="Compact"/>
      </w:pPr>
      <w:r>
        <w:t xml:space="preserve">Cohorte / date de présentation :</w:t>
      </w:r>
      <w:r>
        <w:t xml:space="preserve"> </w:t>
      </w:r>
      <w:r>
        <w:rPr>
          <w:bCs/>
          <w:b/>
        </w:rPr>
        <w:t xml:space="preserve">2e cohorte (18 pays)</w:t>
      </w:r>
      <w:r>
        <w:t xml:space="preserve">, pacte présenté en</w:t>
      </w:r>
      <w:r>
        <w:t xml:space="preserve"> </w:t>
      </w:r>
      <w:r>
        <w:rPr>
          <w:bCs/>
          <w:b/>
        </w:rPr>
        <w:t xml:space="preserve">septembre 2025</w:t>
      </w:r>
      <w:r>
        <w:t xml:space="preserve"> </w:t>
      </w:r>
      <w:r>
        <w:t xml:space="preserve">au</w:t>
      </w:r>
      <w:r>
        <w:t xml:space="preserve"> </w:t>
      </w:r>
      <w:r>
        <w:rPr>
          <w:bCs/>
          <w:b/>
        </w:rPr>
        <w:t xml:space="preserve">Bloomberg Philanthropies Global Forum (New York)</w:t>
      </w:r>
      <w:r>
        <w:t xml:space="preserve"> </w:t>
      </w:r>
      <w:r>
        <w:t xml:space="preserve">(selon le rapport d’avancement) [2] [V]. Page BM : « Sep 2025 » [3] [V].</w:t>
      </w:r>
    </w:p>
    <w:p>
      <w:pPr>
        <w:numPr>
          <w:ilvl w:val="0"/>
          <w:numId w:val="1282"/>
        </w:numPr>
        <w:pStyle w:val="Compact"/>
      </w:pPr>
      <w:r>
        <w:t xml:space="preserve">Document consulté : « National Energy Compact for the Kingdom of Lesotho », 44 pages, anglais, mention « Official Use Only » : https://www.worldbank.org/content/dam/theworldbankgroupasset/document/2026/m300-energy-compacts/Lesotho-National-Energy-Compact-Mission-300.pdf [1].</w:t>
      </w:r>
      <w:r>
        <w:t xml:space="preserve"> </w:t>
      </w:r>
      <w:r>
        <w:rPr>
          <w:bCs/>
          <w:b/>
        </w:rPr>
        <w:t xml:space="preserve">Pas de signataire nommé</w:t>
      </w:r>
      <w:r>
        <w:t xml:space="preserve"> </w:t>
      </w:r>
      <w:r>
        <w:t xml:space="preserve">dans le texte extrait [1] [V].</w:t>
      </w:r>
    </w:p>
    <w:p>
      <w:pPr>
        <w:numPr>
          <w:ilvl w:val="0"/>
          <w:numId w:val="1282"/>
        </w:numPr>
        <w:pStyle w:val="Compact"/>
      </w:pPr>
      <w:r>
        <w:t xml:space="preserve">Document complémentaire : « Lesotho Compact Progress Report Q1 2026 » (données au 31/12/2025, transmises par la CDMU en février 2026) : https://www.worldbank.org/content/dam/theworldbankgroupasset/document/2026/m300-energy-compacts/progress-reports/lesotho_mission-300_compact-progress-report-_q12026.pdf [2].</w:t>
      </w:r>
    </w:p>
    <w:p>
      <w:pPr>
        <w:numPr>
          <w:ilvl w:val="0"/>
          <w:numId w:val="1282"/>
        </w:numPr>
        <w:pStyle w:val="Compact"/>
      </w:pPr>
      <w:r>
        <w:t xml:space="preserve">Accès au texte intégral :</w:t>
      </w:r>
      <w:r>
        <w:t xml:space="preserve"> </w:t>
      </w:r>
      <w:r>
        <w:rPr>
          <w:bCs/>
          <w:b/>
        </w:rPr>
        <w:t xml:space="preserve">oui</w:t>
      </w:r>
      <w:r>
        <w:t xml:space="preserve"> </w:t>
      </w:r>
      <w:r>
        <w:t xml:space="preserve">[1] [V].</w:t>
      </w:r>
    </w:p>
    <w:p>
      <w:pPr>
        <w:numPr>
          <w:ilvl w:val="0"/>
          <w:numId w:val="1282"/>
        </w:numPr>
        <w:pStyle w:val="Compact"/>
      </w:pPr>
      <w:r>
        <w:t xml:space="preserve">Opérateur(s) :</w:t>
      </w:r>
      <w:r>
        <w:t xml:space="preserve"> </w:t>
      </w:r>
      <w:r>
        <w:rPr>
          <w:bCs/>
          <w:b/>
        </w:rPr>
        <w:t xml:space="preserve">LEC</w:t>
      </w:r>
      <w:r>
        <w:t xml:space="preserve"> </w:t>
      </w:r>
      <w:r>
        <w:t xml:space="preserve">(Lesotho Electricity Company — seul responsable du transport et de la distribution, importateur) ;</w:t>
      </w:r>
      <w:r>
        <w:t xml:space="preserve"> </w:t>
      </w:r>
      <w:r>
        <w:rPr>
          <w:bCs/>
          <w:b/>
        </w:rPr>
        <w:t xml:space="preserve">LEGCo</w:t>
      </w:r>
      <w:r>
        <w:t xml:space="preserve"> </w:t>
      </w:r>
      <w:r>
        <w:t xml:space="preserve">(Lesotho Electricity Generation Company, porteur de Ramarothole) ;</w:t>
      </w:r>
      <w:r>
        <w:t xml:space="preserve"> </w:t>
      </w:r>
      <w:r>
        <w:rPr>
          <w:bCs/>
          <w:b/>
        </w:rPr>
        <w:t xml:space="preserve">LHDA</w:t>
      </w:r>
      <w:r>
        <w:t xml:space="preserve"> </w:t>
      </w:r>
      <w:r>
        <w:t xml:space="preserve">(exploite la centrale hydroélectrique de ’Muela) ; REU (Rural Electrification Unit, future REA) [1] [V].</w:t>
      </w:r>
    </w:p>
    <w:p>
      <w:pPr>
        <w:numPr>
          <w:ilvl w:val="0"/>
          <w:numId w:val="1282"/>
        </w:numPr>
        <w:pStyle w:val="Compact"/>
      </w:pPr>
      <w:r>
        <w:t xml:space="preserve">Régulateur :</w:t>
      </w:r>
      <w:r>
        <w:t xml:space="preserve"> </w:t>
      </w:r>
      <w:r>
        <w:rPr>
          <w:bCs/>
          <w:b/>
        </w:rPr>
        <w:t xml:space="preserve">LEWA</w:t>
      </w:r>
      <w:r>
        <w:t xml:space="preserve"> </w:t>
      </w:r>
      <w:r>
        <w:t xml:space="preserve">(Lesotho Electricity and Water Authority) [1] [V] ; tutelle : ministère de l’Énergie (MoE/DoE) [1] [V].</w:t>
      </w:r>
    </w:p>
    <w:bookmarkEnd w:id="316"/>
    <w:bookmarkStart w:id="317" w:name="situation-de-départ-selon-le-pacte-18"/>
    <w:p>
      <w:pPr>
        <w:pStyle w:val="Heading3"/>
      </w:pPr>
      <w:r>
        <w:t xml:space="preserve">1. Situation de départ (selon le pacte)</w:t>
      </w:r>
    </w:p>
    <w:p>
      <w:pPr>
        <w:numPr>
          <w:ilvl w:val="0"/>
          <w:numId w:val="1283"/>
        </w:numPr>
        <w:pStyle w:val="Compact"/>
      </w:pPr>
      <w:r>
        <w:t xml:space="preserve">Taux d’accès :</w:t>
      </w:r>
      <w:r>
        <w:t xml:space="preserve"> </w:t>
      </w:r>
      <w:r>
        <w:rPr>
          <w:bCs/>
          <w:b/>
        </w:rPr>
        <w:t xml:space="preserve">53 %</w:t>
      </w:r>
      <w:r>
        <w:t xml:space="preserve"> </w:t>
      </w:r>
      <w:r>
        <w:t xml:space="preserve">; urbain</w:t>
      </w:r>
      <w:r>
        <w:t xml:space="preserve"> </w:t>
      </w:r>
      <w:r>
        <w:rPr>
          <w:bCs/>
          <w:b/>
        </w:rPr>
        <w:t xml:space="preserve">71,3 %</w:t>
      </w:r>
      <w:r>
        <w:t xml:space="preserve">, rural</w:t>
      </w:r>
      <w:r>
        <w:t xml:space="preserve"> </w:t>
      </w:r>
      <w:r>
        <w:rPr>
          <w:bCs/>
          <w:b/>
        </w:rPr>
        <w:t xml:space="preserve">11,4 %</w:t>
      </w:r>
      <w:r>
        <w:t xml:space="preserve"> </w:t>
      </w:r>
      <w:r>
        <w:t xml:space="preserve">[1] [V] (une autre section indique « environ 28 % » des ménages ruraux raccordés — incohérence) [1] [V]. En juillet 2025 :</w:t>
      </w:r>
      <w:r>
        <w:t xml:space="preserve"> </w:t>
      </w:r>
      <w:r>
        <w:rPr>
          <w:bCs/>
          <w:b/>
        </w:rPr>
        <w:t xml:space="preserve">303 074 ménages</w:t>
      </w:r>
      <w:r>
        <w:t xml:space="preserve"> </w:t>
      </w:r>
      <w:r>
        <w:t xml:space="preserve">raccordés au réseau +</w:t>
      </w:r>
      <w:r>
        <w:t xml:space="preserve"> </w:t>
      </w:r>
      <w:r>
        <w:rPr>
          <w:bCs/>
          <w:b/>
        </w:rPr>
        <w:t xml:space="preserve">840</w:t>
      </w:r>
      <w:r>
        <w:t xml:space="preserve"> </w:t>
      </w:r>
      <w:r>
        <w:t xml:space="preserve">par mini-réseaux, sur</w:t>
      </w:r>
      <w:r>
        <w:t xml:space="preserve"> </w:t>
      </w:r>
      <w:r>
        <w:rPr>
          <w:bCs/>
          <w:b/>
        </w:rPr>
        <w:t xml:space="preserve">569 631</w:t>
      </w:r>
      <w:r>
        <w:t xml:space="preserve"> </w:t>
      </w:r>
      <w:r>
        <w:t xml:space="preserve">ménages [1] [V].</w:t>
      </w:r>
    </w:p>
    <w:p>
      <w:pPr>
        <w:numPr>
          <w:ilvl w:val="0"/>
          <w:numId w:val="1283"/>
        </w:numPr>
        <w:pStyle w:val="Compact"/>
      </w:pPr>
      <w:r>
        <w:t xml:space="preserve">Population sans accès :</w:t>
      </w:r>
      <w:r>
        <w:t xml:space="preserve"> </w:t>
      </w:r>
      <w:r>
        <w:rPr>
          <w:bCs/>
          <w:b/>
        </w:rPr>
        <w:t xml:space="preserve">47 %</w:t>
      </w:r>
      <w:r>
        <w:t xml:space="preserve"> </w:t>
      </w:r>
      <w:r>
        <w:t xml:space="preserve">des ménages [1] [V].</w:t>
      </w:r>
    </w:p>
    <w:p>
      <w:pPr>
        <w:numPr>
          <w:ilvl w:val="0"/>
          <w:numId w:val="1283"/>
        </w:numPr>
        <w:pStyle w:val="Compact"/>
      </w:pPr>
      <w:r>
        <w:t xml:space="preserve">Capacité installée :</w:t>
      </w:r>
      <w:r>
        <w:t xml:space="preserve"> </w:t>
      </w:r>
      <w:r>
        <w:rPr>
          <w:bCs/>
          <w:b/>
        </w:rPr>
        <w:t xml:space="preserve">104,7 MW</w:t>
      </w:r>
      <w:r>
        <w:t xml:space="preserve"> </w:t>
      </w:r>
      <w:r>
        <w:t xml:space="preserve">(’Muela hydro 72 MW, Ramarothole PV 30 MW, Mants’onyane 2 MW, aéroport PV 0,3 MW, diesel Semonkong 0,4 MW) ; pointe</w:t>
      </w:r>
      <w:r>
        <w:t xml:space="preserve"> </w:t>
      </w:r>
      <w:r>
        <w:rPr>
          <w:bCs/>
          <w:b/>
        </w:rPr>
        <w:t xml:space="preserve">209,62 MW</w:t>
      </w:r>
      <w:r>
        <w:t xml:space="preserve"> </w:t>
      </w:r>
      <w:r>
        <w:t xml:space="preserve">;</w:t>
      </w:r>
      <w:r>
        <w:t xml:space="preserve"> </w:t>
      </w:r>
      <w:r>
        <w:rPr>
          <w:bCs/>
          <w:b/>
        </w:rPr>
        <w:t xml:space="preserve">≈ 50 % de la pointe importée</w:t>
      </w:r>
      <w:r>
        <w:t xml:space="preserve"> </w:t>
      </w:r>
      <w:r>
        <w:t xml:space="preserve">(Eskom, EDM) [1] [V]. 2024 : production locale 48 781,9 MWh contre</w:t>
      </w:r>
      <w:r>
        <w:t xml:space="preserve"> </w:t>
      </w:r>
      <w:r>
        <w:rPr>
          <w:bCs/>
          <w:b/>
        </w:rPr>
        <w:t xml:space="preserve">475 846,65 MWh importés</w:t>
      </w:r>
      <w:r>
        <w:t xml:space="preserve"> </w:t>
      </w:r>
      <w:r>
        <w:t xml:space="preserve">[1] [V] (soit ~90 % de l’énergie importée [E]). Coût moyen : renouvelable local 0,092 US$/kWh ; importations 0,114 US$/kWh [1] [V]. Part renouvelable de la production nationale : 99,6 % [1] [V].</w:t>
      </w:r>
    </w:p>
    <w:p>
      <w:pPr>
        <w:numPr>
          <w:ilvl w:val="0"/>
          <w:numId w:val="1283"/>
        </w:numPr>
        <w:pStyle w:val="Compact"/>
      </w:pPr>
      <w:r>
        <w:t xml:space="preserve">Cuisson propre :</w:t>
      </w:r>
      <w:r>
        <w:t xml:space="preserve"> </w:t>
      </w:r>
      <w:r>
        <w:rPr>
          <w:bCs/>
          <w:b/>
        </w:rPr>
        <w:t xml:space="preserve">45,2 %</w:t>
      </w:r>
      <w:r>
        <w:t xml:space="preserve"> </w:t>
      </w:r>
      <w:r>
        <w:t xml:space="preserve">(2022 dans le tableau des cibles, 2024 dans la déclaration) ; croissance de 0,48 point/an [1] [V]. Définition : Tier 2 et plus du MTF [1] [V].</w:t>
      </w:r>
    </w:p>
    <w:p>
      <w:pPr>
        <w:numPr>
          <w:ilvl w:val="0"/>
          <w:numId w:val="1283"/>
        </w:numPr>
        <w:pStyle w:val="Compact"/>
      </w:pPr>
      <w:r>
        <w:t xml:space="preserve">Rythme : ~</w:t>
      </w:r>
      <w:r>
        <w:rPr>
          <w:bCs/>
          <w:b/>
        </w:rPr>
        <w:t xml:space="preserve">15 000</w:t>
      </w:r>
      <w:r>
        <w:t xml:space="preserve"> </w:t>
      </w:r>
      <w:r>
        <w:t xml:space="preserve">raccordements réseau/an visés historiquement, objectif non atteint (+1,6 point/an sur 5 ans) [1] [V] ; raccordements ménages : 276 293 (2021/22), 284 511 (2022/23), 292 116 (2023/24) [1] [V] — soit ~8 000/an [E].</w:t>
      </w:r>
    </w:p>
    <w:bookmarkEnd w:id="317"/>
    <w:bookmarkStart w:id="318" w:name="cibles-2030-17"/>
    <w:p>
      <w:pPr>
        <w:pStyle w:val="Heading3"/>
      </w:pPr>
      <w:r>
        <w:t xml:space="preserve">2. Cibles 2030</w:t>
      </w:r>
    </w:p>
    <w:p>
      <w:pPr>
        <w:numPr>
          <w:ilvl w:val="0"/>
          <w:numId w:val="1284"/>
        </w:numPr>
        <w:pStyle w:val="Compact"/>
      </w:pPr>
      <w:r>
        <w:t xml:space="preserve">Accès électricité :</w:t>
      </w:r>
      <w:r>
        <w:t xml:space="preserve"> </w:t>
      </w:r>
      <w:r>
        <w:rPr>
          <w:bCs/>
          <w:b/>
        </w:rPr>
        <w:t xml:space="preserve">100 %</w:t>
      </w:r>
      <w:r>
        <w:t xml:space="preserve"> </w:t>
      </w:r>
      <w:r>
        <w:t xml:space="preserve">en 2030 ;</w:t>
      </w:r>
      <w:r>
        <w:t xml:space="preserve"> </w:t>
      </w:r>
      <w:r>
        <w:rPr>
          <w:bCs/>
          <w:b/>
        </w:rPr>
        <w:t xml:space="preserve">45 300 raccordements/an</w:t>
      </w:r>
      <w:r>
        <w:t xml:space="preserve"> </w:t>
      </w:r>
      <w:r>
        <w:t xml:space="preserve">=</w:t>
      </w:r>
      <w:r>
        <w:t xml:space="preserve"> </w:t>
      </w:r>
      <w:r>
        <w:rPr>
          <w:bCs/>
          <w:b/>
        </w:rPr>
        <w:t xml:space="preserve">26 400 réseau</w:t>
      </w:r>
      <w:r>
        <w:t xml:space="preserve"> </w:t>
      </w:r>
      <w:r>
        <w:t xml:space="preserve">+</w:t>
      </w:r>
      <w:r>
        <w:t xml:space="preserve"> </w:t>
      </w:r>
      <w:r>
        <w:rPr>
          <w:bCs/>
          <w:b/>
        </w:rPr>
        <w:t xml:space="preserve">18 900 hors réseau</w:t>
      </w:r>
      <w:r>
        <w:t xml:space="preserve"> </w:t>
      </w:r>
      <w:r>
        <w:t xml:space="preserve">(688 mini-réseaux + 18 212 solaire hors réseau) [1] [V]. Le plan d’action mentionne aussi « 27 200 raccordements réseau/an » [1] [V] — incohérence. Rapport d’avancement : +1 067 874 personnes d’ici 2030 [2] [V].</w:t>
      </w:r>
    </w:p>
    <w:p>
      <w:pPr>
        <w:numPr>
          <w:ilvl w:val="0"/>
          <w:numId w:val="1284"/>
        </w:numPr>
        <w:pStyle w:val="Compact"/>
      </w:pPr>
      <w:r>
        <w:t xml:space="preserve">Part des renouvelables :</w:t>
      </w:r>
      <w:r>
        <w:t xml:space="preserve"> </w:t>
      </w:r>
      <w:r>
        <w:rPr>
          <w:bCs/>
          <w:b/>
        </w:rPr>
        <w:t xml:space="preserve">100 %</w:t>
      </w:r>
      <w:r>
        <w:t xml:space="preserve"> </w:t>
      </w:r>
      <w:r>
        <w:t xml:space="preserve">(de 99,6 %) ; nouvelles capacités : PV Ramarothole 50 MW + 24 MW, Katse hydro 1,1 MW, PV « Beijing » 40 MW, BESS 600 MWh, éolien Hirundo 60 MW, PV Rexivista 50 MW, PV flottant 60 MW [1] [V].</w:t>
      </w:r>
    </w:p>
    <w:p>
      <w:pPr>
        <w:numPr>
          <w:ilvl w:val="0"/>
          <w:numId w:val="1284"/>
        </w:numPr>
        <w:pStyle w:val="Compact"/>
      </w:pPr>
      <w:r>
        <w:t xml:space="preserve">Cuisson propre et chauffage :</w:t>
      </w:r>
      <w:r>
        <w:t xml:space="preserve"> </w:t>
      </w:r>
      <w:r>
        <w:rPr>
          <w:bCs/>
          <w:b/>
        </w:rPr>
        <w:t xml:space="preserve">75 %</w:t>
      </w:r>
      <w:r>
        <w:t xml:space="preserve"> </w:t>
      </w:r>
      <w:r>
        <w:t xml:space="preserve">des ménages [1] [V].</w:t>
      </w:r>
    </w:p>
    <w:p>
      <w:pPr>
        <w:numPr>
          <w:ilvl w:val="0"/>
          <w:numId w:val="1284"/>
        </w:numPr>
        <w:pStyle w:val="Compact"/>
      </w:pPr>
      <w:r>
        <w:t xml:space="preserve">Autres cibles :</w:t>
      </w:r>
    </w:p>
    <w:p>
      <w:pPr>
        <w:numPr>
          <w:ilvl w:val="1"/>
          <w:numId w:val="1285"/>
        </w:numPr>
        <w:pStyle w:val="Compact"/>
      </w:pPr>
      <w:r>
        <w:rPr>
          <w:bCs/>
          <w:b/>
        </w:rPr>
        <w:t xml:space="preserve">+30 % de femmes</w:t>
      </w:r>
      <w:r>
        <w:t xml:space="preserve"> </w:t>
      </w:r>
      <w:r>
        <w:t xml:space="preserve">dans les postes techniques, de direction et de décision du secteur [1] [V].</w:t>
      </w:r>
    </w:p>
    <w:p>
      <w:pPr>
        <w:numPr>
          <w:ilvl w:val="1"/>
          <w:numId w:val="1285"/>
        </w:numPr>
        <w:pStyle w:val="Compact"/>
      </w:pPr>
      <w:r>
        <w:t xml:space="preserve">Exportations : protocole prévoyant</w:t>
      </w:r>
      <w:r>
        <w:t xml:space="preserve"> </w:t>
      </w:r>
      <w:r>
        <w:rPr>
          <w:bCs/>
          <w:b/>
        </w:rPr>
        <w:t xml:space="preserve">2 000 MW</w:t>
      </w:r>
      <w:r>
        <w:t xml:space="preserve"> </w:t>
      </w:r>
      <w:r>
        <w:t xml:space="preserve">d’exportations vers l’Afrique du Sud (MoU à signer) [1] [V].</w:t>
      </w:r>
    </w:p>
    <w:p>
      <w:pPr>
        <w:numPr>
          <w:ilvl w:val="1"/>
          <w:numId w:val="1285"/>
        </w:numPr>
        <w:pStyle w:val="Compact"/>
      </w:pPr>
      <w:r>
        <w:t xml:space="preserve">Capital privé :</w:t>
      </w:r>
      <w:r>
        <w:t xml:space="preserve"> </w:t>
      </w:r>
      <w:r>
        <w:rPr>
          <w:bCs/>
          <w:b/>
        </w:rPr>
        <w:t xml:space="preserve">1 470,5 M US$</w:t>
      </w:r>
      <w:r>
        <w:t xml:space="preserve"> </w:t>
      </w:r>
      <w:r>
        <w:t xml:space="preserve">[1] [V] ; le rapport d’avancement cite une cible de</w:t>
      </w:r>
      <w:r>
        <w:t xml:space="preserve"> </w:t>
      </w:r>
      <w:r>
        <w:rPr>
          <w:bCs/>
          <w:b/>
        </w:rPr>
        <w:t xml:space="preserve">6 733 M US$</w:t>
      </w:r>
      <w:r>
        <w:t xml:space="preserve"> </w:t>
      </w:r>
      <w:r>
        <w:t xml:space="preserve">(texte) /</w:t>
      </w:r>
      <w:r>
        <w:t xml:space="preserve"> </w:t>
      </w:r>
      <w:r>
        <w:rPr>
          <w:bCs/>
          <w:b/>
        </w:rPr>
        <w:t xml:space="preserve">+6 772 M US$</w:t>
      </w:r>
      <w:r>
        <w:t xml:space="preserve"> </w:t>
      </w:r>
      <w:r>
        <w:t xml:space="preserve">(tableau) [2] [V] — écart majeur non expliqué.</w:t>
      </w:r>
    </w:p>
    <w:bookmarkEnd w:id="318"/>
    <w:bookmarkStart w:id="320" w:name="réformes-promises-cœur-de-lanalyse-15"/>
    <w:p>
      <w:pPr>
        <w:pStyle w:val="Heading3"/>
      </w:pPr>
      <w:r>
        <w:t xml:space="preserve">3. Réformes promises (cœur de l’analyse)</w:t>
      </w:r>
    </w:p>
    <w:bookmarkStart w:id="319" w:name="tarifs-et-subventions-18"/>
    <w:p>
      <w:pPr>
        <w:pStyle w:val="Heading4"/>
      </w:pPr>
      <w:r>
        <w:t xml:space="preserve">3.1 Tarifs et subventions</w:t>
      </w:r>
    </w:p>
    <w:p>
      <w:pPr>
        <w:numPr>
          <w:ilvl w:val="0"/>
          <w:numId w:val="1286"/>
        </w:numPr>
        <w:pStyle w:val="Compact"/>
      </w:pPr>
      <w:r>
        <w:rPr>
          <w:bCs/>
          <w:b/>
        </w:rPr>
        <w:t xml:space="preserve">Étude du coût de service</w:t>
      </w:r>
      <w:r>
        <w:t xml:space="preserve"> </w:t>
      </w:r>
      <w:r>
        <w:t xml:space="preserve">pour déterminer le taux de recouvrement, puis</w:t>
      </w:r>
      <w:r>
        <w:t xml:space="preserve"> </w:t>
      </w:r>
      <w:r>
        <w:rPr>
          <w:bCs/>
          <w:b/>
        </w:rPr>
        <w:t xml:space="preserve">méthodologie d’ajustement tarifaire</w:t>
      </w:r>
      <w:r>
        <w:t xml:space="preserve"> </w:t>
      </w:r>
      <w:r>
        <w:t xml:space="preserve">périodique « tout en protégeant les groupes pauvres et vulnérables » — décembre 2025 (LEC/LEWA, MoE/DoE) [1] [V].</w:t>
      </w:r>
    </w:p>
    <w:p>
      <w:pPr>
        <w:numPr>
          <w:ilvl w:val="0"/>
          <w:numId w:val="1286"/>
        </w:numPr>
        <w:pStyle w:val="Compact"/>
      </w:pPr>
      <w:r>
        <w:rPr>
          <w:bCs/>
          <w:b/>
        </w:rPr>
        <w:t xml:space="preserve">Mécanisme automatique de révision tarifaire pluriannuelle</w:t>
      </w:r>
      <w:r>
        <w:t xml:space="preserve"> </w:t>
      </w:r>
      <w:r>
        <w:t xml:space="preserve">garantissant des tarifs reflétant les coûts avec</w:t>
      </w:r>
      <w:r>
        <w:t xml:space="preserve"> </w:t>
      </w:r>
      <w:r>
        <w:rPr>
          <w:bCs/>
          <w:b/>
        </w:rPr>
        <w:t xml:space="preserve">subventions ciblées</w:t>
      </w:r>
      <w:r>
        <w:t xml:space="preserve"> </w:t>
      </w:r>
      <w:r>
        <w:t xml:space="preserve">pour les ménages à faible revenu — mars 2026 ; ajustement</w:t>
      </w:r>
      <w:r>
        <w:t xml:space="preserve"> </w:t>
      </w:r>
      <w:r>
        <w:rPr>
          <w:bCs/>
          <w:b/>
        </w:rPr>
        <w:t xml:space="preserve">semestriel à partir de mai 2026</w:t>
      </w:r>
      <w:r>
        <w:t xml:space="preserve"> </w:t>
      </w:r>
      <w:r>
        <w:t xml:space="preserve">[1] [V].</w:t>
      </w:r>
    </w:p>
    <w:p>
      <w:pPr>
        <w:numPr>
          <w:ilvl w:val="0"/>
          <w:numId w:val="1286"/>
        </w:numPr>
        <w:pStyle w:val="Compact"/>
      </w:pPr>
      <w:r>
        <w:rPr>
          <w:bCs/>
          <w:b/>
        </w:rPr>
        <w:t xml:space="preserve">Cadre de tarif social (« lifeline »)</w:t>
      </w:r>
      <w:r>
        <w:t xml:space="preserve"> </w:t>
      </w:r>
      <w:r>
        <w:t xml:space="preserve">dans l’ajustement tarifaire — mai 2026 [1] [V]. Le pacte reconnaît que LEWA « manque de capacités pour la fixation des tarifs, y compris des cadres de tarif social » [1] [V].</w:t>
      </w:r>
    </w:p>
    <w:p>
      <w:pPr>
        <w:numPr>
          <w:ilvl w:val="0"/>
          <w:numId w:val="1286"/>
        </w:numPr>
        <w:pStyle w:val="Compact"/>
      </w:pPr>
      <w:r>
        <w:t xml:space="preserve">Diagnostic : LEC opère sous des</w:t>
      </w:r>
      <w:r>
        <w:t xml:space="preserve"> </w:t>
      </w:r>
      <w:r>
        <w:rPr>
          <w:bCs/>
          <w:b/>
        </w:rPr>
        <w:t xml:space="preserve">tarifs non reflétant les coûts</w:t>
      </w:r>
      <w:r>
        <w:t xml:space="preserve"> </w:t>
      </w:r>
      <w:r>
        <w:t xml:space="preserve">et peine à recouvrer les factures, notamment des</w:t>
      </w:r>
      <w:r>
        <w:t xml:space="preserve"> </w:t>
      </w:r>
      <w:r>
        <w:rPr>
          <w:bCs/>
          <w:b/>
        </w:rPr>
        <w:t xml:space="preserve">institutions publiques</w:t>
      </w:r>
      <w:r>
        <w:t xml:space="preserve"> </w:t>
      </w:r>
      <w:r>
        <w:t xml:space="preserve">[1] [V]. Annexe I : tarif moyen et trajectoire de recouvrement «</w:t>
      </w:r>
      <w:r>
        <w:t xml:space="preserve"> </w:t>
      </w:r>
      <w:r>
        <w:rPr>
          <w:bCs/>
          <w:b/>
        </w:rPr>
        <w:t xml:space="preserve">à déterminer après l’étude de coût de service d’ici 2026</w:t>
      </w:r>
      <w:r>
        <w:t xml:space="preserve"> </w:t>
      </w:r>
      <w:r>
        <w:t xml:space="preserve">» [1] [V].</w:t>
      </w:r>
    </w:p>
    <w:p>
      <w:pPr>
        <w:numPr>
          <w:ilvl w:val="0"/>
          <w:numId w:val="1286"/>
        </w:numPr>
        <w:pStyle w:val="Compact"/>
      </w:pPr>
      <w:r>
        <w:t xml:space="preserve">Mini-réseaux : processus tarifaires transparents et prévisibles, reflétant les coûts mais protégeant les pauvres (révision des règlements 2021) ; règlement net-metering [1] [V].</w:t>
      </w:r>
    </w:p>
    <w:p>
      <w:pPr>
        <w:numPr>
          <w:ilvl w:val="0"/>
          <w:numId w:val="1286"/>
        </w:numPr>
        <w:pStyle w:val="Compact"/>
      </w:pPr>
      <w:r>
        <w:t xml:space="preserve">Subventions à l’accès :</w:t>
      </w:r>
      <w:r>
        <w:t xml:space="preserve"> </w:t>
      </w:r>
      <w:r>
        <w:rPr>
          <w:bCs/>
          <w:b/>
        </w:rPr>
        <w:t xml:space="preserve">cadre de subvention complet</w:t>
      </w:r>
      <w:r>
        <w:t xml:space="preserve"> </w:t>
      </w:r>
      <w:r>
        <w:t xml:space="preserve">pour les zones non viables commercialement (capex, RBF, subventions aux frais de raccordement) ; facilité de subvention en capital pour mini-réseaux (sept. 2025) ;</w:t>
      </w:r>
      <w:r>
        <w:t xml:space="preserve"> </w:t>
      </w:r>
      <w:r>
        <w:rPr>
          <w:bCs/>
          <w:b/>
        </w:rPr>
        <w:t xml:space="preserve">Fonds national de l’énergie (NEF)</w:t>
      </w:r>
      <w:r>
        <w:t xml:space="preserve"> </w:t>
      </w:r>
      <w:r>
        <w:t xml:space="preserve">; extension du RBF (SHS, foyers améliorés, mini-réseaux, usages productifs) [1] [V].</w:t>
      </w:r>
    </w:p>
    <w:p>
      <w:pPr>
        <w:numPr>
          <w:ilvl w:val="0"/>
          <w:numId w:val="1286"/>
        </w:numPr>
        <w:pStyle w:val="Compact"/>
      </w:pPr>
      <w:r>
        <w:t xml:space="preserve">Cadre d’incitations fiscales pour les renouvelables (mars 2026) [1] [V].</w:t>
      </w:r>
      <w:r>
        <w:t xml:space="preserve"> </w:t>
      </w:r>
      <w:r>
        <w:t xml:space="preserve">#### 3.2 Opérateur (redressement, contrats de performance, pertes, recouvrement, compteurs)</w:t>
      </w:r>
    </w:p>
    <w:p>
      <w:pPr>
        <w:numPr>
          <w:ilvl w:val="0"/>
          <w:numId w:val="1286"/>
        </w:numPr>
        <w:pStyle w:val="Compact"/>
      </w:pPr>
      <w:r>
        <w:rPr>
          <w:bCs/>
          <w:b/>
        </w:rPr>
        <w:t xml:space="preserve">Plan d’amélioration de la performance (PIP)</w:t>
      </w:r>
      <w:r>
        <w:t xml:space="preserve"> </w:t>
      </w:r>
      <w:r>
        <w:t xml:space="preserve">de LEC achevé avec l’appui de la BM, et</w:t>
      </w:r>
      <w:r>
        <w:t xml:space="preserve"> </w:t>
      </w:r>
      <w:r>
        <w:rPr>
          <w:bCs/>
          <w:b/>
        </w:rPr>
        <w:t xml:space="preserve">stratégie de redressement (Turn Around Strategy)</w:t>
      </w:r>
      <w:r>
        <w:t xml:space="preserve"> </w:t>
      </w:r>
      <w:r>
        <w:t xml:space="preserve">: transformation de l’administration et des opérations (nov. 2025) ; équipe de S&amp;E interne rendant compte trimestriellement (oct. 2025) [1] [V].</w:t>
      </w:r>
    </w:p>
    <w:p>
      <w:pPr>
        <w:numPr>
          <w:ilvl w:val="0"/>
          <w:numId w:val="1286"/>
        </w:numPr>
        <w:pStyle w:val="Compact"/>
      </w:pPr>
      <w:r>
        <w:rPr>
          <w:bCs/>
          <w:b/>
        </w:rPr>
        <w:t xml:space="preserve">Outils numériques</w:t>
      </w:r>
      <w:r>
        <w:t xml:space="preserve"> </w:t>
      </w:r>
      <w:r>
        <w:t xml:space="preserve">: IRMS/WFM, SIG,</w:t>
      </w:r>
      <w:r>
        <w:t xml:space="preserve"> </w:t>
      </w:r>
      <w:r>
        <w:rPr>
          <w:bCs/>
          <w:b/>
        </w:rPr>
        <w:t xml:space="preserve">AMI avec MDMS et centre de contrôle des compteurs</w:t>
      </w:r>
      <w:r>
        <w:t xml:space="preserve">, consolidation ERP-SAP — d’ici</w:t>
      </w:r>
      <w:r>
        <w:t xml:space="preserve"> </w:t>
      </w:r>
      <w:r>
        <w:rPr>
          <w:bCs/>
          <w:b/>
        </w:rPr>
        <w:t xml:space="preserve">nov. 2028</w:t>
      </w:r>
      <w:r>
        <w:t xml:space="preserve"> </w:t>
      </w:r>
      <w:r>
        <w:t xml:space="preserve">; « en cours, dans les temps » [1][2] [V].</w:t>
      </w:r>
    </w:p>
    <w:p>
      <w:pPr>
        <w:numPr>
          <w:ilvl w:val="0"/>
          <w:numId w:val="1286"/>
        </w:numPr>
        <w:pStyle w:val="Compact"/>
      </w:pPr>
      <w:r>
        <w:t xml:space="preserve">Recouvrement : maximiser la collecte (</w:t>
      </w:r>
      <w:r>
        <w:rPr>
          <w:bCs/>
          <w:b/>
        </w:rPr>
        <w:t xml:space="preserve">compteurs à prépaiement</w:t>
      </w:r>
      <w:r>
        <w:t xml:space="preserve">),</w:t>
      </w:r>
      <w:r>
        <w:t xml:space="preserve"> </w:t>
      </w:r>
      <w:r>
        <w:rPr>
          <w:bCs/>
          <w:b/>
        </w:rPr>
        <w:t xml:space="preserve">audit du système de comptage</w:t>
      </w:r>
      <w:r>
        <w:t xml:space="preserve">, lutte contre la fraude et la manipulation de compteurs [1] [V].</w:t>
      </w:r>
    </w:p>
    <w:p>
      <w:pPr>
        <w:numPr>
          <w:ilvl w:val="0"/>
          <w:numId w:val="1286"/>
        </w:numPr>
        <w:pStyle w:val="Compact"/>
      </w:pPr>
      <w:r>
        <w:t xml:space="preserve">Pertes AT&amp;C :</w:t>
      </w:r>
      <w:r>
        <w:t xml:space="preserve"> </w:t>
      </w:r>
      <w:r>
        <w:rPr>
          <w:bCs/>
          <w:b/>
        </w:rPr>
        <w:t xml:space="preserve">10 %</w:t>
      </w:r>
      <w:r>
        <w:t xml:space="preserve"> </w:t>
      </w:r>
      <w:r>
        <w:t xml:space="preserve">; « réduction de 20,9 % par an » (formulation ambiguë) [1] [V].</w:t>
      </w:r>
    </w:p>
    <w:p>
      <w:pPr>
        <w:numPr>
          <w:ilvl w:val="0"/>
          <w:numId w:val="1286"/>
        </w:numPr>
        <w:pStyle w:val="Compact"/>
      </w:pPr>
      <w:r>
        <w:rPr>
          <w:bCs/>
          <w:b/>
        </w:rPr>
        <w:t xml:space="preserve">Pacte d’actionnaire</w:t>
      </w:r>
      <w:r>
        <w:t xml:space="preserve"> </w:t>
      </w:r>
      <w:r>
        <w:t xml:space="preserve">(shareholders compact) pour la gouvernance ;</w:t>
      </w:r>
      <w:r>
        <w:t xml:space="preserve"> </w:t>
      </w:r>
      <w:r>
        <w:rPr>
          <w:bCs/>
          <w:b/>
        </w:rPr>
        <w:t xml:space="preserve">étude diagnostique des modèles de gestion de LEC</w:t>
      </w:r>
      <w:r>
        <w:t xml:space="preserve"> </w:t>
      </w:r>
      <w:r>
        <w:t xml:space="preserve">(déc. 2025) [1] [V].</w:t>
      </w:r>
    </w:p>
    <w:p>
      <w:pPr>
        <w:numPr>
          <w:ilvl w:val="0"/>
          <w:numId w:val="1286"/>
        </w:numPr>
        <w:pStyle w:val="Compact"/>
      </w:pPr>
      <w:r>
        <w:t xml:space="preserve">États financiers audités publiés annuellement à partir de</w:t>
      </w:r>
      <w:r>
        <w:t xml:space="preserve"> </w:t>
      </w:r>
      <w:r>
        <w:rPr>
          <w:bCs/>
          <w:b/>
        </w:rPr>
        <w:t xml:space="preserve">déc. 2025</w:t>
      </w:r>
      <w:r>
        <w:t xml:space="preserve"> </w:t>
      </w:r>
      <w:r>
        <w:t xml:space="preserve">—</w:t>
      </w:r>
      <w:r>
        <w:t xml:space="preserve"> </w:t>
      </w:r>
      <w:r>
        <w:rPr>
          <w:bCs/>
          <w:b/>
        </w:rPr>
        <w:t xml:space="preserve">« en retard »</w:t>
      </w:r>
      <w:r>
        <w:t xml:space="preserve"> </w:t>
      </w:r>
      <w:r>
        <w:t xml:space="preserve">; publication récurrente « en cours, à risque » (déc. 2025) [1][2] [V].</w:t>
      </w:r>
    </w:p>
    <w:p>
      <w:pPr>
        <w:numPr>
          <w:ilvl w:val="0"/>
          <w:numId w:val="1286"/>
        </w:numPr>
        <w:pStyle w:val="Compact"/>
      </w:pPr>
      <w:r>
        <w:t xml:space="preserve">Résultat net :</w:t>
      </w:r>
      <w:r>
        <w:t xml:space="preserve"> </w:t>
      </w:r>
      <w:r>
        <w:rPr>
          <w:bCs/>
          <w:b/>
        </w:rPr>
        <w:t xml:space="preserve">+20,3 M US$</w:t>
      </w:r>
      <w:r>
        <w:t xml:space="preserve"> </w:t>
      </w:r>
      <w:r>
        <w:t xml:space="preserve">(total, annexe I) [1] [V]. Clients raccordés au réseau : 310 186 (avril 2024) [1] [V].</w:t>
      </w:r>
    </w:p>
    <w:p>
      <w:pPr>
        <w:numPr>
          <w:ilvl w:val="0"/>
          <w:numId w:val="1286"/>
        </w:numPr>
        <w:pStyle w:val="Compact"/>
      </w:pPr>
      <w:r>
        <w:t xml:space="preserve">Délestages : aucun, sauf districts non raccordés (Qacha’s Nek, Mokhotlong) [1] [V].</w:t>
      </w:r>
      <w:r>
        <w:t xml:space="preserve"> </w:t>
      </w:r>
      <w:r>
        <w:t xml:space="preserve">#### 3.3 Régulation et gouvernance</w:t>
      </w:r>
    </w:p>
    <w:p>
      <w:pPr>
        <w:numPr>
          <w:ilvl w:val="0"/>
          <w:numId w:val="1286"/>
        </w:numPr>
        <w:pStyle w:val="Compact"/>
      </w:pPr>
      <w:r>
        <w:rPr>
          <w:bCs/>
          <w:b/>
        </w:rPr>
        <w:t xml:space="preserve">Projet de loi sur l’énergie (Energy Bill)</w:t>
      </w:r>
      <w:r>
        <w:t xml:space="preserve"> </w:t>
      </w:r>
      <w:r>
        <w:t xml:space="preserve">à adopter (déc. 2025 / mars 2026) : création de l’</w:t>
      </w:r>
      <w:r>
        <w:rPr>
          <w:bCs/>
          <w:b/>
        </w:rPr>
        <w:t xml:space="preserve">EIFU</w:t>
      </w:r>
      <w:r>
        <w:t xml:space="preserve"> </w:t>
      </w:r>
      <w:r>
        <w:t xml:space="preserve">(guichet unique investissement), transformation de la REU en</w:t>
      </w:r>
      <w:r>
        <w:t xml:space="preserve"> </w:t>
      </w:r>
      <w:r>
        <w:rPr>
          <w:bCs/>
          <w:b/>
        </w:rPr>
        <w:t xml:space="preserve">REA</w:t>
      </w:r>
      <w:r>
        <w:t xml:space="preserve">, du DoE en</w:t>
      </w:r>
      <w:r>
        <w:t xml:space="preserve"> </w:t>
      </w:r>
      <w:r>
        <w:rPr>
          <w:bCs/>
          <w:b/>
        </w:rPr>
        <w:t xml:space="preserve">Energy Commission</w:t>
      </w:r>
      <w:r>
        <w:t xml:space="preserve">, création du Fonds de l’énergie et d’une unité Femmes et énergie — priorité « en cours, dans les temps » (échéance 31/03/2026) [1][2] [V].</w:t>
      </w:r>
    </w:p>
    <w:p>
      <w:pPr>
        <w:numPr>
          <w:ilvl w:val="0"/>
          <w:numId w:val="1286"/>
        </w:numPr>
        <w:pStyle w:val="Compact"/>
      </w:pPr>
      <w:r>
        <w:rPr>
          <w:bCs/>
          <w:b/>
        </w:rPr>
        <w:t xml:space="preserve">LCPDP</w:t>
      </w:r>
      <w:r>
        <w:t xml:space="preserve"> </w:t>
      </w:r>
      <w:r>
        <w:t xml:space="preserve">(plan de développement au moindre coût, appui BM) adopté —</w:t>
      </w:r>
      <w:r>
        <w:t xml:space="preserve"> </w:t>
      </w:r>
      <w:r>
        <w:rPr>
          <w:bCs/>
          <w:b/>
        </w:rPr>
        <w:t xml:space="preserve">achevé</w:t>
      </w:r>
      <w:r>
        <w:t xml:space="preserve"> </w:t>
      </w:r>
      <w:r>
        <w:t xml:space="preserve">(oct. 2025) ; IRP à développer (GET.transform) ; mises à jour quinquennales [1][2] [V].</w:t>
      </w:r>
    </w:p>
    <w:p>
      <w:pPr>
        <w:numPr>
          <w:ilvl w:val="0"/>
          <w:numId w:val="1286"/>
        </w:numPr>
        <w:pStyle w:val="Compact"/>
      </w:pPr>
      <w:r>
        <w:t xml:space="preserve">Nouvelle politique énergétique 2026-2036 (déc. 2025) ;</w:t>
      </w:r>
      <w:r>
        <w:t xml:space="preserve"> </w:t>
      </w:r>
      <w:r>
        <w:rPr>
          <w:bCs/>
          <w:b/>
        </w:rPr>
        <w:t xml:space="preserve">Stratégie nationale d’électrification</w:t>
      </w:r>
      <w:r>
        <w:t xml:space="preserve"> </w:t>
      </w:r>
      <w:r>
        <w:t xml:space="preserve">adoptée —</w:t>
      </w:r>
      <w:r>
        <w:t xml:space="preserve"> </w:t>
      </w:r>
      <w:r>
        <w:rPr>
          <w:bCs/>
          <w:b/>
        </w:rPr>
        <w:t xml:space="preserve">achevée</w:t>
      </w:r>
      <w:r>
        <w:t xml:space="preserve"> </w:t>
      </w:r>
      <w:r>
        <w:t xml:space="preserve">(oct. 2025) [1][2] [V].</w:t>
      </w:r>
    </w:p>
    <w:p>
      <w:pPr>
        <w:numPr>
          <w:ilvl w:val="0"/>
          <w:numId w:val="1286"/>
        </w:numPr>
        <w:pStyle w:val="Compact"/>
      </w:pPr>
      <w:r>
        <w:t xml:space="preserve">Stratégie nationale de cuisson propre (nov. 2025) —</w:t>
      </w:r>
      <w:r>
        <w:t xml:space="preserve"> </w:t>
      </w:r>
      <w:r>
        <w:rPr>
          <w:bCs/>
          <w:b/>
        </w:rPr>
        <w:t xml:space="preserve">« en retard »</w:t>
      </w:r>
      <w:r>
        <w:t xml:space="preserve"> </w:t>
      </w:r>
      <w:r>
        <w:t xml:space="preserve">[1][2] [V]. Réglementation GPL (déc. 2025) [1] [V].</w:t>
      </w:r>
    </w:p>
    <w:p>
      <w:pPr>
        <w:numPr>
          <w:ilvl w:val="0"/>
          <w:numId w:val="1286"/>
        </w:numPr>
        <w:pStyle w:val="Compact"/>
      </w:pPr>
      <w:r>
        <w:t xml:space="preserve">Envisager un</w:t>
      </w:r>
      <w:r>
        <w:t xml:space="preserve"> </w:t>
      </w:r>
      <w:r>
        <w:rPr>
          <w:bCs/>
          <w:b/>
        </w:rPr>
        <w:t xml:space="preserve">opérateur de marché indépendant</w:t>
      </w:r>
      <w:r>
        <w:t xml:space="preserve"> </w:t>
      </w:r>
      <w:r>
        <w:t xml:space="preserve">[1] [V].</w:t>
      </w:r>
      <w:r>
        <w:t xml:space="preserve"> </w:t>
      </w:r>
      <w:r>
        <w:t xml:space="preserve">#### 3.4 Participation du privé (producteurs indépendants, concessions, hors réseau)</w:t>
      </w:r>
    </w:p>
    <w:p>
      <w:pPr>
        <w:numPr>
          <w:ilvl w:val="0"/>
          <w:numId w:val="1286"/>
        </w:numPr>
        <w:pStyle w:val="Compact"/>
      </w:pPr>
      <w:r>
        <w:rPr>
          <w:bCs/>
          <w:b/>
        </w:rPr>
        <w:t xml:space="preserve">Cadre IPP/IPT</w:t>
      </w:r>
      <w:r>
        <w:t xml:space="preserve"> </w:t>
      </w:r>
      <w:r>
        <w:t xml:space="preserve">(producteurs et transporteurs indépendants) revu, adopté et lancé avec modèles standards (fin 2025) ;</w:t>
      </w:r>
      <w:r>
        <w:t xml:space="preserve"> </w:t>
      </w:r>
      <w:r>
        <w:rPr>
          <w:bCs/>
          <w:b/>
        </w:rPr>
        <w:t xml:space="preserve">PPA standardisé</w:t>
      </w:r>
      <w:r>
        <w:t xml:space="preserve"> </w:t>
      </w:r>
      <w:r>
        <w:t xml:space="preserve">[1] [V].</w:t>
      </w:r>
    </w:p>
    <w:p>
      <w:pPr>
        <w:numPr>
          <w:ilvl w:val="0"/>
          <w:numId w:val="1286"/>
        </w:numPr>
        <w:pStyle w:val="Compact"/>
      </w:pPr>
      <w:r>
        <w:t xml:space="preserve">Ouvrir aux IPP/IPT la</w:t>
      </w:r>
      <w:r>
        <w:t xml:space="preserve"> </w:t>
      </w:r>
      <w:r>
        <w:rPr>
          <w:bCs/>
          <w:b/>
        </w:rPr>
        <w:t xml:space="preserve">vente directe aux gros clients d’ancrage</w:t>
      </w:r>
      <w:r>
        <w:t xml:space="preserve"> </w:t>
      </w:r>
      <w:r>
        <w:t xml:space="preserve">; étude sur le privé dans le transport [1] [V].</w:t>
      </w:r>
    </w:p>
    <w:p>
      <w:pPr>
        <w:numPr>
          <w:ilvl w:val="0"/>
          <w:numId w:val="1286"/>
        </w:numPr>
        <w:pStyle w:val="Compact"/>
      </w:pPr>
      <w:r>
        <w:t xml:space="preserve">Faciliter l’accès aux</w:t>
      </w:r>
      <w:r>
        <w:t xml:space="preserve"> </w:t>
      </w:r>
      <w:r>
        <w:rPr>
          <w:bCs/>
          <w:b/>
        </w:rPr>
        <w:t xml:space="preserve">garanties BM (PRG) et BAD (ADF-PRG)</w:t>
      </w:r>
      <w:r>
        <w:t xml:space="preserve"> </w:t>
      </w:r>
      <w:r>
        <w:t xml:space="preserve">; African Legal Support Facility (BAD) [1] [V].</w:t>
      </w:r>
    </w:p>
    <w:p>
      <w:pPr>
        <w:numPr>
          <w:ilvl w:val="0"/>
          <w:numId w:val="1286"/>
        </w:numPr>
        <w:pStyle w:val="Compact"/>
      </w:pPr>
      <w:r>
        <w:t xml:space="preserve">Mini-réseaux : 11 en développement (9 privés, 2 communautaires) + 10 en passation sous financement BM [1] [V].</w:t>
      </w:r>
    </w:p>
    <w:p>
      <w:pPr>
        <w:numPr>
          <w:ilvl w:val="0"/>
          <w:numId w:val="1286"/>
        </w:numPr>
        <w:pStyle w:val="Compact"/>
      </w:pPr>
      <w:r>
        <w:t xml:space="preserve">Obligations vertes et finance mixte [1] [V].</w:t>
      </w:r>
      <w:r>
        <w:t xml:space="preserve"> </w:t>
      </w:r>
      <w:r>
        <w:t xml:space="preserve">#### 3.5 Intégration régionale (pools énergétiques, interconnexions)</w:t>
      </w:r>
    </w:p>
    <w:p>
      <w:pPr>
        <w:numPr>
          <w:ilvl w:val="0"/>
          <w:numId w:val="1286"/>
        </w:numPr>
        <w:pStyle w:val="Compact"/>
      </w:pPr>
      <w:r>
        <w:t xml:space="preserve">Nouvelle interconnexion Afrique du Sud (Merapi) – Mabote, conçue en</w:t>
      </w:r>
      <w:r>
        <w:t xml:space="preserve"> </w:t>
      </w:r>
      <w:r>
        <w:rPr>
          <w:bCs/>
          <w:b/>
        </w:rPr>
        <w:t xml:space="preserve">400 kV exploitée à 275 kV</w:t>
      </w:r>
      <w:r>
        <w:t xml:space="preserve">, d’ici</w:t>
      </w:r>
      <w:r>
        <w:t xml:space="preserve"> </w:t>
      </w:r>
      <w:r>
        <w:rPr>
          <w:bCs/>
          <w:b/>
        </w:rPr>
        <w:t xml:space="preserve">déc. 2028</w:t>
      </w:r>
      <w:r>
        <w:t xml:space="preserve"> </w:t>
      </w:r>
      <w:r>
        <w:t xml:space="preserve">(100 M US$) [1] [V].</w:t>
      </w:r>
    </w:p>
    <w:p>
      <w:pPr>
        <w:numPr>
          <w:ilvl w:val="0"/>
          <w:numId w:val="1286"/>
        </w:numPr>
        <w:pStyle w:val="Compact"/>
      </w:pPr>
      <w:r>
        <w:t xml:space="preserve">Coopération binationale Lesotho-Afrique du Sud ;</w:t>
      </w:r>
      <w:r>
        <w:t xml:space="preserve"> </w:t>
      </w:r>
      <w:r>
        <w:rPr>
          <w:bCs/>
          <w:b/>
        </w:rPr>
        <w:t xml:space="preserve">MoU d’export</w:t>
      </w:r>
      <w:r>
        <w:t xml:space="preserve"> </w:t>
      </w:r>
      <w:r>
        <w:t xml:space="preserve">;</w:t>
      </w:r>
      <w:r>
        <w:t xml:space="preserve"> </w:t>
      </w:r>
      <w:r>
        <w:rPr>
          <w:bCs/>
          <w:b/>
        </w:rPr>
        <w:t xml:space="preserve">tarification du transport et grille harmonisée import/export</w:t>
      </w:r>
      <w:r>
        <w:t xml:space="preserve"> </w:t>
      </w:r>
      <w:r>
        <w:t xml:space="preserve">avec frais de wheeling (mars 2026 ; priorité « dans les temps ») ; codes réseau alignés SAPP ; bureau de trading au sein de LEC [1][2] [V].</w:t>
      </w:r>
    </w:p>
    <w:p>
      <w:pPr>
        <w:numPr>
          <w:ilvl w:val="0"/>
          <w:numId w:val="1286"/>
        </w:numPr>
        <w:pStyle w:val="Compact"/>
      </w:pPr>
      <w:r>
        <w:t xml:space="preserve">Wheeling Eskom : 0,03 US$/kWh (annexe I) [1] [V].</w:t>
      </w:r>
      <w:r>
        <w:t xml:space="preserve"> </w:t>
      </w:r>
      <w:r>
        <w:t xml:space="preserve">#### 3.6 Autres (fiscalité, foncier, local content)</w:t>
      </w:r>
    </w:p>
    <w:p>
      <w:pPr>
        <w:numPr>
          <w:ilvl w:val="0"/>
          <w:numId w:val="1286"/>
        </w:numPr>
        <w:pStyle w:val="Compact"/>
      </w:pPr>
      <w:r>
        <w:t xml:space="preserve">Audit des compétences du secteur (déc. 2025) —</w:t>
      </w:r>
      <w:r>
        <w:t xml:space="preserve"> </w:t>
      </w:r>
      <w:r>
        <w:rPr>
          <w:bCs/>
          <w:b/>
        </w:rPr>
        <w:t xml:space="preserve">« en retard »</w:t>
      </w:r>
      <w:r>
        <w:t xml:space="preserve"> </w:t>
      </w:r>
      <w:r>
        <w:t xml:space="preserve">[1][2] [V].</w:t>
      </w:r>
    </w:p>
    <w:p>
      <w:pPr>
        <w:numPr>
          <w:ilvl w:val="0"/>
          <w:numId w:val="1286"/>
        </w:numPr>
        <w:pStyle w:val="Compact"/>
      </w:pPr>
      <w:r>
        <w:t xml:space="preserve">Fonds JET « His Majesty King Letsie III » mentionné comme source de financement [1] [V].</w:t>
      </w:r>
    </w:p>
    <w:p>
      <w:pPr>
        <w:numPr>
          <w:ilvl w:val="0"/>
          <w:numId w:val="1286"/>
        </w:numPr>
        <w:pStyle w:val="Compact"/>
      </w:pPr>
      <w:r>
        <w:t xml:space="preserve">Grands projets hydro (Oxbow 80-90 MW, Kobong pompage-turbinage 1 200 MW, Senqu 122 MW) nécessitant des garanties fortes [1] [V].</w:t>
      </w:r>
    </w:p>
    <w:bookmarkEnd w:id="319"/>
    <w:bookmarkEnd w:id="320"/>
    <w:bookmarkStart w:id="321" w:name="financement-18"/>
    <w:p>
      <w:pPr>
        <w:pStyle w:val="Heading3"/>
      </w:pPr>
      <w:r>
        <w:t xml:space="preserve">4. Financement</w:t>
      </w:r>
    </w:p>
    <w:p>
      <w:pPr>
        <w:numPr>
          <w:ilvl w:val="0"/>
          <w:numId w:val="1287"/>
        </w:numPr>
        <w:pStyle w:val="Compact"/>
      </w:pPr>
      <w:r>
        <w:t xml:space="preserve">Besoin total :</w:t>
      </w:r>
      <w:r>
        <w:t xml:space="preserve"> </w:t>
      </w:r>
      <w:r>
        <w:rPr>
          <w:bCs/>
          <w:b/>
        </w:rPr>
        <w:t xml:space="preserve">1 970,2 M US$</w:t>
      </w:r>
      <w:r>
        <w:t xml:space="preserve">, dont privé</w:t>
      </w:r>
      <w:r>
        <w:t xml:space="preserve"> </w:t>
      </w:r>
      <w:r>
        <w:rPr>
          <w:bCs/>
          <w:b/>
        </w:rPr>
        <w:t xml:space="preserve">1 470,5 M US$</w:t>
      </w:r>
      <w:r>
        <w:t xml:space="preserve"> </w:t>
      </w:r>
      <w:r>
        <w:t xml:space="preserve">[1] [V] ; public 499,7 M US$ (production 86, transport 207,8, distribution 9,4, réhabilitation 36,5, dernier kilomètre 146, cuisson 14) [1] [V]. L’annexe I indique 2 018 M US$ dont 1 434 M privé (50,8 %) [1] [V] — incohérences.</w:t>
      </w:r>
    </w:p>
    <w:p>
      <w:pPr>
        <w:numPr>
          <w:ilvl w:val="0"/>
          <w:numId w:val="1287"/>
        </w:numPr>
        <w:pStyle w:val="Compact"/>
      </w:pPr>
      <w:r>
        <w:t xml:space="preserve">Engagements cités dans le tableau de financement :</w:t>
      </w:r>
      <w:r>
        <w:t xml:space="preserve"> </w:t>
      </w:r>
      <w:r>
        <w:rPr>
          <w:bCs/>
          <w:b/>
        </w:rPr>
        <w:t xml:space="preserve">Banque mondiale 52,9 M US$</w:t>
      </w:r>
      <w:r>
        <w:t xml:space="preserve"> </w:t>
      </w:r>
      <w:r>
        <w:t xml:space="preserve">;</w:t>
      </w:r>
      <w:r>
        <w:t xml:space="preserve"> </w:t>
      </w:r>
      <w:r>
        <w:rPr>
          <w:bCs/>
          <w:b/>
        </w:rPr>
        <w:t xml:space="preserve">BAD 10,6 M US$</w:t>
      </w:r>
      <w:r>
        <w:t xml:space="preserve"> </w:t>
      </w:r>
      <w:r>
        <w:t xml:space="preserve">; JICA 8,9 M ;</w:t>
      </w:r>
      <w:r>
        <w:t xml:space="preserve"> </w:t>
      </w:r>
      <w:r>
        <w:rPr>
          <w:bCs/>
          <w:b/>
        </w:rPr>
        <w:t xml:space="preserve">Exim Bank de Chine 67,4 M</w:t>
      </w:r>
      <w:r>
        <w:t xml:space="preserve"> </w:t>
      </w:r>
      <w:r>
        <w:t xml:space="preserve">(Ramarothole 50 MW) ; UE/GIZ (GET.Pro) 18,9 M [1] [V].</w:t>
      </w:r>
    </w:p>
    <w:p>
      <w:pPr>
        <w:numPr>
          <w:ilvl w:val="0"/>
          <w:numId w:val="1287"/>
        </w:numPr>
        <w:pStyle w:val="Compact"/>
      </w:pPr>
      <w:r>
        <w:t xml:space="preserve">Annexe III :</w:t>
      </w:r>
      <w:r>
        <w:t xml:space="preserve"> </w:t>
      </w:r>
      <w:r>
        <w:rPr>
          <w:bCs/>
          <w:b/>
        </w:rPr>
        <w:t xml:space="preserve">BM — LREEAP</w:t>
      </w:r>
      <w:r>
        <w:t xml:space="preserve"> </w:t>
      </w:r>
      <w:r>
        <w:t xml:space="preserve">(Lesotho Renewable Energy and Energy Access Project, 2022-2027) : prêt IDA concessionnel (~40 M US$ selon le tableau) + SREP (8 M prêt, 4,9 M don) ; extension réseau (11 416 raccordements), mini-réseaux en PPP, réhabilitation de Semonkong [1] [V] (montants difficiles à attribuer précisément dans le tableau extrait [E]).</w:t>
      </w:r>
    </w:p>
    <w:p>
      <w:pPr>
        <w:numPr>
          <w:ilvl w:val="0"/>
          <w:numId w:val="1287"/>
        </w:numPr>
        <w:pStyle w:val="Compact"/>
      </w:pPr>
      <w:r>
        <w:t xml:space="preserve">Gouvernement : contributions annuelles « à engager » [1] [V].</w:t>
      </w:r>
    </w:p>
    <w:bookmarkEnd w:id="321"/>
    <w:bookmarkStart w:id="322" w:name="calendrier-et-suivi-18"/>
    <w:p>
      <w:pPr>
        <w:pStyle w:val="Heading3"/>
      </w:pPr>
      <w:r>
        <w:t xml:space="preserve">5. Calendrier et suivi</w:t>
      </w:r>
    </w:p>
    <w:p>
      <w:pPr>
        <w:numPr>
          <w:ilvl w:val="0"/>
          <w:numId w:val="1288"/>
        </w:numPr>
        <w:pStyle w:val="Compact"/>
      </w:pPr>
      <w:r>
        <w:t xml:space="preserve">Jalons [1] [V] : août-déc. 2025 (cadre IPP, LCPDP, SNE, coût de service, méthodologie tarifaire, PIP, états financiers, Energy Bill, politique 2026-2036) ; mars 2026 (révision tarifaire automatique, incitations fiscales, tarification transport) ; mai 2026 (tarif social, ajustements semestriels) ; nov. 2028 (outils numériques) ; déc. 2028 (interconnexion 400 kV).</w:t>
      </w:r>
    </w:p>
    <w:p>
      <w:pPr>
        <w:numPr>
          <w:ilvl w:val="0"/>
          <w:numId w:val="1288"/>
        </w:numPr>
        <w:pStyle w:val="Compact"/>
      </w:pPr>
      <w:r>
        <w:t xml:space="preserve">Gouvernance :</w:t>
      </w:r>
      <w:r>
        <w:t xml:space="preserve"> </w:t>
      </w:r>
      <w:r>
        <w:rPr>
          <w:bCs/>
          <w:b/>
        </w:rPr>
        <w:t xml:space="preserve">CDMU</w:t>
      </w:r>
      <w:r>
        <w:t xml:space="preserve"> </w:t>
      </w:r>
      <w:r>
        <w:t xml:space="preserve">;</w:t>
      </w:r>
      <w:r>
        <w:t xml:space="preserve"> </w:t>
      </w:r>
      <w:r>
        <w:rPr>
          <w:bCs/>
          <w:b/>
        </w:rPr>
        <w:t xml:space="preserve">comité de pilotage</w:t>
      </w:r>
      <w:r>
        <w:t xml:space="preserve"> </w:t>
      </w:r>
      <w:r>
        <w:t xml:space="preserve">coprésidé par les secrétaires principaux de l’Énergie et des Finances ; groupe technique ; rapports trimestriels aux ministres, semestriels au Cabinet ; forum public de coordination [1] [V].</w:t>
      </w:r>
    </w:p>
    <w:p>
      <w:pPr>
        <w:numPr>
          <w:ilvl w:val="0"/>
          <w:numId w:val="1288"/>
        </w:numPr>
        <w:pStyle w:val="Compact"/>
      </w:pPr>
      <w:r>
        <w:rPr>
          <w:bCs/>
          <w:b/>
        </w:rPr>
        <w:t xml:space="preserve">État au 31/12/2025</w:t>
      </w:r>
      <w:r>
        <w:t xml:space="preserve"> </w:t>
      </w:r>
      <w:r>
        <w:t xml:space="preserve">[2] [V] : 61 actions (10 prioritaires) ;</w:t>
      </w:r>
      <w:r>
        <w:t xml:space="preserve"> </w:t>
      </w:r>
      <w:r>
        <w:rPr>
          <w:bCs/>
          <w:b/>
        </w:rPr>
        <w:t xml:space="preserve">6 achevées (2 prioritaires), 17 en cours (6), 38 en retard (2)</w:t>
      </w:r>
      <w:r>
        <w:t xml:space="preserve"> </w:t>
      </w:r>
      <w:r>
        <w:t xml:space="preserve">; statut de 52 actions non fourni. +17 856 personnes nouvellement électrifiées en 2025 (contre ~+178 000/an nécessaires pour la cible de 1,07 M [E]) ; cuisson et RE inchangées ; capital privé mobilisé +138 M US$ (total 158 M).</w:t>
      </w:r>
    </w:p>
    <w:bookmarkEnd w:id="322"/>
    <w:bookmarkStart w:id="323" w:name="lecture-critique-15"/>
    <w:p>
      <w:pPr>
        <w:pStyle w:val="Heading3"/>
      </w:pPr>
      <w:r>
        <w:t xml:space="preserve">6. Lecture critique</w:t>
      </w:r>
    </w:p>
    <w:p>
      <w:pPr>
        <w:numPr>
          <w:ilvl w:val="0"/>
          <w:numId w:val="1289"/>
        </w:numPr>
        <w:pStyle w:val="Compact"/>
      </w:pPr>
      <w:r>
        <w:t xml:space="preserve">Réalisme des cibles : la cible exige</w:t>
      </w:r>
      <w:r>
        <w:t xml:space="preserve"> </w:t>
      </w:r>
      <w:r>
        <w:rPr>
          <w:bCs/>
          <w:b/>
        </w:rPr>
        <w:t xml:space="preserve">45 300 raccordements/an</w:t>
      </w:r>
      <w:r>
        <w:t xml:space="preserve">, alors que le rythme réel des ménages au réseau est d’environ 8 000/an (2021-2024) [1] et que seules 17 856 personnes (≈ 4 000-5 000 ménages [E]) ont été électrifiées en 2025 [2] —</w:t>
      </w:r>
      <w:r>
        <w:t xml:space="preserve"> </w:t>
      </w:r>
      <w:r>
        <w:rPr>
          <w:bCs/>
          <w:b/>
        </w:rPr>
        <w:t xml:space="preserve">écart d’un facteur 5 à 10</w:t>
      </w:r>
      <w:r>
        <w:t xml:space="preserve"> </w:t>
      </w:r>
      <w:r>
        <w:t xml:space="preserve">[E]. L’accès rural (11,4 %) et la topographie montagneuse rendent l’universel 2030 très improbable [E]. La cible « 100 % renouvelable » est quasi atteinte mais trompeuse : ~90 % de l’énergie consommée est importée (charbon sud-africain notamment) [1] [E].</w:t>
      </w:r>
    </w:p>
    <w:p>
      <w:pPr>
        <w:numPr>
          <w:ilvl w:val="0"/>
          <w:numId w:val="1289"/>
        </w:numPr>
        <w:pStyle w:val="Compact"/>
      </w:pPr>
      <w:r>
        <w:t xml:space="preserve">Engagements tarifaires :</w:t>
      </w:r>
      <w:r>
        <w:t xml:space="preserve"> </w:t>
      </w:r>
      <w:r>
        <w:rPr>
          <w:bCs/>
          <w:b/>
        </w:rPr>
        <w:t xml:space="preserve">séquence claire et datée</w:t>
      </w:r>
      <w:r>
        <w:t xml:space="preserve"> </w:t>
      </w:r>
      <w:r>
        <w:t xml:space="preserve">(coût de service déc. 2025 → mécanisme automatique pluriannuel mars 2026 → ajustement semestriel et tarif social mai 2026) [1] [E] ; mais</w:t>
      </w:r>
      <w:r>
        <w:t xml:space="preserve"> </w:t>
      </w:r>
      <w:r>
        <w:rPr>
          <w:bCs/>
          <w:b/>
        </w:rPr>
        <w:t xml:space="preserve">aucun chiffre</w:t>
      </w:r>
      <w:r>
        <w:t xml:space="preserve"> </w:t>
      </w:r>
      <w:r>
        <w:t xml:space="preserve">(tarif, écart, subvention) — tout est renvoyé à l’étude de coût de service [1] [E]. Le recouvrement des créances publiques est identifié sans plan chiffré [E].</w:t>
      </w:r>
    </w:p>
    <w:p>
      <w:pPr>
        <w:numPr>
          <w:ilvl w:val="0"/>
          <w:numId w:val="1289"/>
        </w:numPr>
        <w:pStyle w:val="Compact"/>
      </w:pPr>
      <w:r>
        <w:t xml:space="preserve">Risques principaux : dépendance aux importations (Eskom/EDM) et au rand ; capacités limitées du régulateur LEWA et de l’administration ; retard législatif (Energy Bill) qui conditionne la plupart des réformes institutionnelles ; 38 actions sur 61 déjà en retard fin 2025 [2] ; états financiers de LEC en retard [2] [E].</w:t>
      </w:r>
    </w:p>
    <w:p>
      <w:pPr>
        <w:numPr>
          <w:ilvl w:val="0"/>
          <w:numId w:val="1289"/>
        </w:numPr>
        <w:pStyle w:val="Compact"/>
      </w:pPr>
      <w:r>
        <w:t xml:space="preserve">Points à approfondir : phase 2 — contenu du PIP et de la Turn Around Strategy de LEC, arriérés de l’État envers LEC, contrats d’importation Eskom/EDM ; phase 3 — résultats de l’étude de coût de service, décisions LEWA 2026, conception du tarif lifeline, impact tarifaire des PPA solaires [E].</w:t>
      </w:r>
    </w:p>
    <w:bookmarkEnd w:id="323"/>
    <w:bookmarkStart w:id="324" w:name="inconnus-données-non-trouvées-18"/>
    <w:p>
      <w:pPr>
        <w:pStyle w:val="Heading3"/>
      </w:pPr>
      <w:r>
        <w:t xml:space="preserve">7. Inconnus / données non trouvées</w:t>
      </w:r>
    </w:p>
    <w:p>
      <w:pPr>
        <w:numPr>
          <w:ilvl w:val="0"/>
          <w:numId w:val="1290"/>
        </w:numPr>
        <w:pStyle w:val="Compact"/>
      </w:pPr>
      <w:r>
        <w:t xml:space="preserve">[?] Signataire du pacte.</w:t>
      </w:r>
    </w:p>
    <w:p>
      <w:pPr>
        <w:numPr>
          <w:ilvl w:val="0"/>
          <w:numId w:val="1290"/>
        </w:numPr>
        <w:pStyle w:val="Compact"/>
      </w:pPr>
      <w:r>
        <w:t xml:space="preserve">[?] Tarif moyen actuel, niveau de subvention, écart tarifaire (renvoyés à l’étude de coût de service).</w:t>
      </w:r>
    </w:p>
    <w:p>
      <w:pPr>
        <w:numPr>
          <w:ilvl w:val="0"/>
          <w:numId w:val="1290"/>
        </w:numPr>
        <w:pStyle w:val="Compact"/>
      </w:pPr>
      <w:r>
        <w:t xml:space="preserve">[?] Montant des arriérés publics envers LEC.</w:t>
      </w:r>
    </w:p>
    <w:p>
      <w:pPr>
        <w:numPr>
          <w:ilvl w:val="0"/>
          <w:numId w:val="1290"/>
        </w:numPr>
        <w:pStyle w:val="Compact"/>
      </w:pPr>
      <w:r>
        <w:t xml:space="preserve">[?] Explication de la cible de capital privé de 6,7 Md US$ dans le rapport d’avancement vs 1,47 Md US$ dans le pacte.</w:t>
      </w:r>
    </w:p>
    <w:p>
      <w:pPr>
        <w:numPr>
          <w:ilvl w:val="0"/>
          <w:numId w:val="1290"/>
        </w:numPr>
        <w:pStyle w:val="Compact"/>
      </w:pPr>
      <w:r>
        <w:t xml:space="preserve">[?] Ventilation exacte du financement LREEAP (tableau extrait peu lisible).</w:t>
      </w:r>
    </w:p>
    <w:p>
      <w:pPr>
        <w:numPr>
          <w:ilvl w:val="0"/>
          <w:numId w:val="1290"/>
        </w:numPr>
        <w:pStyle w:val="Compact"/>
      </w:pPr>
      <w:r>
        <w:t xml:space="preserve">[?] Signification de « réduction de 20,9 % par an » des pertes AT&amp;C.</w:t>
      </w:r>
    </w:p>
    <w:bookmarkEnd w:id="324"/>
    <w:bookmarkStart w:id="325" w:name="sources-19"/>
    <w:p>
      <w:pPr>
        <w:pStyle w:val="Heading3"/>
      </w:pPr>
      <w:r>
        <w:t xml:space="preserve">Sources</w:t>
      </w:r>
    </w:p>
    <w:p>
      <w:pPr>
        <w:pStyle w:val="FirstParagraph"/>
      </w:pPr>
      <w:r>
        <w:t xml:space="preserve">[1] Gouvernement du Royaume du Lesotho, « National Energy Compact for the Kingdom of Lesotho », 2025 (présenté en septembre 2025), 44 p., anglais. https://www.worldbank.org/content/dam/theworldbankgroupasset/document/2026/m300-energy-compacts/Lesotho-National-Energy-Compact-Mission-300.pdf (consulté le 18/10/2026).</w:t>
      </w:r>
      <w:r>
        <w:t xml:space="preserve"> </w:t>
      </w:r>
      <w:r>
        <w:t xml:space="preserve">[2] Gouvernement du Lesotho (CDMU) / Mission 300, « Lesotho Compact Progress Report Q1 2026 », 8 p. https://www.worldbank.org/content/dam/theworldbankgroupasset/document/2026/m300-energy-compacts/progress-reports/lesotho_mission-300_compact-progress-report-_q12026.pdf (consulté le 18/10/2026).</w:t>
      </w:r>
      <w:r>
        <w:t xml:space="preserve"> </w:t>
      </w:r>
      <w:r>
        <w:t xml:space="preserve">[3] Banque mondiale, « National Energy Compacts ». https://www.worldbank.org/ext/en/energizingafrica/national-energy-compacts (consulté le 18/10/2026).</w:t>
      </w:r>
    </w:p>
    <w:p>
      <w:r>
        <w:br w:type="page"/>
      </w:r>
    </w:p>
    <w:bookmarkEnd w:id="325"/>
    <w:bookmarkEnd w:id="326"/>
    <w:bookmarkStart w:id="342" w:name="X1bfae444da44fd6f50c1db1324652e0bc0df81f"/>
    <w:p>
      <w:pPr>
        <w:pStyle w:val="Heading2"/>
      </w:pPr>
      <w:r>
        <w:t xml:space="preserve">Fiche pacte national de l’énergie — Madagascar</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327" w:name="métadonnées-19"/>
    <w:p>
      <w:pPr>
        <w:pStyle w:val="Heading3"/>
      </w:pPr>
      <w:r>
        <w:t xml:space="preserve">0. Métadonnées</w:t>
      </w:r>
    </w:p>
    <w:p>
      <w:pPr>
        <w:numPr>
          <w:ilvl w:val="0"/>
          <w:numId w:val="1291"/>
        </w:numPr>
        <w:pStyle w:val="Compact"/>
      </w:pPr>
      <w:r>
        <w:t xml:space="preserve">Cohorte / date de présentation : cohorte 1, janvier 2025, Sommet africain de l’énergie Mission 300, Dar es Salaam [V][2]. La page BM indique « January 2025 » [V][3].</w:t>
      </w:r>
    </w:p>
    <w:p>
      <w:pPr>
        <w:numPr>
          <w:ilvl w:val="0"/>
          <w:numId w:val="1291"/>
        </w:numPr>
        <w:pStyle w:val="Compact"/>
      </w:pPr>
      <w:r>
        <w:t xml:space="preserve">Document du pacte consulté : « Pacte Énergétique National pour Madagascar », 32 p., en français, PDF créé le 24/01/2025 (métadonnées). URL : https://www.worldbank.org/content/dam/theworldbankgroupasset/document/2026/m300-energy-compacts/Madagascar-M300-AES-Compact.pdf [V][1]</w:t>
      </w:r>
    </w:p>
    <w:p>
      <w:pPr>
        <w:numPr>
          <w:ilvl w:val="0"/>
          <w:numId w:val="1291"/>
        </w:numPr>
        <w:pStyle w:val="Compact"/>
      </w:pPr>
      <w:r>
        <w:t xml:space="preserve">Document complémentaire : « Madagascar Compact Progress Report Q1 2026 », mars 2026, en anglais, données de l’UMSP/CDMU mises à jour en février 2026 [V][2].</w:t>
      </w:r>
    </w:p>
    <w:p>
      <w:pPr>
        <w:numPr>
          <w:ilvl w:val="0"/>
          <w:numId w:val="1291"/>
        </w:numPr>
        <w:pStyle w:val="Compact"/>
      </w:pPr>
      <w:r>
        <w:t xml:space="preserve">Accès au texte intégral : oui (texte extrait avec pdftotext ; la mise en page en deux colonnes a été vérifiée en lecture brute).</w:t>
      </w:r>
    </w:p>
    <w:p>
      <w:pPr>
        <w:numPr>
          <w:ilvl w:val="0"/>
          <w:numId w:val="1291"/>
        </w:numPr>
        <w:pStyle w:val="Compact"/>
      </w:pPr>
      <w:r>
        <w:t xml:space="preserve">Opérateur national d’électricité : JIRAMA (Jiro sy Rano Malagasy), entreprise publique d’électricité et d’eau verticalement intégrée [V][1]. Agence d’électrification rurale : ADER [V][1].</w:t>
      </w:r>
    </w:p>
    <w:p>
      <w:pPr>
        <w:numPr>
          <w:ilvl w:val="0"/>
          <w:numId w:val="1291"/>
        </w:numPr>
        <w:pStyle w:val="Compact"/>
      </w:pPr>
      <w:r>
        <w:t xml:space="preserve">Régulateur : Office de Régulation de l’Électricité (ORE). La loi de 2017 (Code de l’électricité, CODELEC) crée l’ARELEC pour le remplacer, sous réserve d’un décret d’application qui reste à publier [V][1].</w:t>
      </w:r>
    </w:p>
    <w:p>
      <w:pPr>
        <w:numPr>
          <w:ilvl w:val="0"/>
          <w:numId w:val="1291"/>
        </w:numPr>
        <w:pStyle w:val="Compact"/>
      </w:pPr>
      <w:r>
        <w:t xml:space="preserve">Ministère : Ministère de l’Énergie et des Hydrocarbures (MEH) [V][1].</w:t>
      </w:r>
    </w:p>
    <w:bookmarkEnd w:id="327"/>
    <w:bookmarkStart w:id="328" w:name="situation-de-départ-selon-le-pacte-19"/>
    <w:p>
      <w:pPr>
        <w:pStyle w:val="Heading3"/>
      </w:pPr>
      <w:r>
        <w:t xml:space="preserve">1. Situation de départ (selon le pacte)</w:t>
      </w:r>
    </w:p>
    <w:p>
      <w:pPr>
        <w:numPr>
          <w:ilvl w:val="0"/>
          <w:numId w:val="1292"/>
        </w:numPr>
        <w:pStyle w:val="Compact"/>
      </w:pPr>
      <w:r>
        <w:t xml:space="preserve">Taux d’accès : national 36 % (2022) ; urbain 72 % ; rural 11 % (2022, système de suivi ODD 7) [V][1]. Le texte imprime « 364% » : c’est 36 % suivi de l’appel de note 4, coquille de mise en page [E].</w:t>
      </w:r>
    </w:p>
    <w:p>
      <w:pPr>
        <w:numPr>
          <w:ilvl w:val="0"/>
          <w:numId w:val="1292"/>
        </w:numPr>
        <w:pStyle w:val="Compact"/>
      </w:pPr>
      <w:r>
        <w:t xml:space="preserve">Population sans accès : « près de 19 millions » de personnes [V][1]. Au rythme actuel, environ 18 millions seraient encore sans accès en 2030 [V][1]. En 2022, 10,7 millions de personnes avaient accès, dont 80 % en ville [V][1].</w:t>
      </w:r>
    </w:p>
    <w:p>
      <w:pPr>
        <w:numPr>
          <w:ilvl w:val="0"/>
          <w:numId w:val="1292"/>
        </w:numPr>
        <w:pStyle w:val="Compact"/>
      </w:pPr>
      <w:r>
        <w:t xml:space="preserve">Base du rapport d’avancement : 12 100 000 personnes avec accès (base 2023) [V][2]. Ce chiffre diffère de celui du pacte (cf. §7).</w:t>
      </w:r>
    </w:p>
    <w:p>
      <w:pPr>
        <w:numPr>
          <w:ilvl w:val="0"/>
          <w:numId w:val="1292"/>
        </w:numPr>
        <w:pStyle w:val="Compact"/>
      </w:pPr>
      <w:r>
        <w:t xml:space="preserve">Capacité installée : 828 MW (2024), dont 241 MW JIRAMA et 587 MW privés ; 478 MW disponibles, soit moins de 60 % [V][1]. Production 2023 : environ 1 933 GWh, dont environ 50 % par des opérateurs thermiques en location ou IPP [V][1].</w:t>
      </w:r>
    </w:p>
    <w:p>
      <w:pPr>
        <w:numPr>
          <w:ilvl w:val="0"/>
          <w:numId w:val="1292"/>
        </w:numPr>
        <w:pStyle w:val="Compact"/>
      </w:pPr>
      <w:r>
        <w:t xml:space="preserve">Mix de production 2022 : 55 % thermique, 45 % renouvelable [V][1]. Hydroélectricité : environ 40–60 % selon l’hydrologie ; environ 240 MW hydro installés ; environ 50 MWc solaires raccordés [V][1].</w:t>
      </w:r>
    </w:p>
    <w:p>
      <w:pPr>
        <w:numPr>
          <w:ilvl w:val="0"/>
          <w:numId w:val="1292"/>
        </w:numPr>
        <w:pStyle w:val="Compact"/>
      </w:pPr>
      <w:r>
        <w:t xml:space="preserve">Réseau : 3 réseaux interconnectés (Antananarivo, Toamasina, Fianarantsoa ; le RIA représente environ 60 % de la consommation). La JIRAMA exploite 115 réseaux isolés. Le secteur privé exploite plus de 200 mini-réseaux et 2 000 nanoréseaux [V][1].</w:t>
      </w:r>
    </w:p>
    <w:p>
      <w:pPr>
        <w:numPr>
          <w:ilvl w:val="0"/>
          <w:numId w:val="1292"/>
        </w:numPr>
        <w:pStyle w:val="Compact"/>
      </w:pPr>
      <w:r>
        <w:t xml:space="preserve">JIRAMA : 638 719 clients (2023), dont 95 % résidentiels. Taux de recouvrement d’environ 80 % (2023). Pertes d’environ 30 % (moitié techniques, moitié commerciales et vols). Arriérés d’environ 400 M USD (2024) et déficit annuel d’environ 250 M USD [V][1]. Passif éventuel estimé à 100–200 M USD par an [V][1]. Prix moyen des IPP d’environ 0,28 USD/kWh [V][1].</w:t>
      </w:r>
    </w:p>
    <w:p>
      <w:pPr>
        <w:numPr>
          <w:ilvl w:val="0"/>
          <w:numId w:val="1292"/>
        </w:numPr>
        <w:pStyle w:val="Compact"/>
      </w:pPr>
      <w:r>
        <w:t xml:space="preserve">Accès à la cuisson propre : 14 % de la population, soit 4,1 millions de personnes (0,8 million de ménages, 2022). Moins de 1 % des ménages utilisent des combustibles propres (GPL, biogaz, électricité, bioéthanol) [V][1]. Le rapport d’avancement donne 12 % (base 2023) [V][2].</w:t>
      </w:r>
    </w:p>
    <w:bookmarkEnd w:id="328"/>
    <w:bookmarkStart w:id="329" w:name="cibles-2030-18"/>
    <w:p>
      <w:pPr>
        <w:pStyle w:val="Heading3"/>
      </w:pPr>
      <w:r>
        <w:t xml:space="preserve">2. Cibles 2030</w:t>
      </w:r>
    </w:p>
    <w:p>
      <w:pPr>
        <w:numPr>
          <w:ilvl w:val="0"/>
          <w:numId w:val="1293"/>
        </w:numPr>
        <w:pStyle w:val="Compact"/>
      </w:pPr>
      <w:r>
        <w:t xml:space="preserve">Accès à l’électricité : 80 % en 2030 (contre 36 % en 2022), soit +5,5 points par an entre 2023 et 2030 [V][1]. Cela représente 3,5 millions de nouveaux branchements, soit 17,7 millions de personnes [V][1] :</w:t>
      </w:r>
    </w:p>
    <w:p>
      <w:pPr>
        <w:numPr>
          <w:ilvl w:val="1"/>
          <w:numId w:val="1294"/>
        </w:numPr>
        <w:pStyle w:val="Compact"/>
      </w:pPr>
      <w:r>
        <w:t xml:space="preserve">20 % JIRAMA, soit 0,7 million de branchements ;</w:t>
      </w:r>
    </w:p>
    <w:p>
      <w:pPr>
        <w:numPr>
          <w:ilvl w:val="1"/>
          <w:numId w:val="1294"/>
        </w:numPr>
        <w:pStyle w:val="Compact"/>
      </w:pPr>
      <w:r>
        <w:t xml:space="preserve">80 % via systèmes solaires domestiques, nano-, mini- et métro-réseaux, soit 2,8 millions d’équivalents branchements [V][1].</w:t>
      </w:r>
    </w:p>
    <w:p>
      <w:pPr>
        <w:numPr>
          <w:ilvl w:val="0"/>
          <w:numId w:val="1000"/>
        </w:numPr>
        <w:pStyle w:val="Compact"/>
      </w:pPr>
      <w:r>
        <w:t xml:space="preserve">Le texte de la déclaration parle d’un gain moyen de 2,2 millions de personnes par an, dont environ 0,4 million via la JIRAMA et 1,8 million via le privé [V][1].</w:t>
      </w:r>
    </w:p>
    <w:p>
      <w:pPr>
        <w:numPr>
          <w:ilvl w:val="0"/>
          <w:numId w:val="1293"/>
        </w:numPr>
        <w:pStyle w:val="Compact"/>
      </w:pPr>
      <w:r>
        <w:t xml:space="preserve">Part des renouvelables : au moins 85 % en 2030, contre 45 % en moyenne sur 5 ans [V][1]. La Politique nationale de l’énergie (NPE) 2015-2030 ventile : 75 % hydro, 5 % solaire, 5 % éolien [V][1]. Capacité renouvelable ajoutée : 560 MW d’ici 2028 (solaire) et 893 MW cumulés (solaire et hydro) d’ici 2030 [V][1]. Le rapport d’avancement indique 51 % de renouvelables dans la production réseau en 2025 [V][2].</w:t>
      </w:r>
    </w:p>
    <w:p>
      <w:pPr>
        <w:numPr>
          <w:ilvl w:val="0"/>
          <w:numId w:val="1293"/>
        </w:numPr>
        <w:pStyle w:val="Compact"/>
      </w:pPr>
      <w:r>
        <w:t xml:space="preserve">Cuisson propre ou améliorée : 50 % en 2030, soit 3,5 millions de ménages (18 millions de personnes) ; environ 450 000 ménages par an [V][1]. Jalons : 8,6 millions de personnes en 2026, 12,4 millions en 2028, près de 18 millions en 2030 [V][1].</w:t>
      </w:r>
    </w:p>
    <w:p>
      <w:pPr>
        <w:numPr>
          <w:ilvl w:val="0"/>
          <w:numId w:val="1293"/>
        </w:numPr>
        <w:pStyle w:val="Compact"/>
      </w:pPr>
      <w:r>
        <w:t xml:space="preserve">Capitaux privés : environ 4,6 Md USD (base : environ 1,4 Md USD), complétés par 2 Md USD des partenaires et 0,6 Md USD de l’État, soit 7,2 Md USD au total [V][1].</w:t>
      </w:r>
    </w:p>
    <w:p>
      <w:pPr>
        <w:numPr>
          <w:ilvl w:val="0"/>
          <w:numId w:val="1293"/>
        </w:numPr>
        <w:pStyle w:val="Compact"/>
      </w:pPr>
      <w:r>
        <w:t xml:space="preserve">Autres cibles chiffrées :</w:t>
      </w:r>
    </w:p>
    <w:p>
      <w:pPr>
        <w:numPr>
          <w:ilvl w:val="1"/>
          <w:numId w:val="1295"/>
        </w:numPr>
        <w:pStyle w:val="Compact"/>
      </w:pPr>
      <w:r>
        <w:t xml:space="preserve">JIRAMA : recouvrement à 85 % en 2027 et plus de 90 % en 2030 (contre 60 % en 2018 et 80 % en 2023) [V][1] ;</w:t>
      </w:r>
    </w:p>
    <w:p>
      <w:pPr>
        <w:numPr>
          <w:ilvl w:val="1"/>
          <w:numId w:val="1295"/>
        </w:numPr>
        <w:pStyle w:val="Compact"/>
      </w:pPr>
      <w:r>
        <w:t xml:space="preserve">pertes techniques : 7 % en 2027 et 5 % en 2030 (contre 10 %) ; pertes commerciales et vols : 15 % en 2027 et moins de 10 % en 2030 (contre 20 %) [V][1] ;</w:t>
      </w:r>
    </w:p>
    <w:p>
      <w:pPr>
        <w:numPr>
          <w:ilvl w:val="1"/>
          <w:numId w:val="1295"/>
        </w:numPr>
        <w:pStyle w:val="Compact"/>
      </w:pPr>
      <w:r>
        <w:t xml:space="preserve">le texte de la déclaration indique par ailleurs des pertes totales inférieures à 16 % en 2030 [V][1] (cf. §7).</w:t>
      </w:r>
    </w:p>
    <w:bookmarkEnd w:id="329"/>
    <w:bookmarkStart w:id="336" w:name="réformes-promises-cœur-de-lanalyse-16"/>
    <w:p>
      <w:pPr>
        <w:pStyle w:val="Heading3"/>
      </w:pPr>
      <w:r>
        <w:t xml:space="preserve">3. Réformes promises (cœur de l’analyse)</w:t>
      </w:r>
    </w:p>
    <w:bookmarkStart w:id="330" w:name="tarifs-et-subventions-19"/>
    <w:p>
      <w:pPr>
        <w:pStyle w:val="Heading4"/>
      </w:pPr>
      <w:r>
        <w:t xml:space="preserve">3.1 Tarifs et subventions</w:t>
      </w:r>
    </w:p>
    <w:p>
      <w:pPr>
        <w:numPr>
          <w:ilvl w:val="0"/>
          <w:numId w:val="1296"/>
        </w:numPr>
        <w:pStyle w:val="Compact"/>
      </w:pPr>
      <w:r>
        <w:t xml:space="preserve">Approuver la méthodologie tarifaire (régime pluriannuel) et réviser la structure tarifaire, avec des tarifs sociaux réservés aux consommateurs vulnérables. Première application pour calculer le revenu requis de la JIRAMA d’ici déc. 2025 [V][1].</w:t>
      </w:r>
    </w:p>
    <w:p>
      <w:pPr>
        <w:numPr>
          <w:ilvl w:val="0"/>
          <w:numId w:val="1296"/>
        </w:numPr>
        <w:pStyle w:val="Compact"/>
      </w:pPr>
      <w:r>
        <w:t xml:space="preserve">Évaluer l’accessibilité financière (clients capables de payer un tarif reflétant les coûts d’exploitation, OPEX) d’ici déc. 2025 [V][1].</w:t>
      </w:r>
    </w:p>
    <w:p>
      <w:pPr>
        <w:numPr>
          <w:ilvl w:val="0"/>
          <w:numId w:val="1296"/>
        </w:numPr>
        <w:pStyle w:val="Compact"/>
      </w:pPr>
      <w:r>
        <w:t xml:space="preserve">Feuille de route de sortie des subventions pour les clients solvables d’ici juin 2025 ; tarifs couvrant totalement les coûts d’ici 2030 [V][1].</w:t>
      </w:r>
    </w:p>
    <w:p>
      <w:pPr>
        <w:numPr>
          <w:ilvl w:val="0"/>
          <w:numId w:val="1296"/>
        </w:numPr>
        <w:pStyle w:val="Compact"/>
      </w:pPr>
      <w:r>
        <w:t xml:space="preserve">Trajectoire tarifaire avec indexation pour couvrir les coûts d’exploitation et financiers. Décret à prendre sur l’indexation et l’ajustement des tarifs (CODELEC) [V][1].</w:t>
      </w:r>
    </w:p>
    <w:p>
      <w:pPr>
        <w:numPr>
          <w:ilvl w:val="0"/>
          <w:numId w:val="1296"/>
        </w:numPr>
        <w:pStyle w:val="Compact"/>
      </w:pPr>
      <w:r>
        <w:t xml:space="preserve">Régime fiscal adapté pour les IPP renouvelables afin de réduire le prix de vente à la JIRAMA. Modèle « à livre ouvert » pour les grands projets hydro : Volobe, Ranomafana, Sahofika [V][1].</w:t>
      </w:r>
    </w:p>
    <w:p>
      <w:pPr>
        <w:numPr>
          <w:ilvl w:val="0"/>
          <w:numId w:val="1296"/>
        </w:numPr>
        <w:pStyle w:val="Compact"/>
      </w:pPr>
      <w:r>
        <w:t xml:space="preserve">Le texte ne donne</w:t>
      </w:r>
      <w:r>
        <w:t xml:space="preserve"> </w:t>
      </w:r>
      <w:r>
        <w:rPr>
          <w:bCs/>
          <w:b/>
        </w:rPr>
        <w:t xml:space="preserve">aucun chiffre</w:t>
      </w:r>
      <w:r>
        <w:t xml:space="preserve"> </w:t>
      </w:r>
      <w:r>
        <w:t xml:space="preserve">de hausse tarifaire, de niveau cible du tarif moyen ou de montant de subvention [V : absence constatée][1].</w:t>
      </w:r>
    </w:p>
    <w:p>
      <w:pPr>
        <w:numPr>
          <w:ilvl w:val="0"/>
          <w:numId w:val="1296"/>
        </w:numPr>
        <w:pStyle w:val="Compact"/>
      </w:pPr>
      <w:r>
        <w:t xml:space="preserve">Rapport d’avancement : l’action « Approve the tariff methodology and structure » (échéance 31/12/2025) est</w:t>
      </w:r>
      <w:r>
        <w:t xml:space="preserve"> </w:t>
      </w:r>
      <w:r>
        <w:rPr>
          <w:bCs/>
          <w:b/>
        </w:rPr>
        <w:t xml:space="preserve">« Delayed »</w:t>
      </w:r>
      <w:r>
        <w:t xml:space="preserve"> </w:t>
      </w:r>
      <w:r>
        <w:t xml:space="preserve">[V][2].</w:t>
      </w:r>
    </w:p>
    <w:bookmarkEnd w:id="330"/>
    <w:bookmarkStart w:id="331" w:name="X98e15d6783baf564bcce7ade207b3beeb3e4ad7"/>
    <w:p>
      <w:pPr>
        <w:pStyle w:val="Heading4"/>
      </w:pPr>
      <w:r>
        <w:t xml:space="preserve">3.2 Opérateur (redressement, contrats de performance, pertes, recouvrement, compteurs)</w:t>
      </w:r>
    </w:p>
    <w:p>
      <w:pPr>
        <w:numPr>
          <w:ilvl w:val="0"/>
          <w:numId w:val="1297"/>
        </w:numPr>
        <w:pStyle w:val="Compact"/>
      </w:pPr>
      <w:r>
        <w:t xml:space="preserve">Harmoniser les textes régissant la JIRAMA avec les lois n° 2003-036 et 2014-014. Appuyer un plan de redressement. Signer un contrat de performance avec obligation de résultat [V][1].</w:t>
      </w:r>
    </w:p>
    <w:p>
      <w:pPr>
        <w:numPr>
          <w:ilvl w:val="0"/>
          <w:numId w:val="1297"/>
        </w:numPr>
        <w:pStyle w:val="Compact"/>
      </w:pPr>
      <w:r>
        <w:t xml:space="preserve">Publier les états financiers audités dans les 30 jours après leur approbation, depuis 2019 [V][1]. Le pacte indique que les états 2019-2022 ont été publiés en nov. 2024 et que ceux de 2023 sont attendus fin févr. 2025 [V][1].</w:t>
      </w:r>
    </w:p>
    <w:p>
      <w:pPr>
        <w:numPr>
          <w:ilvl w:val="0"/>
          <w:numId w:val="1297"/>
        </w:numPr>
        <w:pStyle w:val="Compact"/>
      </w:pPr>
      <w:r>
        <w:t xml:space="preserve">Système SCADA du RIA opérationnel d’ici déc. 2026. Cibles de pertes et de recouvrement : cf. §2 [V][1].</w:t>
      </w:r>
    </w:p>
    <w:p>
      <w:pPr>
        <w:numPr>
          <w:ilvl w:val="0"/>
          <w:numId w:val="1297"/>
        </w:numPr>
        <w:pStyle w:val="Compact"/>
      </w:pPr>
      <w:r>
        <w:t xml:space="preserve">Stratégie d’apurement de la dette de la JIRAMA (IPP, importateurs de carburant, fournisseurs) d’ici juin 2025 [V][1].</w:t>
      </w:r>
    </w:p>
    <w:p>
      <w:pPr>
        <w:numPr>
          <w:ilvl w:val="0"/>
          <w:numId w:val="1297"/>
        </w:numPr>
        <w:pStyle w:val="Compact"/>
      </w:pPr>
      <w:r>
        <w:t xml:space="preserve">Feuille de route de surveillance réglementaire de la performance de la JIRAMA d’ici juin 2025 [V][1].</w:t>
      </w:r>
    </w:p>
    <w:p>
      <w:pPr>
        <w:numPr>
          <w:ilvl w:val="0"/>
          <w:numId w:val="1297"/>
        </w:numPr>
        <w:pStyle w:val="Compact"/>
      </w:pPr>
      <w:r>
        <w:t xml:space="preserve">Hybridation et remplacement du thermique non rentable par des renouvelables, avec stockage par batteries [V][1].</w:t>
      </w:r>
    </w:p>
    <w:p>
      <w:pPr>
        <w:numPr>
          <w:ilvl w:val="0"/>
          <w:numId w:val="1297"/>
        </w:numPr>
        <w:pStyle w:val="Compact"/>
      </w:pPr>
      <w:r>
        <w:t xml:space="preserve">Réformes déjà engagées :</w:t>
      </w:r>
    </w:p>
    <w:p>
      <w:pPr>
        <w:numPr>
          <w:ilvl w:val="1"/>
          <w:numId w:val="1298"/>
        </w:numPr>
        <w:pStyle w:val="Compact"/>
      </w:pPr>
      <w:r>
        <w:t xml:space="preserve">DG international nommé le 1er mai 2024 et DAF fin oct. 2024 ;</w:t>
      </w:r>
    </w:p>
    <w:p>
      <w:pPr>
        <w:numPr>
          <w:ilvl w:val="1"/>
          <w:numId w:val="1298"/>
        </w:numPr>
        <w:pStyle w:val="Compact"/>
      </w:pPr>
      <w:r>
        <w:t xml:space="preserve">restructuration des arriérés ; revue des contrats d’achat d’électricité (CAE) thermiques ;</w:t>
      </w:r>
    </w:p>
    <w:p>
      <w:pPr>
        <w:numPr>
          <w:ilvl w:val="1"/>
          <w:numId w:val="1298"/>
        </w:numPr>
        <w:pStyle w:val="Compact"/>
      </w:pPr>
      <w:r>
        <w:t xml:space="preserve">décret sur le prépaiement des institutions publiques et généralisation des compteurs prépayés [V][1].</w:t>
      </w:r>
    </w:p>
    <w:p>
      <w:pPr>
        <w:numPr>
          <w:ilvl w:val="0"/>
          <w:numId w:val="1297"/>
        </w:numPr>
        <w:pStyle w:val="Compact"/>
      </w:pPr>
      <w:r>
        <w:t xml:space="preserve">Le gouvernement « envisage, si nécessaire, de soutenir la JIRAMA dans le paiement de ses factures » [V][1].</w:t>
      </w:r>
    </w:p>
    <w:bookmarkEnd w:id="331"/>
    <w:bookmarkStart w:id="332" w:name="régulation-et-gouvernance-13"/>
    <w:p>
      <w:pPr>
        <w:pStyle w:val="Heading4"/>
      </w:pPr>
      <w:r>
        <w:t xml:space="preserve">3.3 Régulation et gouvernance</w:t>
      </w:r>
    </w:p>
    <w:p>
      <w:pPr>
        <w:numPr>
          <w:ilvl w:val="0"/>
          <w:numId w:val="1299"/>
        </w:numPr>
        <w:pStyle w:val="Compact"/>
      </w:pPr>
      <w:r>
        <w:t xml:space="preserve">Adopter un plan national de production et de réseaux intégrant le Plan de développement au moindre coût (PDMC) actualisé d’ici déc. 2025. Appliquer le décret 2023-245 : procédures d’appel d’offres et traitement des offres spontanées [V][1].</w:t>
      </w:r>
    </w:p>
    <w:p>
      <w:pPr>
        <w:numPr>
          <w:ilvl w:val="0"/>
          <w:numId w:val="1299"/>
        </w:numPr>
        <w:pStyle w:val="Compact"/>
      </w:pPr>
      <w:r>
        <w:t xml:space="preserve">Renforcer les capacités de l’ADER, de l’ORE et du MEH d’ici déc. 2026 [V][1]. Opérationnaliser l’ARELEC (décret à publier) [V][1].</w:t>
      </w:r>
    </w:p>
    <w:p>
      <w:pPr>
        <w:numPr>
          <w:ilvl w:val="0"/>
          <w:numId w:val="1299"/>
        </w:numPr>
        <w:pStyle w:val="Compact"/>
      </w:pPr>
      <w:r>
        <w:t xml:space="preserve">Mettre à jour la Politique nationale de l’énergie d’ici fin 2025 [V][1].</w:t>
      </w:r>
    </w:p>
    <w:p>
      <w:pPr>
        <w:numPr>
          <w:ilvl w:val="0"/>
          <w:numId w:val="1299"/>
        </w:numPr>
        <w:pStyle w:val="Compact"/>
      </w:pPr>
      <w:r>
        <w:t xml:space="preserve">Stratégie nationale d’électrification et plateforme en ligne d’ici 2026. Stratégie de cuisson propre d’ici 2026 [V][1].</w:t>
      </w:r>
    </w:p>
    <w:p>
      <w:pPr>
        <w:numPr>
          <w:ilvl w:val="0"/>
          <w:numId w:val="1299"/>
        </w:numPr>
        <w:pStyle w:val="Compact"/>
      </w:pPr>
      <w:r>
        <w:t xml:space="preserve">Suivi : enquêtes MTF en 2026 et 2029 ; unité de suivi au MEH en 2025 ; rapport annuel dans les 90 jours suivant la fin d’année [V][1].</w:t>
      </w:r>
    </w:p>
    <w:p>
      <w:pPr>
        <w:numPr>
          <w:ilvl w:val="0"/>
          <w:numId w:val="1299"/>
        </w:numPr>
        <w:pStyle w:val="Compact"/>
      </w:pPr>
      <w:r>
        <w:t xml:space="preserve">Le pacte prévoit une « équipe spéciale de suivi au sein de la Présidence » [V][1].</w:t>
      </w:r>
    </w:p>
    <w:bookmarkEnd w:id="332"/>
    <w:bookmarkStart w:id="333" w:name="Xb6383db01a0b915de1611e7593c5368e4aa40fa"/>
    <w:p>
      <w:pPr>
        <w:pStyle w:val="Heading4"/>
      </w:pPr>
      <w:r>
        <w:t xml:space="preserve">3.4 Participation du privé (producteurs indépendants, concessions, hors réseau)</w:t>
      </w:r>
    </w:p>
    <w:p>
      <w:pPr>
        <w:numPr>
          <w:ilvl w:val="0"/>
          <w:numId w:val="1300"/>
        </w:numPr>
        <w:pStyle w:val="Compact"/>
      </w:pPr>
      <w:r>
        <w:t xml:space="preserve">Procédure simplifiée pour les mini-réseaux « spontanés » d’ici fin 2025. Contrat de concession type pour les grands mini-réseaux d’ici fin 2025 [V][1].</w:t>
      </w:r>
    </w:p>
    <w:p>
      <w:pPr>
        <w:numPr>
          <w:ilvl w:val="0"/>
          <w:numId w:val="1300"/>
        </w:numPr>
        <w:pStyle w:val="Compact"/>
      </w:pPr>
      <w:r>
        <w:t xml:space="preserve">Tarifs des mini-réseaux sous un seuil de capacité fixés selon le principe « acheteur consentant / vendeur consentant », si jugé approprié [V][1].</w:t>
      </w:r>
    </w:p>
    <w:p>
      <w:pPr>
        <w:numPr>
          <w:ilvl w:val="0"/>
          <w:numId w:val="1300"/>
        </w:numPr>
        <w:pStyle w:val="Compact"/>
      </w:pPr>
      <w:r>
        <w:t xml:space="preserve">Identifier d’ici fin 2025 des réseaux isolés de la JIRAMA concessibles. Approche « Scaling Mini Grid » avec la SFI d’ici 2026 [V][1].</w:t>
      </w:r>
    </w:p>
    <w:p>
      <w:pPr>
        <w:numPr>
          <w:ilvl w:val="0"/>
          <w:numId w:val="1300"/>
        </w:numPr>
        <w:pStyle w:val="Compact"/>
      </w:pPr>
      <w:r>
        <w:t xml:space="preserve">Financement basé sur les résultats (FBR) porté à 500 M USD d’ici 2027 et 1,4 Md USD d’ici 2030, pour débloquer 1,9 Md USD de dette et de fonds propres privés [V][1].</w:t>
      </w:r>
    </w:p>
    <w:p>
      <w:pPr>
        <w:numPr>
          <w:ilvl w:val="0"/>
          <w:numId w:val="1300"/>
        </w:numPr>
        <w:pStyle w:val="Compact"/>
      </w:pPr>
      <w:r>
        <w:t xml:space="preserve">Exonération des droits d’importation sur les équipements d’énergies renouvelables distribuées (ERD) et de cuisson propre, ou prise en charge par l’État jusqu’en 2030. Liste publiée en ligne [V][1].</w:t>
      </w:r>
    </w:p>
    <w:p>
      <w:pPr>
        <w:numPr>
          <w:ilvl w:val="0"/>
          <w:numId w:val="1300"/>
        </w:numPr>
        <w:pStyle w:val="Compact"/>
      </w:pPr>
      <w:r>
        <w:t xml:space="preserve">Mécanismes d’atténuation des risques définis fin 2025, mis en œuvre fin 2026. Garanties de paiement pour les obligations de la JIRAMA [V][1].</w:t>
      </w:r>
    </w:p>
    <w:p>
      <w:pPr>
        <w:numPr>
          <w:ilvl w:val="0"/>
          <w:numId w:val="1300"/>
        </w:numPr>
        <w:pStyle w:val="Compact"/>
      </w:pPr>
      <w:r>
        <w:t xml:space="preserve">Lettres d’autorisation pour les entreprises de cuisson propre, y compris pour les crédits carbone, d’ici 2025 [V][1].</w:t>
      </w:r>
    </w:p>
    <w:p>
      <w:pPr>
        <w:numPr>
          <w:ilvl w:val="0"/>
          <w:numId w:val="1300"/>
        </w:numPr>
        <w:pStyle w:val="Compact"/>
      </w:pPr>
      <w:r>
        <w:t xml:space="preserve">Le rapport d’avancement suit aussi une action sur le cadre des partenariats public-privé (PPP), ajoutée par l’UMSP : « Law, sector-specific implementing decree… », échéance 31/03/2027 [V][2].</w:t>
      </w:r>
    </w:p>
    <w:bookmarkEnd w:id="333"/>
    <w:bookmarkStart w:id="334" w:name="X8235272c03cea44ac347edd148c1b3209b0c090"/>
    <w:p>
      <w:pPr>
        <w:pStyle w:val="Heading4"/>
      </w:pPr>
      <w:r>
        <w:t xml:space="preserve">3.5 Intégration régionale (pools énergétiques, interconnexions)</w:t>
      </w:r>
    </w:p>
    <w:p>
      <w:pPr>
        <w:numPr>
          <w:ilvl w:val="0"/>
          <w:numId w:val="1301"/>
        </w:numPr>
        <w:pStyle w:val="Compact"/>
      </w:pPr>
      <w:r>
        <w:t xml:space="preserve">Pilier II déclaré « non applicable à Madagascar » (pays insulaire) [V][1][2].</w:t>
      </w:r>
    </w:p>
    <w:bookmarkEnd w:id="334"/>
    <w:bookmarkStart w:id="335" w:name="Xea57aadc89041b11b270edfce52aa7280cac36d"/>
    <w:p>
      <w:pPr>
        <w:pStyle w:val="Heading4"/>
      </w:pPr>
      <w:r>
        <w:t xml:space="preserve">3.6 Autres (fiscalité, foncier, local content)</w:t>
      </w:r>
    </w:p>
    <w:p>
      <w:pPr>
        <w:numPr>
          <w:ilvl w:val="0"/>
          <w:numId w:val="1302"/>
        </w:numPr>
        <w:pStyle w:val="Compact"/>
      </w:pPr>
      <w:r>
        <w:t xml:space="preserve">Réactiver et simplifier l’exonération fiscale sur les équipements d’électrification rurale renouvelable [V][1]. Réformes pour le marché commercial et industriel (C&amp;I) et l’interconnexion des autoproducteurs [V][1].</w:t>
      </w:r>
    </w:p>
    <w:p>
      <w:pPr>
        <w:numPr>
          <w:ilvl w:val="0"/>
          <w:numId w:val="1302"/>
        </w:numPr>
        <w:pStyle w:val="Compact"/>
      </w:pPr>
      <w:r>
        <w:t xml:space="preserve">Le pacte ne contient pas d’engagement chiffré sur le foncier ou le contenu local [V : absence constatée][1].</w:t>
      </w:r>
    </w:p>
    <w:bookmarkEnd w:id="335"/>
    <w:bookmarkEnd w:id="336"/>
    <w:bookmarkStart w:id="337" w:name="financement-19"/>
    <w:p>
      <w:pPr>
        <w:pStyle w:val="Heading3"/>
      </w:pPr>
      <w:r>
        <w:t xml:space="preserve">4. Financement</w:t>
      </w:r>
    </w:p>
    <w:p>
      <w:pPr>
        <w:numPr>
          <w:ilvl w:val="0"/>
          <w:numId w:val="1303"/>
        </w:numPr>
      </w:pPr>
      <w:r>
        <w:t xml:space="preserve">Besoin total : environ 7,2 Md USD d’ici 2030, soit 1,2 Md USD par an sur 6 ans [V][1]. Le tableau 1 donne un total de 7 159 M USD [V][1] :</w:t>
      </w:r>
    </w:p>
    <w:tbl>
      <w:tblPr>
        <w:tblStyle w:val="Table"/>
        <w:tblW w:type="auto" w:w="0"/>
        <w:tblLook w:firstRow="1" w:lastRow="0" w:firstColumn="0" w:lastColumn="0" w:noHBand="0" w:noVBand="0" w:val="0020"/>
        <w:jc w:val="start"/>
        <w:tblInd w:w="720" w:type="dxa"/>
      </w:tblPr>
      <w:tblGrid>
        <w:gridCol w:w="9041"/>
        <w:gridCol w:w="5528"/>
      </w:tblGrid>
      <w:tr>
        <w:trPr>
          <w:tblHeader w:val="true"/>
        </w:trPr>
        <w:tc>
          <w:tcPr>
            <w:tcW w:w="9041" w:type="dxa"/>
          </w:tcPr>
          <w:tcPr/>
          <w:p>
            <w:pPr>
              <w:pStyle w:val="Compact"/>
              <w:jc w:val="left"/>
            </w:pPr>
            <w:r>
              <w:t xml:space="preserve">Poste</w:t>
            </w:r>
          </w:p>
        </w:tc>
        <w:tc>
          <w:tcPr>
            <w:tcW w:w="5528" w:type="dxa"/>
          </w:tcPr>
          <w:tcPr/>
          <w:p>
            <w:pPr>
              <w:pStyle w:val="Compact"/>
              <w:jc w:val="left"/>
            </w:pPr>
            <w:r>
              <w:t xml:space="preserve">M USD</w:t>
            </w:r>
          </w:p>
        </w:tc>
      </w:tr>
      <w:tr>
        <w:tc>
          <w:tcPr>
            <w:tcW w:w="9041" w:type="dxa"/>
          </w:tcPr>
          <w:tcPr/>
          <w:p>
            <w:pPr>
              <w:pStyle w:val="Compact"/>
              <w:jc w:val="left"/>
            </w:pPr>
            <w:r>
              <w:t xml:space="preserve">Dette privée</w:t>
            </w:r>
          </w:p>
        </w:tc>
        <w:tc>
          <w:tcPr>
            <w:tcW w:w="5528" w:type="dxa"/>
          </w:tcPr>
          <w:tcPr/>
          <w:p>
            <w:pPr>
              <w:pStyle w:val="Compact"/>
              <w:jc w:val="left"/>
            </w:pPr>
            <w:r>
              <w:t xml:space="preserve">2 283</w:t>
            </w:r>
          </w:p>
        </w:tc>
      </w:tr>
      <w:tr>
        <w:tc>
          <w:tcPr>
            <w:tcW w:w="9041" w:type="dxa"/>
          </w:tcPr>
          <w:tcPr/>
          <w:p>
            <w:pPr>
              <w:pStyle w:val="Compact"/>
              <w:jc w:val="left"/>
            </w:pPr>
            <w:r>
              <w:t xml:space="preserve">Fonds propres privés</w:t>
            </w:r>
          </w:p>
        </w:tc>
        <w:tc>
          <w:tcPr>
            <w:tcW w:w="5528" w:type="dxa"/>
          </w:tcPr>
          <w:tcPr/>
          <w:p>
            <w:pPr>
              <w:pStyle w:val="Compact"/>
              <w:jc w:val="left"/>
            </w:pPr>
            <w:r>
              <w:t xml:space="preserve">2 283</w:t>
            </w:r>
          </w:p>
        </w:tc>
      </w:tr>
      <w:tr>
        <w:tc>
          <w:tcPr>
            <w:tcW w:w="9041" w:type="dxa"/>
          </w:tcPr>
          <w:tcPr/>
          <w:p>
            <w:pPr>
              <w:pStyle w:val="Compact"/>
              <w:jc w:val="left"/>
            </w:pPr>
            <w:r>
              <w:t xml:space="preserve">FBR</w:t>
            </w:r>
          </w:p>
        </w:tc>
        <w:tc>
          <w:tcPr>
            <w:tcW w:w="5528" w:type="dxa"/>
          </w:tcPr>
          <w:tcPr/>
          <w:p>
            <w:pPr>
              <w:pStyle w:val="Compact"/>
              <w:jc w:val="left"/>
            </w:pPr>
            <w:r>
              <w:t xml:space="preserve">1 372</w:t>
            </w:r>
          </w:p>
        </w:tc>
      </w:tr>
      <w:tr>
        <w:tc>
          <w:tcPr>
            <w:tcW w:w="9041" w:type="dxa"/>
          </w:tcPr>
          <w:tcPr/>
          <w:p>
            <w:pPr>
              <w:pStyle w:val="Compact"/>
              <w:jc w:val="left"/>
            </w:pPr>
            <w:r>
              <w:t xml:space="preserve">Public</w:t>
            </w:r>
          </w:p>
        </w:tc>
        <w:tc>
          <w:tcPr>
            <w:tcW w:w="5528" w:type="dxa"/>
          </w:tcPr>
          <w:tcPr/>
          <w:p>
            <w:pPr>
              <w:pStyle w:val="Compact"/>
              <w:jc w:val="left"/>
            </w:pPr>
            <w:r>
              <w:t xml:space="preserve">571</w:t>
            </w:r>
          </w:p>
        </w:tc>
      </w:tr>
      <w:tr>
        <w:tc>
          <w:tcPr>
            <w:tcW w:w="9041" w:type="dxa"/>
          </w:tcPr>
          <w:tcPr/>
          <w:p>
            <w:pPr>
              <w:pStyle w:val="Compact"/>
              <w:jc w:val="left"/>
            </w:pPr>
            <w:r>
              <w:t xml:space="preserve">Garanties</w:t>
            </w:r>
          </w:p>
        </w:tc>
        <w:tc>
          <w:tcPr>
            <w:tcW w:w="5528" w:type="dxa"/>
          </w:tcPr>
          <w:tcPr/>
          <w:p>
            <w:pPr>
              <w:pStyle w:val="Compact"/>
              <w:jc w:val="left"/>
            </w:pPr>
            <w:r>
              <w:t xml:space="preserve">651</w:t>
            </w:r>
          </w:p>
        </w:tc>
      </w:tr>
    </w:tbl>
    <w:p>
      <w:pPr>
        <w:numPr>
          <w:ilvl w:val="0"/>
          <w:numId w:val="1000"/>
        </w:numPr>
      </w:pPr>
      <w:r>
        <w:t xml:space="preserve">Ventilation par segment [V][1] :</w:t>
      </w:r>
    </w:p>
    <w:tbl>
      <w:tblPr>
        <w:tblStyle w:val="Table"/>
        <w:tblW w:type="auto" w:w="0"/>
        <w:tblLook w:firstRow="1" w:lastRow="0" w:firstColumn="0" w:lastColumn="0" w:noHBand="0" w:noVBand="0" w:val="0020"/>
        <w:jc w:val="start"/>
        <w:tblInd w:w="720" w:type="dxa"/>
      </w:tblPr>
      <w:tblGrid>
        <w:gridCol w:w="10518"/>
        <w:gridCol w:w="4051"/>
      </w:tblGrid>
      <w:tr>
        <w:trPr>
          <w:tblHeader w:val="true"/>
        </w:trPr>
        <w:tc>
          <w:tcPr>
            <w:tcW w:w="10518" w:type="dxa"/>
          </w:tcPr>
          <w:tcPr/>
          <w:p>
            <w:pPr>
              <w:pStyle w:val="Compact"/>
              <w:jc w:val="left"/>
            </w:pPr>
            <w:r>
              <w:t xml:space="preserve">Segment</w:t>
            </w:r>
          </w:p>
        </w:tc>
        <w:tc>
          <w:tcPr>
            <w:tcW w:w="4051" w:type="dxa"/>
          </w:tcPr>
          <w:tcPr/>
          <w:p>
            <w:pPr>
              <w:pStyle w:val="Compact"/>
              <w:jc w:val="left"/>
            </w:pPr>
            <w:r>
              <w:t xml:space="preserve">M USD</w:t>
            </w:r>
          </w:p>
        </w:tc>
      </w:tr>
      <w:tr>
        <w:tc>
          <w:tcPr>
            <w:tcW w:w="10518" w:type="dxa"/>
          </w:tcPr>
          <w:tcPr/>
          <w:p>
            <w:pPr>
              <w:pStyle w:val="Compact"/>
              <w:jc w:val="left"/>
            </w:pPr>
            <w:r>
              <w:t xml:space="preserve">Extension et densification du réseau</w:t>
            </w:r>
          </w:p>
        </w:tc>
        <w:tc>
          <w:tcPr>
            <w:tcW w:w="4051" w:type="dxa"/>
          </w:tcPr>
          <w:tcPr/>
          <w:p>
            <w:pPr>
              <w:pStyle w:val="Compact"/>
              <w:jc w:val="left"/>
            </w:pPr>
            <w:r>
              <w:t xml:space="preserve">1 216</w:t>
            </w:r>
          </w:p>
        </w:tc>
      </w:tr>
      <w:tr>
        <w:tc>
          <w:tcPr>
            <w:tcW w:w="10518" w:type="dxa"/>
          </w:tcPr>
          <w:tcPr/>
          <w:p>
            <w:pPr>
              <w:pStyle w:val="Compact"/>
              <w:jc w:val="left"/>
            </w:pPr>
            <w:r>
              <w:t xml:space="preserve">Kits solaires</w:t>
            </w:r>
          </w:p>
        </w:tc>
        <w:tc>
          <w:tcPr>
            <w:tcW w:w="4051" w:type="dxa"/>
          </w:tcPr>
          <w:tcPr/>
          <w:p>
            <w:pPr>
              <w:pStyle w:val="Compact"/>
              <w:jc w:val="left"/>
            </w:pPr>
            <w:r>
              <w:t xml:space="preserve">836</w:t>
            </w:r>
          </w:p>
        </w:tc>
      </w:tr>
      <w:tr>
        <w:tc>
          <w:tcPr>
            <w:tcW w:w="10518" w:type="dxa"/>
          </w:tcPr>
          <w:tcPr/>
          <w:p>
            <w:pPr>
              <w:pStyle w:val="Compact"/>
              <w:jc w:val="left"/>
            </w:pPr>
            <w:r>
              <w:t xml:space="preserve">Mini- et nanoréseaux</w:t>
            </w:r>
          </w:p>
        </w:tc>
        <w:tc>
          <w:tcPr>
            <w:tcW w:w="4051" w:type="dxa"/>
          </w:tcPr>
          <w:tcPr/>
          <w:p>
            <w:pPr>
              <w:pStyle w:val="Compact"/>
              <w:jc w:val="left"/>
            </w:pPr>
            <w:r>
              <w:t xml:space="preserve">1 550</w:t>
            </w:r>
          </w:p>
        </w:tc>
      </w:tr>
      <w:tr>
        <w:tc>
          <w:tcPr>
            <w:tcW w:w="10518" w:type="dxa"/>
          </w:tcPr>
          <w:tcPr/>
          <w:p>
            <w:pPr>
              <w:pStyle w:val="Compact"/>
              <w:jc w:val="left"/>
            </w:pPr>
            <w:r>
              <w:t xml:space="preserve">Production et transport</w:t>
            </w:r>
          </w:p>
        </w:tc>
        <w:tc>
          <w:tcPr>
            <w:tcW w:w="4051" w:type="dxa"/>
          </w:tcPr>
          <w:tcPr/>
          <w:p>
            <w:pPr>
              <w:pStyle w:val="Compact"/>
              <w:jc w:val="left"/>
            </w:pPr>
            <w:r>
              <w:t xml:space="preserve">3 239</w:t>
            </w:r>
          </w:p>
        </w:tc>
      </w:tr>
      <w:tr>
        <w:tc>
          <w:tcPr>
            <w:tcW w:w="10518" w:type="dxa"/>
          </w:tcPr>
          <w:tcPr/>
          <w:p>
            <w:pPr>
              <w:pStyle w:val="Compact"/>
              <w:jc w:val="left"/>
            </w:pPr>
            <w:r>
              <w:t xml:space="preserve">Cuisson</w:t>
            </w:r>
          </w:p>
        </w:tc>
        <w:tc>
          <w:tcPr>
            <w:tcW w:w="4051" w:type="dxa"/>
          </w:tcPr>
          <w:tcPr/>
          <w:p>
            <w:pPr>
              <w:pStyle w:val="Compact"/>
              <w:jc w:val="left"/>
            </w:pPr>
            <w:r>
              <w:t xml:space="preserve">319</w:t>
            </w:r>
          </w:p>
        </w:tc>
      </w:tr>
    </w:tbl>
    <w:p>
      <w:pPr>
        <w:numPr>
          <w:ilvl w:val="0"/>
          <w:numId w:val="1303"/>
        </w:numPr>
      </w:pPr>
      <w:r>
        <w:t xml:space="preserve">Répartition annoncée : « ratio 1:3:6 » (État : partenaires : privé) dans le préambule. Le §1.1 parle de 40 % public (10 % de ressources propres et 30 % via les partenaires) et 60 % privé [V][1]. Le tableau des objectifs donne 0,6 / 2 / 4,6 Md USD, soit environ 8 % / 28 % / 64 % [E, calcul][1].</w:t>
      </w:r>
    </w:p>
    <w:p>
      <w:pPr>
        <w:numPr>
          <w:ilvl w:val="0"/>
          <w:numId w:val="1303"/>
        </w:numPr>
      </w:pPr>
      <w:r>
        <w:t xml:space="preserve">Engagements cités (annexe I) [V][1] :</w:t>
      </w:r>
    </w:p>
    <w:tbl>
      <w:tblPr>
        <w:tblStyle w:val="Table"/>
        <w:tblW w:type="auto" w:w="0"/>
        <w:tblLook w:firstRow="1" w:lastRow="0" w:firstColumn="0" w:lastColumn="0" w:noHBand="0" w:noVBand="0" w:val="0020"/>
        <w:jc w:val="start"/>
        <w:tblInd w:w="720" w:type="dxa"/>
      </w:tblPr>
      <w:tblGrid>
        <w:gridCol w:w="2372"/>
        <w:gridCol w:w="5209"/>
        <w:gridCol w:w="5085"/>
        <w:gridCol w:w="1903"/>
      </w:tblGrid>
      <w:tr>
        <w:trPr>
          <w:tblHeader w:val="true"/>
        </w:trPr>
        <w:tc>
          <w:tcPr>
            <w:tcW w:w="2372" w:type="dxa"/>
          </w:tcPr>
          <w:tcPr/>
          <w:p>
            <w:pPr>
              <w:pStyle w:val="Compact"/>
              <w:jc w:val="left"/>
            </w:pPr>
            <w:r>
              <w:t xml:space="preserve">Partenaire</w:t>
            </w:r>
          </w:p>
        </w:tc>
        <w:tc>
          <w:tcPr>
            <w:tcW w:w="5209" w:type="dxa"/>
          </w:tcPr>
          <w:tcPr/>
          <w:p>
            <w:pPr>
              <w:pStyle w:val="Compact"/>
              <w:jc w:val="left"/>
            </w:pPr>
            <w:r>
              <w:t xml:space="preserve">Projet</w:t>
            </w:r>
          </w:p>
        </w:tc>
        <w:tc>
          <w:tcPr>
            <w:tcW w:w="5085" w:type="dxa"/>
          </w:tcPr>
          <w:tcPr/>
          <w:p>
            <w:pPr>
              <w:pStyle w:val="Compact"/>
              <w:jc w:val="left"/>
            </w:pPr>
            <w:r>
              <w:t xml:space="preserve">Montant</w:t>
            </w:r>
          </w:p>
        </w:tc>
        <w:tc>
          <w:tcPr>
            <w:tcW w:w="1903" w:type="dxa"/>
          </w:tcPr>
          <w:tcPr/>
          <w:p>
            <w:pPr>
              <w:pStyle w:val="Compact"/>
              <w:jc w:val="left"/>
            </w:pPr>
            <w:r>
              <w:t xml:space="preserve">Période</w:t>
            </w:r>
          </w:p>
        </w:tc>
      </w:tr>
      <w:tr>
        <w:tc>
          <w:tcPr>
            <w:tcW w:w="2372" w:type="dxa"/>
          </w:tcPr>
          <w:tcPr/>
          <w:p>
            <w:pPr>
              <w:pStyle w:val="Compact"/>
              <w:jc w:val="left"/>
            </w:pPr>
            <w:r>
              <w:t xml:space="preserve">BM</w:t>
            </w:r>
          </w:p>
        </w:tc>
        <w:tc>
          <w:tcPr>
            <w:tcW w:w="5209" w:type="dxa"/>
          </w:tcPr>
          <w:tcPr/>
          <w:p>
            <w:pPr>
              <w:pStyle w:val="Compact"/>
              <w:jc w:val="left"/>
            </w:pPr>
            <w:r>
              <w:t xml:space="preserve">DECIM</w:t>
            </w:r>
          </w:p>
        </w:tc>
        <w:tc>
          <w:tcPr>
            <w:tcW w:w="5085" w:type="dxa"/>
          </w:tcPr>
          <w:tcPr/>
          <w:p>
            <w:pPr>
              <w:pStyle w:val="Compact"/>
              <w:jc w:val="left"/>
            </w:pPr>
            <w:r>
              <w:t xml:space="preserve">375 M USD</w:t>
            </w:r>
          </w:p>
        </w:tc>
        <w:tc>
          <w:tcPr>
            <w:tcW w:w="1903" w:type="dxa"/>
          </w:tcPr>
          <w:tcPr/>
          <w:p>
            <w:pPr>
              <w:pStyle w:val="Compact"/>
              <w:jc w:val="left"/>
            </w:pPr>
            <w:r>
              <w:t xml:space="preserve">2023-2028</w:t>
            </w:r>
          </w:p>
        </w:tc>
      </w:tr>
      <w:tr>
        <w:tc>
          <w:tcPr>
            <w:tcW w:w="2372" w:type="dxa"/>
          </w:tcPr>
          <w:tcPr/>
          <w:p>
            <w:pPr>
              <w:pStyle w:val="Compact"/>
              <w:jc w:val="left"/>
            </w:pPr>
            <w:r>
              <w:t xml:space="preserve">BM</w:t>
            </w:r>
          </w:p>
        </w:tc>
        <w:tc>
          <w:tcPr>
            <w:tcW w:w="5209" w:type="dxa"/>
          </w:tcPr>
          <w:tcPr/>
          <w:p>
            <w:pPr>
              <w:pStyle w:val="Compact"/>
              <w:jc w:val="left"/>
            </w:pPr>
            <w:r>
              <w:t xml:space="preserve">LEAD</w:t>
            </w:r>
          </w:p>
        </w:tc>
        <w:tc>
          <w:tcPr>
            <w:tcW w:w="5085" w:type="dxa"/>
          </w:tcPr>
          <w:tcPr/>
          <w:p>
            <w:pPr>
              <w:pStyle w:val="Compact"/>
              <w:jc w:val="left"/>
            </w:pPr>
            <w:r>
              <w:t xml:space="preserve">150 M USD</w:t>
            </w:r>
          </w:p>
        </w:tc>
        <w:tc>
          <w:tcPr>
            <w:tcW w:w="1903" w:type="dxa"/>
          </w:tcPr>
          <w:tcPr/>
          <w:p>
            <w:pPr>
              <w:pStyle w:val="Compact"/>
              <w:jc w:val="left"/>
            </w:pPr>
            <w:r>
              <w:t xml:space="preserve">2019-juin 2025</w:t>
            </w:r>
          </w:p>
        </w:tc>
      </w:tr>
      <w:tr>
        <w:tc>
          <w:tcPr>
            <w:tcW w:w="2372" w:type="dxa"/>
          </w:tcPr>
          <w:tcPr/>
          <w:p>
            <w:pPr>
              <w:pStyle w:val="Compact"/>
              <w:jc w:val="left"/>
            </w:pPr>
            <w:r>
              <w:t xml:space="preserve">BAD</w:t>
            </w:r>
          </w:p>
        </w:tc>
        <w:tc>
          <w:tcPr>
            <w:tcW w:w="5209" w:type="dxa"/>
          </w:tcPr>
          <w:tcPr/>
          <w:p>
            <w:pPr>
              <w:pStyle w:val="Compact"/>
              <w:jc w:val="left"/>
            </w:pPr>
            <w:r>
              <w:t xml:space="preserve">PRIRTEM 1</w:t>
            </w:r>
          </w:p>
        </w:tc>
        <w:tc>
          <w:tcPr>
            <w:tcW w:w="5085" w:type="dxa"/>
          </w:tcPr>
          <w:tcPr/>
          <w:p>
            <w:pPr>
              <w:pStyle w:val="Compact"/>
              <w:jc w:val="left"/>
            </w:pPr>
            <w:r>
              <w:t xml:space="preserve">211,53 M USD</w:t>
            </w:r>
          </w:p>
        </w:tc>
        <w:tc>
          <w:tcPr>
            <w:tcW w:w="1903" w:type="dxa"/>
          </w:tcPr>
          <w:tcPr/>
          <w:p>
            <w:pPr>
              <w:pStyle w:val="Compact"/>
              <w:jc w:val="left"/>
            </w:pPr>
            <w:r>
              <w:t xml:space="preserve">—</w:t>
            </w:r>
          </w:p>
        </w:tc>
      </w:tr>
      <w:tr>
        <w:tc>
          <w:tcPr>
            <w:tcW w:w="2372" w:type="dxa"/>
          </w:tcPr>
          <w:tcPr/>
          <w:p>
            <w:pPr>
              <w:pStyle w:val="Compact"/>
              <w:jc w:val="left"/>
            </w:pPr>
            <w:r>
              <w:t xml:space="preserve">BAD</w:t>
            </w:r>
          </w:p>
        </w:tc>
        <w:tc>
          <w:tcPr>
            <w:tcW w:w="5209" w:type="dxa"/>
          </w:tcPr>
          <w:tcPr/>
          <w:p>
            <w:pPr>
              <w:pStyle w:val="Compact"/>
              <w:jc w:val="left"/>
            </w:pPr>
            <w:r>
              <w:t xml:space="preserve">PRIRTEM 2</w:t>
            </w:r>
          </w:p>
        </w:tc>
        <w:tc>
          <w:tcPr>
            <w:tcW w:w="5085" w:type="dxa"/>
          </w:tcPr>
          <w:tcPr/>
          <w:p>
            <w:pPr>
              <w:pStyle w:val="Compact"/>
              <w:jc w:val="left"/>
            </w:pPr>
            <w:r>
              <w:t xml:space="preserve">110,05 M USD</w:t>
            </w:r>
          </w:p>
        </w:tc>
        <w:tc>
          <w:tcPr>
            <w:tcW w:w="1903" w:type="dxa"/>
          </w:tcPr>
          <w:tcPr/>
          <w:p>
            <w:pPr>
              <w:pStyle w:val="Compact"/>
              <w:jc w:val="left"/>
            </w:pPr>
            <w:r>
              <w:t xml:space="preserve">—</w:t>
            </w:r>
          </w:p>
        </w:tc>
      </w:tr>
      <w:tr>
        <w:tc>
          <w:tcPr>
            <w:tcW w:w="2372" w:type="dxa"/>
          </w:tcPr>
          <w:tcPr/>
          <w:p>
            <w:pPr>
              <w:pStyle w:val="Compact"/>
              <w:jc w:val="left"/>
            </w:pPr>
            <w:r>
              <w:t xml:space="preserve">BAD</w:t>
            </w:r>
          </w:p>
        </w:tc>
        <w:tc>
          <w:tcPr>
            <w:tcW w:w="5209" w:type="dxa"/>
          </w:tcPr>
          <w:tcPr/>
          <w:p>
            <w:pPr>
              <w:pStyle w:val="Compact"/>
              <w:jc w:val="left"/>
            </w:pPr>
            <w:r>
              <w:t xml:space="preserve">Participation Sahofika</w:t>
            </w:r>
          </w:p>
        </w:tc>
        <w:tc>
          <w:tcPr>
            <w:tcW w:w="5085" w:type="dxa"/>
          </w:tcPr>
          <w:tcPr/>
          <w:p>
            <w:pPr>
              <w:pStyle w:val="Compact"/>
              <w:jc w:val="left"/>
            </w:pPr>
            <w:r>
              <w:t xml:space="preserve">31,92 M USD</w:t>
            </w:r>
          </w:p>
        </w:tc>
        <w:tc>
          <w:tcPr>
            <w:tcW w:w="1903" w:type="dxa"/>
          </w:tcPr>
          <w:tcPr/>
          <w:p>
            <w:pPr>
              <w:pStyle w:val="Compact"/>
              <w:jc w:val="left"/>
            </w:pPr>
            <w:r>
              <w:t xml:space="preserve">—</w:t>
            </w:r>
          </w:p>
        </w:tc>
      </w:tr>
      <w:tr>
        <w:tc>
          <w:tcPr>
            <w:tcW w:w="2372" w:type="dxa"/>
          </w:tcPr>
          <w:tcPr/>
          <w:p>
            <w:pPr>
              <w:pStyle w:val="Compact"/>
              <w:jc w:val="left"/>
            </w:pPr>
            <w:r>
              <w:t xml:space="preserve">BAD</w:t>
            </w:r>
          </w:p>
        </w:tc>
        <w:tc>
          <w:tcPr>
            <w:tcW w:w="5209" w:type="dxa"/>
          </w:tcPr>
          <w:tcPr/>
          <w:p>
            <w:pPr>
              <w:pStyle w:val="Compact"/>
              <w:jc w:val="left"/>
            </w:pPr>
            <w:r>
              <w:t xml:space="preserve">Garantie partielle de risque (PRG) Sahofika</w:t>
            </w:r>
          </w:p>
        </w:tc>
        <w:tc>
          <w:tcPr>
            <w:tcW w:w="5085" w:type="dxa"/>
          </w:tcPr>
          <w:tcPr/>
          <w:p>
            <w:pPr>
              <w:pStyle w:val="Compact"/>
              <w:jc w:val="left"/>
            </w:pPr>
            <w:r>
              <w:t xml:space="preserve">108,7 M USD</w:t>
            </w:r>
          </w:p>
        </w:tc>
        <w:tc>
          <w:tcPr>
            <w:tcW w:w="1903" w:type="dxa"/>
          </w:tcPr>
          <w:tcPr/>
          <w:p>
            <w:pPr>
              <w:pStyle w:val="Compact"/>
              <w:jc w:val="left"/>
            </w:pPr>
            <w:r>
              <w:t xml:space="preserve">—</w:t>
            </w:r>
          </w:p>
        </w:tc>
      </w:tr>
      <w:tr>
        <w:tc>
          <w:tcPr>
            <w:tcW w:w="2372" w:type="dxa"/>
          </w:tcPr>
          <w:tcPr/>
          <w:p>
            <w:pPr>
              <w:pStyle w:val="Compact"/>
              <w:jc w:val="left"/>
            </w:pPr>
            <w:r>
              <w:t xml:space="preserve">BAD</w:t>
            </w:r>
          </w:p>
        </w:tc>
        <w:tc>
          <w:tcPr>
            <w:tcW w:w="5209" w:type="dxa"/>
          </w:tcPr>
          <w:tcPr/>
          <w:p>
            <w:pPr>
              <w:pStyle w:val="Compact"/>
              <w:jc w:val="left"/>
            </w:pPr>
            <w:r>
              <w:t xml:space="preserve">PAGFRE</w:t>
            </w:r>
          </w:p>
        </w:tc>
        <w:tc>
          <w:tcPr>
            <w:tcW w:w="5085" w:type="dxa"/>
          </w:tcPr>
          <w:tcPr/>
          <w:p>
            <w:pPr>
              <w:pStyle w:val="Compact"/>
              <w:jc w:val="left"/>
            </w:pPr>
            <w:r>
              <w:t xml:space="preserve">66,5 M USD</w:t>
            </w:r>
          </w:p>
        </w:tc>
        <w:tc>
          <w:tcPr>
            <w:tcW w:w="1903" w:type="dxa"/>
          </w:tcPr>
          <w:tcPr/>
          <w:p>
            <w:pPr>
              <w:pStyle w:val="Compact"/>
              <w:jc w:val="left"/>
            </w:pPr>
            <w:r>
              <w:t xml:space="preserve">—</w:t>
            </w:r>
          </w:p>
        </w:tc>
      </w:tr>
      <w:tr>
        <w:tc>
          <w:tcPr>
            <w:tcW w:w="2372" w:type="dxa"/>
          </w:tcPr>
          <w:tcPr/>
          <w:p>
            <w:pPr>
              <w:pStyle w:val="Compact"/>
              <w:jc w:val="left"/>
            </w:pPr>
            <w:r>
              <w:t xml:space="preserve">Eximbank Chine</w:t>
            </w:r>
          </w:p>
        </w:tc>
        <w:tc>
          <w:tcPr>
            <w:tcW w:w="5209" w:type="dxa"/>
          </w:tcPr>
          <w:tcPr/>
          <w:p>
            <w:pPr>
              <w:pStyle w:val="Compact"/>
              <w:jc w:val="left"/>
            </w:pPr>
            <w:r>
              <w:t xml:space="preserve">Medium Ring Tanà</w:t>
            </w:r>
          </w:p>
        </w:tc>
        <w:tc>
          <w:tcPr>
            <w:tcW w:w="5085" w:type="dxa"/>
          </w:tcPr>
          <w:tcPr/>
          <w:p>
            <w:pPr>
              <w:pStyle w:val="Compact"/>
              <w:jc w:val="left"/>
            </w:pPr>
            <w:r>
              <w:t xml:space="preserve">177 M USD</w:t>
            </w:r>
          </w:p>
        </w:tc>
        <w:tc>
          <w:tcPr>
            <w:tcW w:w="1903" w:type="dxa"/>
          </w:tcPr>
          <w:tcPr/>
          <w:p>
            <w:pPr>
              <w:pStyle w:val="Compact"/>
              <w:jc w:val="left"/>
            </w:pPr>
            <w:r>
              <w:t xml:space="preserve">—</w:t>
            </w:r>
          </w:p>
        </w:tc>
      </w:tr>
      <w:tr>
        <w:tc>
          <w:tcPr>
            <w:tcW w:w="2372" w:type="dxa"/>
          </w:tcPr>
          <w:tcPr/>
          <w:p>
            <w:pPr>
              <w:pStyle w:val="Compact"/>
              <w:jc w:val="left"/>
            </w:pPr>
            <w:r>
              <w:t xml:space="preserve">—</w:t>
            </w:r>
          </w:p>
        </w:tc>
        <w:tc>
          <w:tcPr>
            <w:tcW w:w="5209" w:type="dxa"/>
          </w:tcPr>
          <w:tcPr/>
          <w:p>
            <w:pPr>
              <w:pStyle w:val="Compact"/>
              <w:jc w:val="left"/>
            </w:pPr>
            <w:r>
              <w:t xml:space="preserve">Ranomafana (64 MW)</w:t>
            </w:r>
          </w:p>
        </w:tc>
        <w:tc>
          <w:tcPr>
            <w:tcW w:w="5085" w:type="dxa"/>
          </w:tcPr>
          <w:tcPr/>
          <w:p>
            <w:pPr>
              <w:pStyle w:val="Compact"/>
              <w:jc w:val="left"/>
            </w:pPr>
            <w:r>
              <w:t xml:space="preserve">239 M USD</w:t>
            </w:r>
          </w:p>
        </w:tc>
        <w:tc>
          <w:tcPr>
            <w:tcW w:w="1903" w:type="dxa"/>
          </w:tcPr>
          <w:tcPr/>
          <w:p>
            <w:pPr>
              <w:pStyle w:val="Compact"/>
              <w:jc w:val="left"/>
            </w:pPr>
            <w:r>
              <w:t xml:space="preserve">—</w:t>
            </w:r>
          </w:p>
        </w:tc>
      </w:tr>
      <w:tr>
        <w:tc>
          <w:tcPr>
            <w:tcW w:w="2372" w:type="dxa"/>
          </w:tcPr>
          <w:tcPr/>
          <w:p>
            <w:pPr>
              <w:pStyle w:val="Compact"/>
              <w:jc w:val="left"/>
            </w:pPr>
            <w:r>
              <w:t xml:space="preserve">AFD</w:t>
            </w:r>
          </w:p>
        </w:tc>
        <w:tc>
          <w:tcPr>
            <w:tcW w:w="5209" w:type="dxa"/>
          </w:tcPr>
          <w:tcPr/>
          <w:p>
            <w:pPr>
              <w:pStyle w:val="Compact"/>
              <w:jc w:val="left"/>
            </w:pPr>
            <w:r>
              <w:t xml:space="preserve">ANGOVO</w:t>
            </w:r>
          </w:p>
        </w:tc>
        <w:tc>
          <w:tcPr>
            <w:tcW w:w="5085" w:type="dxa"/>
          </w:tcPr>
          <w:tcPr/>
          <w:p>
            <w:pPr>
              <w:pStyle w:val="Compact"/>
              <w:jc w:val="left"/>
            </w:pPr>
            <w:r>
              <w:t xml:space="preserve">22 M USD (prêt) + 8,6 M USD (don)</w:t>
            </w:r>
          </w:p>
        </w:tc>
        <w:tc>
          <w:tcPr>
            <w:tcW w:w="1903" w:type="dxa"/>
          </w:tcPr>
          <w:tcPr/>
          <w:p>
            <w:pPr>
              <w:pStyle w:val="Compact"/>
              <w:jc w:val="left"/>
            </w:pPr>
            <w:r>
              <w:t xml:space="preserve">—</w:t>
            </w:r>
          </w:p>
        </w:tc>
      </w:tr>
    </w:tbl>
    <w:p>
      <w:pPr>
        <w:numPr>
          <w:ilvl w:val="0"/>
          <w:numId w:val="1000"/>
        </w:numPr>
      </w:pPr>
      <w:r>
        <w:t xml:space="preserve">Autres engagements cités : SFI sur Volobe (121 MW, clôture financière prévue en déc. 2025) ; programme mini-réseaux BAD / BEI / UE / Eximbank Corée de 100 M USD [V][1].</w:t>
      </w:r>
    </w:p>
    <w:p>
      <w:pPr>
        <w:numPr>
          <w:ilvl w:val="0"/>
          <w:numId w:val="1303"/>
        </w:numPr>
      </w:pPr>
      <w:r>
        <w:t xml:space="preserve">Portefeuille des partenaires estimé à 1,15 Md USD, laissant un déficit de 6,1 Md USD [V][1]. Engagement de l’État : « près de 100 millions de dollars par an » pour l’accès jusqu’en 2030 [V][1].</w:t>
      </w:r>
    </w:p>
    <w:bookmarkEnd w:id="337"/>
    <w:bookmarkStart w:id="338" w:name="calendrier-et-suivi-19"/>
    <w:p>
      <w:pPr>
        <w:pStyle w:val="Heading3"/>
      </w:pPr>
      <w:r>
        <w:t xml:space="preserve">5. Calendrier et suivi</w:t>
      </w:r>
    </w:p>
    <w:p>
      <w:pPr>
        <w:numPr>
          <w:ilvl w:val="0"/>
          <w:numId w:val="1304"/>
        </w:numPr>
        <w:pStyle w:val="Compact"/>
      </w:pPr>
      <w:r>
        <w:t xml:space="preserve">Jalons datés [V][1] :</w:t>
      </w:r>
    </w:p>
    <w:p>
      <w:pPr>
        <w:numPr>
          <w:ilvl w:val="1"/>
          <w:numId w:val="1305"/>
        </w:numPr>
        <w:pStyle w:val="Compact"/>
      </w:pPr>
      <w:r>
        <w:t xml:space="preserve">juin 2025 : feuille de route de sortie des subventions, stratégie sur la dette de la JIRAMA, feuille de route de surveillance réglementaire ;</w:t>
      </w:r>
    </w:p>
    <w:p>
      <w:pPr>
        <w:numPr>
          <w:ilvl w:val="1"/>
          <w:numId w:val="1305"/>
        </w:numPr>
        <w:pStyle w:val="Compact"/>
      </w:pPr>
      <w:r>
        <w:t xml:space="preserve">déc. 2025 : plan national de production et de réseaux et PDMC, méthodologie tarifaire, évaluation d’accessibilité, procédures mini-réseaux, contrat de concession type ;</w:t>
      </w:r>
    </w:p>
    <w:p>
      <w:pPr>
        <w:numPr>
          <w:ilvl w:val="1"/>
          <w:numId w:val="1305"/>
        </w:numPr>
        <w:pStyle w:val="Compact"/>
      </w:pPr>
      <w:r>
        <w:t xml:space="preserve">2026 : stratégies d’électrification et de cuisson, Scaling Mini Grid, enquête MTF ;</w:t>
      </w:r>
    </w:p>
    <w:p>
      <w:pPr>
        <w:numPr>
          <w:ilvl w:val="1"/>
          <w:numId w:val="1305"/>
        </w:numPr>
        <w:pStyle w:val="Compact"/>
      </w:pPr>
      <w:r>
        <w:t xml:space="preserve">déc. 2026 : SCADA ;</w:t>
      </w:r>
    </w:p>
    <w:p>
      <w:pPr>
        <w:numPr>
          <w:ilvl w:val="1"/>
          <w:numId w:val="1305"/>
        </w:numPr>
        <w:pStyle w:val="Compact"/>
      </w:pPr>
      <w:r>
        <w:t xml:space="preserve">2027 : recouvrement à 85 %, FBR à 500 M USD ;</w:t>
      </w:r>
    </w:p>
    <w:p>
      <w:pPr>
        <w:numPr>
          <w:ilvl w:val="1"/>
          <w:numId w:val="1305"/>
        </w:numPr>
        <w:pStyle w:val="Compact"/>
      </w:pPr>
      <w:r>
        <w:t xml:space="preserve">2029 : enquête MTF ;</w:t>
      </w:r>
    </w:p>
    <w:p>
      <w:pPr>
        <w:numPr>
          <w:ilvl w:val="1"/>
          <w:numId w:val="1305"/>
        </w:numPr>
        <w:pStyle w:val="Compact"/>
      </w:pPr>
      <w:r>
        <w:t xml:space="preserve">2030 : cibles finales.</w:t>
      </w:r>
    </w:p>
    <w:p>
      <w:pPr>
        <w:numPr>
          <w:ilvl w:val="0"/>
          <w:numId w:val="1304"/>
        </w:numPr>
        <w:pStyle w:val="Compact"/>
      </w:pPr>
      <w:r>
        <w:t xml:space="preserve">Mécanisme de suivi : équipe spéciale à la Présidence, unité de suivi au MEH, rapports annuels [V][1]. Suivi Mission 300 via l’UMSP/CDMU, deux fois par an [V][2].</w:t>
      </w:r>
    </w:p>
    <w:p>
      <w:pPr>
        <w:numPr>
          <w:ilvl w:val="0"/>
          <w:numId w:val="1304"/>
        </w:numPr>
        <w:pStyle w:val="Compact"/>
      </w:pPr>
      <w:r>
        <w:t xml:space="preserve">État au 31/12/2025 (rapport d’avancement) : 43 actions au total (41 dans le pacte, plus 2 ajoutées par l’UMSP), dont 13 prioritaires. 5 achevées (aucune prioritaire), 24 en cours (dont 9 prioritaires, 2 « at risk » faute de visibilité sur le financement), 10 en retard (dont 4 prioritaires) [V][2]. Actions prioritaires en retard :</w:t>
      </w:r>
    </w:p>
    <w:p>
      <w:pPr>
        <w:numPr>
          <w:ilvl w:val="1"/>
          <w:numId w:val="1306"/>
        </w:numPr>
        <w:pStyle w:val="Compact"/>
      </w:pPr>
      <w:r>
        <w:t xml:space="preserve">plan national de production et de réseaux ;</w:t>
      </w:r>
    </w:p>
    <w:p>
      <w:pPr>
        <w:numPr>
          <w:ilvl w:val="1"/>
          <w:numId w:val="1306"/>
        </w:numPr>
        <w:pStyle w:val="Compact"/>
      </w:pPr>
      <w:r>
        <w:t xml:space="preserve">renforcement des capacités de l’ADER ;</w:t>
      </w:r>
    </w:p>
    <w:p>
      <w:pPr>
        <w:numPr>
          <w:ilvl w:val="1"/>
          <w:numId w:val="1306"/>
        </w:numPr>
        <w:pStyle w:val="Compact"/>
      </w:pPr>
      <w:r>
        <w:t xml:space="preserve">mise à jour de la politique de branchement ;</w:t>
      </w:r>
    </w:p>
    <w:p>
      <w:pPr>
        <w:numPr>
          <w:ilvl w:val="1"/>
          <w:numId w:val="1306"/>
        </w:numPr>
        <w:pStyle w:val="Compact"/>
      </w:pPr>
      <w:r>
        <w:t xml:space="preserve">méthodologie tarifaire [V][2].</w:t>
      </w:r>
    </w:p>
    <w:p>
      <w:pPr>
        <w:numPr>
          <w:ilvl w:val="0"/>
          <w:numId w:val="1304"/>
        </w:numPr>
        <w:pStyle w:val="Compact"/>
      </w:pPr>
      <w:r>
        <w:t xml:space="preserve">Données 2025 non transmises sauf la part des renouvelables (51 %). Le reste est annoncé pour le cycle de juin-juillet 2026 [V][2]. Le rapport de ce cycle n’a pas été trouvé sur la page BM au 18/10/2026 [?][3].</w:t>
      </w:r>
    </w:p>
    <w:bookmarkEnd w:id="338"/>
    <w:bookmarkStart w:id="339" w:name="lecture-critique-16"/>
    <w:p>
      <w:pPr>
        <w:pStyle w:val="Heading3"/>
      </w:pPr>
      <w:r>
        <w:t xml:space="preserve">6. Lecture critique</w:t>
      </w:r>
    </w:p>
    <w:p>
      <w:pPr>
        <w:numPr>
          <w:ilvl w:val="0"/>
          <w:numId w:val="1307"/>
        </w:numPr>
        <w:pStyle w:val="Compact"/>
      </w:pPr>
      <w:r>
        <w:rPr>
          <w:bCs/>
          <w:b/>
        </w:rPr>
        <w:t xml:space="preserve">Réalisme des cibles.</w:t>
      </w:r>
      <w:r>
        <w:t xml:space="preserve"> </w:t>
      </w:r>
      <w:r>
        <w:t xml:space="preserve">La cible d’accès suppose +5,5 points par an, contre +2,4 points par an sur 2017-2022 (et +1,7 point par an sur 2019-2022) [V][1] : un rythme 2,3 à 3,2 fois supérieur à la tendance [E]. Le pacte reconnaît que l’électrification « n’a pas réussi à dépasser la croissance de la population » [V][1]. La cible de cuisson (de 14 % à 50 %) demande une « croissance exponentielle » selon le pacte lui-même [V][1]. Passer de 45 % à 85 % de renouvelables suppose la mise en service de Volobe et Sahofika avant 2030 [E].</w:t>
      </w:r>
    </w:p>
    <w:p>
      <w:pPr>
        <w:numPr>
          <w:ilvl w:val="0"/>
          <w:numId w:val="1307"/>
        </w:numPr>
        <w:pStyle w:val="Compact"/>
      </w:pPr>
      <w:r>
        <w:rPr>
          <w:bCs/>
          <w:b/>
        </w:rPr>
        <w:t xml:space="preserve">Engagements tarifaires.</w:t>
      </w:r>
      <w:r>
        <w:t xml:space="preserve"> </w:t>
      </w:r>
      <w:r>
        <w:t xml:space="preserve">Leur architecture est précise (méthodologie pluriannuelle, tarifs sociaux, feuille de route de sortie des subventions, coûts couverts en 2030), mais</w:t>
      </w:r>
      <w:r>
        <w:t xml:space="preserve"> </w:t>
      </w:r>
      <w:r>
        <w:rPr>
          <w:bCs/>
          <w:b/>
        </w:rPr>
        <w:t xml:space="preserve">non chiffrée</w:t>
      </w:r>
      <w:r>
        <w:t xml:space="preserve"> </w:t>
      </w:r>
      <w:r>
        <w:t xml:space="preserve">: aucun tarif cible, aucune trajectoire en %, aucun montant de subvention [V][1]. Les échéances 2025 sont déjà manquées : méthodologie tarifaire « Delayed » [V][2].</w:t>
      </w:r>
    </w:p>
    <w:p>
      <w:pPr>
        <w:numPr>
          <w:ilvl w:val="0"/>
          <w:numId w:val="1307"/>
        </w:numPr>
        <w:pStyle w:val="Compact"/>
      </w:pPr>
      <w:r>
        <w:rPr>
          <w:bCs/>
          <w:b/>
        </w:rPr>
        <w:t xml:space="preserve">Risques principaux.</w:t>
      </w:r>
    </w:p>
    <w:p>
      <w:pPr>
        <w:numPr>
          <w:ilvl w:val="1"/>
          <w:numId w:val="1308"/>
        </w:numPr>
        <w:pStyle w:val="Compact"/>
      </w:pPr>
      <w:r>
        <w:t xml:space="preserve">Solvabilité de la JIRAMA : arriérés d’environ 400 M USD et déficit d’environ 250 M USD par an [V][1].</w:t>
      </w:r>
    </w:p>
    <w:p>
      <w:pPr>
        <w:numPr>
          <w:ilvl w:val="1"/>
          <w:numId w:val="1308"/>
        </w:numPr>
        <w:pStyle w:val="Compact"/>
      </w:pPr>
      <w:r>
        <w:t xml:space="preserve">Prix élevé des IPP (environ 0,28 USD/kWh) [V][1].</w:t>
      </w:r>
    </w:p>
    <w:p>
      <w:pPr>
        <w:numPr>
          <w:ilvl w:val="1"/>
          <w:numId w:val="1308"/>
        </w:numPr>
        <w:pStyle w:val="Compact"/>
      </w:pPr>
      <w:r>
        <w:t xml:space="preserve">Dépendance au FBR philanthropique (1,4 Md USD visés) [V][1].</w:t>
      </w:r>
    </w:p>
    <w:p>
      <w:pPr>
        <w:numPr>
          <w:ilvl w:val="1"/>
          <w:numId w:val="1308"/>
        </w:numPr>
        <w:pStyle w:val="Compact"/>
      </w:pPr>
      <w:r>
        <w:t xml:space="preserve">Grands projets hydroélectriques (délais) [E].</w:t>
      </w:r>
    </w:p>
    <w:p>
      <w:pPr>
        <w:numPr>
          <w:ilvl w:val="1"/>
          <w:numId w:val="1308"/>
        </w:numPr>
        <w:pStyle w:val="Compact"/>
      </w:pPr>
      <w:r>
        <w:t xml:space="preserve">Programme de distribution sociale de kits (« Hazavana ho Anao ») susceptible d’évincer le marché privé, risque cité par le pacte [V][1].</w:t>
      </w:r>
    </w:p>
    <w:p>
      <w:pPr>
        <w:numPr>
          <w:ilvl w:val="1"/>
          <w:numId w:val="1308"/>
        </w:numPr>
        <w:pStyle w:val="Compact"/>
      </w:pPr>
      <w:r>
        <w:t xml:space="preserve">Absence de données 2025 d’accès [V][2].</w:t>
      </w:r>
    </w:p>
    <w:p>
      <w:pPr>
        <w:numPr>
          <w:ilvl w:val="1"/>
          <w:numId w:val="1308"/>
        </w:numPr>
        <w:pStyle w:val="Compact"/>
      </w:pPr>
      <w:r>
        <w:t xml:space="preserve">Capacité institutionnelle : ARELEC non opérationnelle [V][1].</w:t>
      </w:r>
    </w:p>
    <w:p>
      <w:pPr>
        <w:numPr>
          <w:ilvl w:val="0"/>
          <w:numId w:val="1307"/>
        </w:numPr>
        <w:pStyle w:val="Compact"/>
      </w:pPr>
      <w:r>
        <w:rPr>
          <w:bCs/>
          <w:b/>
        </w:rPr>
        <w:t xml:space="preserve">Points à approfondir.</w:t>
      </w:r>
    </w:p>
    <w:p>
      <w:pPr>
        <w:numPr>
          <w:ilvl w:val="1"/>
          <w:numId w:val="1309"/>
        </w:numPr>
        <w:pStyle w:val="Compact"/>
      </w:pPr>
      <w:r>
        <w:t xml:space="preserve">Phase 2 (opérateur) : comptes audités 2023-2025 de la JIRAMA ; contrat de performance signé ou non ; plan de redressement ; état réel des pertes et du recouvrement ; SCADA.</w:t>
      </w:r>
    </w:p>
    <w:p>
      <w:pPr>
        <w:numPr>
          <w:ilvl w:val="1"/>
          <w:numId w:val="1309"/>
        </w:numPr>
        <w:pStyle w:val="Compact"/>
      </w:pPr>
      <w:r>
        <w:t xml:space="preserve">Phase 3 (tarifs) : méthodologie tarifaire de l’ORE ; tarif moyen actuel en Ar/kWh [?] ; montant des transferts de l’État ; grille sociale.</w:t>
      </w:r>
    </w:p>
    <w:bookmarkEnd w:id="339"/>
    <w:bookmarkStart w:id="340" w:name="inconnus-données-non-trouvées-19"/>
    <w:p>
      <w:pPr>
        <w:pStyle w:val="Heading3"/>
      </w:pPr>
      <w:r>
        <w:t xml:space="preserve">7. Inconnus / données non trouvées</w:t>
      </w:r>
    </w:p>
    <w:p>
      <w:pPr>
        <w:numPr>
          <w:ilvl w:val="0"/>
          <w:numId w:val="1310"/>
        </w:numPr>
        <w:pStyle w:val="Compact"/>
      </w:pPr>
      <w:r>
        <w:t xml:space="preserve">Tarif moyen de détail et coût moyen de service de la JIRAMA : [?] non trouvé dans le pacte.</w:t>
      </w:r>
    </w:p>
    <w:p>
      <w:pPr>
        <w:numPr>
          <w:ilvl w:val="0"/>
          <w:numId w:val="1310"/>
        </w:numPr>
        <w:pStyle w:val="Compact"/>
      </w:pPr>
      <w:r>
        <w:t xml:space="preserve">Montant annuel des subventions ou transferts de l’État à la JIRAMA : non chiffré, hormis un passif éventuel de 100–200 M USD par an [V][1] ; montant exact [?].</w:t>
      </w:r>
    </w:p>
    <w:p>
      <w:pPr>
        <w:numPr>
          <w:ilvl w:val="0"/>
          <w:numId w:val="1310"/>
        </w:numPr>
        <w:pStyle w:val="Compact"/>
      </w:pPr>
      <w:r>
        <w:t xml:space="preserve">Résultats d’accès et de cuisson 2025 : non fournis [V][2].</w:t>
      </w:r>
    </w:p>
    <w:p>
      <w:pPr>
        <w:numPr>
          <w:ilvl w:val="0"/>
          <w:numId w:val="1310"/>
        </w:numPr>
        <w:pStyle w:val="Compact"/>
      </w:pPr>
      <w:r>
        <w:rPr>
          <w:bCs/>
          <w:b/>
        </w:rPr>
        <w:t xml:space="preserve">Incohérences internes à signaler.</w:t>
      </w:r>
    </w:p>
    <w:p>
      <w:pPr>
        <w:numPr>
          <w:ilvl w:val="1"/>
          <w:numId w:val="1311"/>
        </w:numPr>
        <w:pStyle w:val="Compact"/>
      </w:pPr>
      <w:r>
        <w:t xml:space="preserve">Pertes totales « &lt; 16 % » (déclaration) contre 5 % techniques et &lt; 10 % commerciales (plan d’action), soit &lt; 15 % [E].</w:t>
      </w:r>
    </w:p>
    <w:p>
      <w:pPr>
        <w:numPr>
          <w:ilvl w:val="1"/>
          <w:numId w:val="1311"/>
        </w:numPr>
        <w:pStyle w:val="Compact"/>
      </w:pPr>
      <w:r>
        <w:t xml:space="preserve">Répartition du financement « 1:3:6 » contre « 40/60 » contre 0,6 / 2 / 4,6 Md USD [V][1].</w:t>
      </w:r>
    </w:p>
    <w:p>
      <w:pPr>
        <w:numPr>
          <w:ilvl w:val="1"/>
          <w:numId w:val="1311"/>
        </w:numPr>
        <w:pStyle w:val="Compact"/>
      </w:pPr>
      <w:r>
        <w:t xml:space="preserve">Baseline d’accès : 10,7 M personnes (2022, pacte) contre 12,1 M (2023, rapport d’avancement) [V][1][2].</w:t>
      </w:r>
    </w:p>
    <w:p>
      <w:pPr>
        <w:numPr>
          <w:ilvl w:val="1"/>
          <w:numId w:val="1311"/>
        </w:numPr>
        <w:pStyle w:val="Compact"/>
      </w:pPr>
      <w:r>
        <w:t xml:space="preserve">Cuisson propre : 14 % (2022) contre 12 % (2023) [V][1][2].</w:t>
      </w:r>
    </w:p>
    <w:p>
      <w:pPr>
        <w:numPr>
          <w:ilvl w:val="1"/>
          <w:numId w:val="1311"/>
        </w:numPr>
        <w:pStyle w:val="Compact"/>
      </w:pPr>
      <w:r>
        <w:t xml:space="preserve">L’encadré des cibles du rapport d’avancement annonce « 95 % » de renouvelables et « USD 20 billion » de capitaux privés, alors que le même rapport (tableau) et le pacte indiquent 85 % et +4,566 Md USD [V][2]. C’est probablement une erreur de modèle [E].</w:t>
      </w:r>
    </w:p>
    <w:p>
      <w:pPr>
        <w:numPr>
          <w:ilvl w:val="0"/>
          <w:numId w:val="1310"/>
        </w:numPr>
        <w:pStyle w:val="Compact"/>
      </w:pPr>
      <w:r>
        <w:t xml:space="preserve">Date du jour exact de présentation à Dar es Salaam : [?].</w:t>
      </w:r>
    </w:p>
    <w:bookmarkEnd w:id="340"/>
    <w:bookmarkStart w:id="341" w:name="sources-20"/>
    <w:p>
      <w:pPr>
        <w:pStyle w:val="Heading3"/>
      </w:pPr>
      <w:r>
        <w:t xml:space="preserve">Sources</w:t>
      </w:r>
    </w:p>
    <w:p>
      <w:pPr>
        <w:pStyle w:val="FirstParagraph"/>
      </w:pPr>
      <w:r>
        <w:t xml:space="preserve">[1] Gouvernement de Madagascar, « Pacte Énergétique National pour Madagascar », Mission 300, janv. 2025, 32 p. https://www.worldbank.org/content/dam/theworldbankgroupasset/document/2026/m300-energy-compacts/Madagascar-M300-AES-Compact.pdf (téléchargé le 18/10/2026)</w:t>
      </w:r>
      <w:r>
        <w:t xml:space="preserve"> </w:t>
      </w:r>
      <w:r>
        <w:t xml:space="preserve">[2] Gouvernement de Madagascar (CDMU), « Mission 300 Compact Progress Report — Second cycle of data collection 2025 — Madagascar », mars 2026. https://www.worldbank.org/content/dam/theworldbankgroupasset/document/2026/m300-energy-compacts/progress-reports/madagascar_mission-300_compact-progress-report_q12026.pdf (téléchargé le 18/10/2026)</w:t>
      </w:r>
      <w:r>
        <w:t xml:space="preserve"> </w:t>
      </w:r>
      <w:r>
        <w:t xml:space="preserve">[3] Banque mondiale, page « National Energy Compacts », https://www.worldbank.org/ext/en/energizingafrica/national-energy-compacts (consultée le 18/10/2026)</w:t>
      </w:r>
    </w:p>
    <w:p>
      <w:r>
        <w:br w:type="page"/>
      </w:r>
    </w:p>
    <w:bookmarkEnd w:id="341"/>
    <w:bookmarkEnd w:id="342"/>
    <w:bookmarkStart w:id="353" w:name="X3542ba8c56dd6f3de59187fa4d0111178605b66"/>
    <w:p>
      <w:pPr>
        <w:pStyle w:val="Heading2"/>
      </w:pPr>
      <w:r>
        <w:t xml:space="preserve">Fiche pacte national de l’énergie — Mozambique</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343" w:name="métadonnées-20"/>
    <w:p>
      <w:pPr>
        <w:pStyle w:val="Heading3"/>
      </w:pPr>
      <w:r>
        <w:t xml:space="preserve">0. Métadonnées</w:t>
      </w:r>
    </w:p>
    <w:p>
      <w:pPr>
        <w:numPr>
          <w:ilvl w:val="0"/>
          <w:numId w:val="1312"/>
        </w:numPr>
        <w:pStyle w:val="Compact"/>
      </w:pPr>
      <w:r>
        <w:t xml:space="preserve">Cohorte / date de présentation : page BM : «</w:t>
      </w:r>
      <w:r>
        <w:t xml:space="preserve"> </w:t>
      </w:r>
      <w:r>
        <w:rPr>
          <w:bCs/>
          <w:b/>
        </w:rPr>
        <w:t xml:space="preserve">Sep 2025</w:t>
      </w:r>
      <w:r>
        <w:t xml:space="preserve"> </w:t>
      </w:r>
      <w:r>
        <w:t xml:space="preserve">» [2] [V] — donc hors 1re cohorte de janvier 2025 ; probablement 2e cohorte présentée en septembre 2025 à New York (inférence à partir du rapport d’avancement du Lesotho, également daté « Sep 2025 ») [E]. Le texte du pacte ne porte</w:t>
      </w:r>
      <w:r>
        <w:t xml:space="preserve"> </w:t>
      </w:r>
      <w:r>
        <w:rPr>
          <w:bCs/>
          <w:b/>
        </w:rPr>
        <w:t xml:space="preserve">ni date, ni signataire</w:t>
      </w:r>
      <w:r>
        <w:t xml:space="preserve"> </w:t>
      </w:r>
      <w:r>
        <w:t xml:space="preserve">dans la version extraite [1] [V].</w:t>
      </w:r>
    </w:p>
    <w:p>
      <w:pPr>
        <w:numPr>
          <w:ilvl w:val="0"/>
          <w:numId w:val="1312"/>
        </w:numPr>
        <w:pStyle w:val="Compact"/>
      </w:pPr>
      <w:r>
        <w:t xml:space="preserve">Document consulté : « National Energy Compact for Mozambique » (#PoweringAfrica), 34 pages, anglais : https://www.worldbank.org/content/dam/theworldbankgroupasset/document/2026/m300-energy-compacts/Mozambique-National-Energy-Compact-Mission-300.pdf [1].</w:t>
      </w:r>
    </w:p>
    <w:p>
      <w:pPr>
        <w:numPr>
          <w:ilvl w:val="0"/>
          <w:numId w:val="1312"/>
        </w:numPr>
        <w:pStyle w:val="Compact"/>
      </w:pPr>
      <w:r>
        <w:t xml:space="preserve">Accès au texte intégral :</w:t>
      </w:r>
      <w:r>
        <w:t xml:space="preserve"> </w:t>
      </w:r>
      <w:r>
        <w:rPr>
          <w:bCs/>
          <w:b/>
        </w:rPr>
        <w:t xml:space="preserve">oui</w:t>
      </w:r>
      <w:r>
        <w:t xml:space="preserve"> </w:t>
      </w:r>
      <w:r>
        <w:t xml:space="preserve">[1] [V]. Aucun rapport d’avancement listé sur la page BM (oct. 2026) [2] [V].</w:t>
      </w:r>
    </w:p>
    <w:p>
      <w:pPr>
        <w:numPr>
          <w:ilvl w:val="0"/>
          <w:numId w:val="1312"/>
        </w:numPr>
        <w:pStyle w:val="Compact"/>
      </w:pPr>
      <w:r>
        <w:t xml:space="preserve">Opérateur(s) :</w:t>
      </w:r>
      <w:r>
        <w:t xml:space="preserve"> </w:t>
      </w:r>
      <w:r>
        <w:rPr>
          <w:bCs/>
          <w:b/>
        </w:rPr>
        <w:t xml:space="preserve">EDM</w:t>
      </w:r>
      <w:r>
        <w:t xml:space="preserve"> </w:t>
      </w:r>
      <w:r>
        <w:t xml:space="preserve">(Electricidade de Moçambique — transport, distribution et une large part de la production) ;</w:t>
      </w:r>
      <w:r>
        <w:t xml:space="preserve"> </w:t>
      </w:r>
      <w:r>
        <w:rPr>
          <w:bCs/>
          <w:b/>
        </w:rPr>
        <w:t xml:space="preserve">HCB</w:t>
      </w:r>
      <w:r>
        <w:t xml:space="preserve"> </w:t>
      </w:r>
      <w:r>
        <w:t xml:space="preserve">(Hidroeléctrica de Cahora Bassa, 2 075 MW, concession) ;</w:t>
      </w:r>
      <w:r>
        <w:t xml:space="preserve"> </w:t>
      </w:r>
      <w:r>
        <w:rPr>
          <w:bCs/>
          <w:b/>
        </w:rPr>
        <w:t xml:space="preserve">MOTRACO</w:t>
      </w:r>
      <w:r>
        <w:t xml:space="preserve"> </w:t>
      </w:r>
      <w:r>
        <w:t xml:space="preserve">(transporteur indépendant, détenu à parts égales par EDM, EEC (Eswatini) et Eskom) ;</w:t>
      </w:r>
      <w:r>
        <w:t xml:space="preserve"> </w:t>
      </w:r>
      <w:r>
        <w:rPr>
          <w:bCs/>
          <w:b/>
        </w:rPr>
        <w:t xml:space="preserve">FUNAE</w:t>
      </w:r>
      <w:r>
        <w:t xml:space="preserve"> </w:t>
      </w:r>
      <w:r>
        <w:t xml:space="preserve">(Fonds de l’énergie, mini-réseaux) [1] [V].</w:t>
      </w:r>
    </w:p>
    <w:p>
      <w:pPr>
        <w:numPr>
          <w:ilvl w:val="0"/>
          <w:numId w:val="1312"/>
        </w:numPr>
        <w:pStyle w:val="Compact"/>
      </w:pPr>
      <w:r>
        <w:t xml:space="preserve">Régulateur :</w:t>
      </w:r>
      <w:r>
        <w:t xml:space="preserve"> </w:t>
      </w:r>
      <w:r>
        <w:rPr>
          <w:bCs/>
          <w:b/>
        </w:rPr>
        <w:t xml:space="preserve">ARENE</w:t>
      </w:r>
      <w:r>
        <w:t xml:space="preserve"> </w:t>
      </w:r>
      <w:r>
        <w:t xml:space="preserve">(Autoridade Reguladora de Energia, créée en 2017 ; régulation économique dont tarifs) ; tutelle : MIREME [1] [V].</w:t>
      </w:r>
    </w:p>
    <w:bookmarkEnd w:id="343"/>
    <w:bookmarkStart w:id="344" w:name="situation-de-départ-selon-le-pacte-20"/>
    <w:p>
      <w:pPr>
        <w:pStyle w:val="Heading3"/>
      </w:pPr>
      <w:r>
        <w:t xml:space="preserve">1. Situation de départ (selon le pacte)</w:t>
      </w:r>
    </w:p>
    <w:p>
      <w:pPr>
        <w:numPr>
          <w:ilvl w:val="0"/>
          <w:numId w:val="1313"/>
        </w:numPr>
        <w:pStyle w:val="Compact"/>
      </w:pPr>
      <w:r>
        <w:t xml:space="preserve">Taux d’accès :</w:t>
      </w:r>
      <w:r>
        <w:t xml:space="preserve"> </w:t>
      </w:r>
      <w:r>
        <w:rPr>
          <w:bCs/>
          <w:b/>
        </w:rPr>
        <w:t xml:space="preserve">60,1 % (2024)</w:t>
      </w:r>
      <w:r>
        <w:t xml:space="preserve">, contre 31 % en 2018 [1] [V]. Répartition dans le préambule : 46 % réseau, 2 % mini-réseaux, 8 % SHS (soit 56 %, ne totalisant pas 60,1 %) [1] [V] ; annexe I :</w:t>
      </w:r>
      <w:r>
        <w:t xml:space="preserve"> </w:t>
      </w:r>
      <w:r>
        <w:rPr>
          <w:bCs/>
          <w:b/>
        </w:rPr>
        <w:t xml:space="preserve">60,2 % (50,6 % réseau, 9,6 % hors réseau)</w:t>
      </w:r>
      <w:r>
        <w:t xml:space="preserve"> </w:t>
      </w:r>
      <w:r>
        <w:t xml:space="preserve">[1] [V] — incohérence interne. Pas de ventilation urbain/rural chiffrée [?].</w:t>
      </w:r>
    </w:p>
    <w:p>
      <w:pPr>
        <w:numPr>
          <w:ilvl w:val="0"/>
          <w:numId w:val="1313"/>
        </w:numPr>
        <w:pStyle w:val="Compact"/>
      </w:pPr>
      <w:r>
        <w:t xml:space="preserve">Population sans accès : non chiffrée [?] ; population ≈ 33 M, &gt; 70 % rurale [1] [V].</w:t>
      </w:r>
    </w:p>
    <w:p>
      <w:pPr>
        <w:numPr>
          <w:ilvl w:val="0"/>
          <w:numId w:val="1313"/>
        </w:numPr>
        <w:pStyle w:val="Compact"/>
      </w:pPr>
      <w:r>
        <w:t xml:space="preserve">Capacité installée :</w:t>
      </w:r>
      <w:r>
        <w:t xml:space="preserve"> </w:t>
      </w:r>
      <w:r>
        <w:rPr>
          <w:bCs/>
          <w:b/>
        </w:rPr>
        <w:t xml:space="preserve">2 922 MW</w:t>
      </w:r>
      <w:r>
        <w:t xml:space="preserve"> </w:t>
      </w:r>
      <w:r>
        <w:t xml:space="preserve">(2024), dont hydro 2 193, gaz 454, solaire PV 98, autres 177 [1] [V] ; ailleurs « ≈ 2,9 GW : hydro 74 %, gaz 15 %, solaire 3 % » [1] [V].</w:t>
      </w:r>
      <w:r>
        <w:t xml:space="preserve"> </w:t>
      </w:r>
      <w:r>
        <w:rPr>
          <w:bCs/>
          <w:b/>
        </w:rPr>
        <w:t xml:space="preserve">Capacité disponible : 1 292 MW</w:t>
      </w:r>
      <w:r>
        <w:t xml:space="preserve"> </w:t>
      </w:r>
      <w:r>
        <w:t xml:space="preserve">[1] [V]. L’essentiel de Cahora Bassa est exporté vers l’Afrique du Sud (PPA long terme expirant en</w:t>
      </w:r>
      <w:r>
        <w:t xml:space="preserve"> </w:t>
      </w:r>
      <w:r>
        <w:rPr>
          <w:bCs/>
          <w:b/>
        </w:rPr>
        <w:t xml:space="preserve">2029</w:t>
      </w:r>
      <w:r>
        <w:t xml:space="preserve">) [1] [V]. Production 2024 : 9 049 146 MWh ; exports 2 209 712 MWh [1] [V]. Transport : 5 679 km HT dont 367 km en 400 kV [1] [V].</w:t>
      </w:r>
    </w:p>
    <w:p>
      <w:pPr>
        <w:numPr>
          <w:ilvl w:val="0"/>
          <w:numId w:val="1313"/>
        </w:numPr>
        <w:pStyle w:val="Compact"/>
      </w:pPr>
      <w:r>
        <w:t xml:space="preserve">Cuisson propre :</w:t>
      </w:r>
      <w:r>
        <w:t xml:space="preserve"> </w:t>
      </w:r>
      <w:r>
        <w:rPr>
          <w:bCs/>
          <w:b/>
        </w:rPr>
        <w:t xml:space="preserve">17 %</w:t>
      </w:r>
      <w:r>
        <w:t xml:space="preserve"> </w:t>
      </w:r>
      <w:r>
        <w:t xml:space="preserve">(14 % GPL + 3,4 % autres) [1] [V].</w:t>
      </w:r>
    </w:p>
    <w:p>
      <w:pPr>
        <w:numPr>
          <w:ilvl w:val="0"/>
          <w:numId w:val="1313"/>
        </w:numPr>
        <w:pStyle w:val="Compact"/>
      </w:pPr>
      <w:r>
        <w:t xml:space="preserve">Rythme récent : en 2024, &gt; 400 000 raccordements réseau (annexe : 412 363) et 140 000 hors réseau [1] [V].</w:t>
      </w:r>
    </w:p>
    <w:bookmarkEnd w:id="344"/>
    <w:bookmarkStart w:id="345" w:name="cibles-2030-19"/>
    <w:p>
      <w:pPr>
        <w:pStyle w:val="Heading3"/>
      </w:pPr>
      <w:r>
        <w:t xml:space="preserve">2. Cibles 2030</w:t>
      </w:r>
    </w:p>
    <w:p>
      <w:pPr>
        <w:numPr>
          <w:ilvl w:val="0"/>
          <w:numId w:val="1314"/>
        </w:numPr>
        <w:pStyle w:val="Compact"/>
      </w:pPr>
      <w:r>
        <w:t xml:space="preserve">Accès électricité :</w:t>
      </w:r>
      <w:r>
        <w:t xml:space="preserve"> </w:t>
      </w:r>
      <w:r>
        <w:rPr>
          <w:bCs/>
          <w:b/>
        </w:rPr>
        <w:t xml:space="preserve">100 % en 2030</w:t>
      </w:r>
      <w:r>
        <w:t xml:space="preserve"> </w:t>
      </w:r>
      <w:r>
        <w:t xml:space="preserve">;</w:t>
      </w:r>
      <w:r>
        <w:t xml:space="preserve"> </w:t>
      </w:r>
      <w:r>
        <w:rPr>
          <w:bCs/>
          <w:b/>
        </w:rPr>
        <w:t xml:space="preserve">4,9 millions</w:t>
      </w:r>
      <w:r>
        <w:t xml:space="preserve"> </w:t>
      </w:r>
      <w:r>
        <w:t xml:space="preserve">de nouveaux raccordements, soit</w:t>
      </w:r>
      <w:r>
        <w:t xml:space="preserve"> </w:t>
      </w:r>
      <w:r>
        <w:rPr>
          <w:bCs/>
          <w:b/>
        </w:rPr>
        <w:t xml:space="preserve">423 000/an réseau</w:t>
      </w:r>
      <w:r>
        <w:t xml:space="preserve"> </w:t>
      </w:r>
      <w:r>
        <w:t xml:space="preserve">et</w:t>
      </w:r>
      <w:r>
        <w:t xml:space="preserve"> </w:t>
      </w:r>
      <w:r>
        <w:rPr>
          <w:bCs/>
          <w:b/>
        </w:rPr>
        <w:t xml:space="preserve">435 000/an hors réseau</w:t>
      </w:r>
      <w:r>
        <w:t xml:space="preserve"> </w:t>
      </w:r>
      <w:r>
        <w:t xml:space="preserve">(résultats préliminaires du Plan intégré d’accès à l’énergie) ; mix cible 71 % réseau / 29 % hors réseau [1] [V].</w:t>
      </w:r>
    </w:p>
    <w:p>
      <w:pPr>
        <w:numPr>
          <w:ilvl w:val="0"/>
          <w:numId w:val="1314"/>
        </w:numPr>
        <w:pStyle w:val="Compact"/>
      </w:pPr>
      <w:r>
        <w:t xml:space="preserve">Part des renouvelables : de</w:t>
      </w:r>
      <w:r>
        <w:t xml:space="preserve"> </w:t>
      </w:r>
      <w:r>
        <w:rPr>
          <w:bCs/>
          <w:b/>
        </w:rPr>
        <w:t xml:space="preserve">78,4 % à 80,6 % en 2032</w:t>
      </w:r>
      <w:r>
        <w:t xml:space="preserve"> </w:t>
      </w:r>
      <w:r>
        <w:t xml:space="preserve">(et non 2030) [1] [V] ; capacité « renouvelable » de 2 922 à 6 073 MW en 2032 (hydro 4 344, PV 303, éolien 245,</w:t>
      </w:r>
      <w:r>
        <w:t xml:space="preserve"> </w:t>
      </w:r>
      <w:r>
        <w:rPr>
          <w:bCs/>
          <w:b/>
        </w:rPr>
        <w:t xml:space="preserve">gaz 1 004</w:t>
      </w:r>
      <w:r>
        <w:t xml:space="preserve">, autres 177) [1] [V] — le tableau classe le gaz dans la capacité « renouvelable », erreur ou convention à clarifier [E].</w:t>
      </w:r>
    </w:p>
    <w:p>
      <w:pPr>
        <w:numPr>
          <w:ilvl w:val="0"/>
          <w:numId w:val="1314"/>
        </w:numPr>
        <w:pStyle w:val="Compact"/>
      </w:pPr>
      <w:r>
        <w:t xml:space="preserve">Cuisson propre :</w:t>
      </w:r>
      <w:r>
        <w:t xml:space="preserve"> </w:t>
      </w:r>
      <w:r>
        <w:rPr>
          <w:bCs/>
          <w:b/>
        </w:rPr>
        <w:t xml:space="preserve">54 %</w:t>
      </w:r>
      <w:r>
        <w:t xml:space="preserve"> </w:t>
      </w:r>
      <w:r>
        <w:t xml:space="preserve">en 2030 (23 % GPL + 31 % autres), 4,5 millions de ménages ; GPL : 1,3 million de ménages [1] [V].</w:t>
      </w:r>
    </w:p>
    <w:p>
      <w:pPr>
        <w:numPr>
          <w:ilvl w:val="0"/>
          <w:numId w:val="1314"/>
        </w:numPr>
        <w:pStyle w:val="Compact"/>
      </w:pPr>
      <w:r>
        <w:t xml:space="preserve">Autres cibles :</w:t>
      </w:r>
    </w:p>
    <w:p>
      <w:pPr>
        <w:numPr>
          <w:ilvl w:val="1"/>
          <w:numId w:val="1315"/>
        </w:numPr>
        <w:pStyle w:val="Compact"/>
      </w:pPr>
      <w:r>
        <w:rPr>
          <w:bCs/>
          <w:b/>
        </w:rPr>
        <w:t xml:space="preserve">+3,1 GW</w:t>
      </w:r>
      <w:r>
        <w:t xml:space="preserve"> </w:t>
      </w:r>
      <w:r>
        <w:t xml:space="preserve">de capacité, dont Temane (450 MW gaz, 2026) et</w:t>
      </w:r>
      <w:r>
        <w:t xml:space="preserve"> </w:t>
      </w:r>
      <w:r>
        <w:rPr>
          <w:bCs/>
          <w:b/>
        </w:rPr>
        <w:t xml:space="preserve">Mphanda Nkuwa</w:t>
      </w:r>
      <w:r>
        <w:t xml:space="preserve"> </w:t>
      </w:r>
      <w:r>
        <w:t xml:space="preserve">(1 500 MW hydro, 2032 ; projet de ~5 Md US$ ; consortium EDF-TotalEnergies-Sumitomo ; bouclage financier visé fin 2027) [1] [V].</w:t>
      </w:r>
    </w:p>
    <w:p>
      <w:pPr>
        <w:numPr>
          <w:ilvl w:val="1"/>
          <w:numId w:val="1315"/>
        </w:numPr>
        <w:pStyle w:val="Compact"/>
      </w:pPr>
      <w:r>
        <w:t xml:space="preserve">Plus de</w:t>
      </w:r>
      <w:r>
        <w:t xml:space="preserve"> </w:t>
      </w:r>
      <w:r>
        <w:rPr>
          <w:bCs/>
          <w:b/>
        </w:rPr>
        <w:t xml:space="preserve">2 000 km</w:t>
      </w:r>
      <w:r>
        <w:t xml:space="preserve"> </w:t>
      </w:r>
      <w:r>
        <w:t xml:space="preserve">de lignes de transport ; dorsale 400 kV Nord-Centre-Sud d’ici 2030 [1] [V].</w:t>
      </w:r>
    </w:p>
    <w:p>
      <w:pPr>
        <w:numPr>
          <w:ilvl w:val="1"/>
          <w:numId w:val="1315"/>
        </w:numPr>
        <w:pStyle w:val="Compact"/>
      </w:pPr>
      <w:r>
        <w:t xml:space="preserve">Capital privé :</w:t>
      </w:r>
      <w:r>
        <w:t xml:space="preserve"> </w:t>
      </w:r>
      <w:r>
        <w:rPr>
          <w:bCs/>
          <w:b/>
        </w:rPr>
        <w:t xml:space="preserve">8 698 M US$</w:t>
      </w:r>
      <w:r>
        <w:t xml:space="preserve"> </w:t>
      </w:r>
      <w:r>
        <w:t xml:space="preserve">(horizon 2030 dans le tableau des cibles ; « d’ici 2032 » dans la déclaration) [1] [V].</w:t>
      </w:r>
    </w:p>
    <w:p>
      <w:pPr>
        <w:numPr>
          <w:ilvl w:val="1"/>
          <w:numId w:val="1315"/>
        </w:numPr>
        <w:pStyle w:val="Compact"/>
      </w:pPr>
      <w:r>
        <w:t xml:space="preserve">Hausse de 30 % de la participation des femmes dans le secteur [1] [V].</w:t>
      </w:r>
    </w:p>
    <w:bookmarkEnd w:id="345"/>
    <w:bookmarkStart w:id="347" w:name="réformes-promises-cœur-de-lanalyse-17"/>
    <w:p>
      <w:pPr>
        <w:pStyle w:val="Heading3"/>
      </w:pPr>
      <w:r>
        <w:t xml:space="preserve">3. Réformes promises (cœur de l’analyse)</w:t>
      </w:r>
    </w:p>
    <w:bookmarkStart w:id="346" w:name="tarifs-et-subventions-20"/>
    <w:p>
      <w:pPr>
        <w:pStyle w:val="Heading4"/>
      </w:pPr>
      <w:r>
        <w:t xml:space="preserve">3.1 Tarifs et subventions</w:t>
      </w:r>
    </w:p>
    <w:p>
      <w:pPr>
        <w:numPr>
          <w:ilvl w:val="0"/>
          <w:numId w:val="1316"/>
        </w:numPr>
        <w:pStyle w:val="Compact"/>
      </w:pPr>
      <w:r>
        <w:rPr>
          <w:bCs/>
          <w:b/>
        </w:rPr>
        <w:t xml:space="preserve">Appliquer la nouvelle méthodologie tarifaire reflétant les coûts approuvée en 2022</w:t>
      </w:r>
      <w:r>
        <w:t xml:space="preserve">, avec ajustements périodiques des niveaux tarifaires — échéance</w:t>
      </w:r>
      <w:r>
        <w:t xml:space="preserve"> </w:t>
      </w:r>
      <w:r>
        <w:rPr>
          <w:bCs/>
          <w:b/>
        </w:rPr>
        <w:t xml:space="preserve">2026</w:t>
      </w:r>
      <w:r>
        <w:t xml:space="preserve"> </w:t>
      </w:r>
      <w:r>
        <w:t xml:space="preserve">— « tout en protégeant les consommateurs à faible revenu » [1] [V].</w:t>
      </w:r>
    </w:p>
    <w:p>
      <w:pPr>
        <w:numPr>
          <w:ilvl w:val="0"/>
          <w:numId w:val="1316"/>
        </w:numPr>
        <w:pStyle w:val="Compact"/>
      </w:pPr>
      <w:r>
        <w:t xml:space="preserve">Diagnostic du pacte : tarifs révisés en 2018-2019 ; la méthodologie 2022 prévoit la</w:t>
      </w:r>
      <w:r>
        <w:t xml:space="preserve"> </w:t>
      </w:r>
      <w:r>
        <w:rPr>
          <w:bCs/>
          <w:b/>
        </w:rPr>
        <w:t xml:space="preserve">répercussion des coûts d’exploitation (inflation et change inclus)</w:t>
      </w:r>
      <w:r>
        <w:t xml:space="preserve"> </w:t>
      </w:r>
      <w:r>
        <w:t xml:space="preserve">mais «</w:t>
      </w:r>
      <w:r>
        <w:t xml:space="preserve"> </w:t>
      </w:r>
      <w:r>
        <w:rPr>
          <w:bCs/>
          <w:b/>
        </w:rPr>
        <w:t xml:space="preserve">n’a pas encore été appliquée</w:t>
      </w:r>
      <w:r>
        <w:t xml:space="preserve"> </w:t>
      </w:r>
      <w:r>
        <w:t xml:space="preserve">» ; sans elle, EDM reste exposée aux variations de change et de prix des combustibles sur ses achats d’électricité [1] [V].</w:t>
      </w:r>
    </w:p>
    <w:p>
      <w:pPr>
        <w:numPr>
          <w:ilvl w:val="0"/>
          <w:numId w:val="1316"/>
        </w:numPr>
        <w:pStyle w:val="Compact"/>
      </w:pPr>
      <w:r>
        <w:t xml:space="preserve">Tarif moyen, niveau de subvention, trajectoire de recouvrement :</w:t>
      </w:r>
      <w:r>
        <w:t xml:space="preserve"> </w:t>
      </w:r>
      <w:r>
        <w:rPr>
          <w:bCs/>
          <w:b/>
        </w:rPr>
        <w:t xml:space="preserve">non renseignés</w:t>
      </w:r>
      <w:r>
        <w:t xml:space="preserve"> </w:t>
      </w:r>
      <w:r>
        <w:t xml:space="preserve">dans l’annexe I [1] [V].</w:t>
      </w:r>
    </w:p>
    <w:p>
      <w:pPr>
        <w:numPr>
          <w:ilvl w:val="0"/>
          <w:numId w:val="1316"/>
        </w:numPr>
        <w:pStyle w:val="Compact"/>
      </w:pPr>
      <w:r>
        <w:t xml:space="preserve">Subventions à l’accès : gratuité des frais de raccordement pour tous les ménages (déjà en vigueur dans Energia Para Todos) ;</w:t>
      </w:r>
      <w:r>
        <w:t xml:space="preserve"> </w:t>
      </w:r>
      <w:r>
        <w:rPr>
          <w:bCs/>
          <w:b/>
        </w:rPr>
        <w:t xml:space="preserve">politique de raccordement gratuit pour écoles et centres de santé</w:t>
      </w:r>
      <w:r>
        <w:t xml:space="preserve"> </w:t>
      </w:r>
      <w:r>
        <w:t xml:space="preserve">à adopter « après évaluation de l’impact sur le secteur et des modes de compensation » ; financement basé sur les résultats (+ENERGIA, +SOL, EnDev, Brilho) ; subventions ciblées GPL pour les plus vulnérables [1] [V].</w:t>
      </w:r>
    </w:p>
    <w:p>
      <w:pPr>
        <w:numPr>
          <w:ilvl w:val="0"/>
          <w:numId w:val="1316"/>
        </w:numPr>
        <w:pStyle w:val="Compact"/>
      </w:pPr>
      <w:r>
        <w:rPr>
          <w:bCs/>
          <w:b/>
        </w:rPr>
        <w:t xml:space="preserve">Fonds d’électrification</w:t>
      </w:r>
      <w:r>
        <w:t xml:space="preserve"> </w:t>
      </w:r>
      <w:r>
        <w:t xml:space="preserve">opérationnalisé via une</w:t>
      </w:r>
      <w:r>
        <w:t xml:space="preserve"> </w:t>
      </w:r>
      <w:r>
        <w:rPr>
          <w:bCs/>
          <w:b/>
        </w:rPr>
        <w:t xml:space="preserve">taxe d’accès universel</w:t>
      </w:r>
      <w:r>
        <w:t xml:space="preserve"> </w:t>
      </w:r>
      <w:r>
        <w:t xml:space="preserve">(2027) ; renforcement de FUNAE comme gestionnaire de fonds (2028) [1] [V].</w:t>
      </w:r>
      <w:r>
        <w:t xml:space="preserve"> </w:t>
      </w:r>
      <w:r>
        <w:t xml:space="preserve">#### 3.2 Opérateur (redressement, contrats de performance, pertes, recouvrement, compteurs)</w:t>
      </w:r>
    </w:p>
    <w:p>
      <w:pPr>
        <w:numPr>
          <w:ilvl w:val="0"/>
          <w:numId w:val="1316"/>
        </w:numPr>
        <w:pStyle w:val="Compact"/>
      </w:pPr>
      <w:r>
        <w:rPr>
          <w:bCs/>
          <w:b/>
        </w:rPr>
        <w:t xml:space="preserve">Plan d’apurement des arriérés</w:t>
      </w:r>
      <w:r>
        <w:t xml:space="preserve"> </w:t>
      </w:r>
      <w:r>
        <w:t xml:space="preserve">d’EDM (tous les arriérés hérités) : nouvelle initiative de réduction annuelle puis apurement des arriérés envers les IPP et</w:t>
      </w:r>
      <w:r>
        <w:t xml:space="preserve"> </w:t>
      </w:r>
      <w:r>
        <w:rPr>
          <w:bCs/>
          <w:b/>
        </w:rPr>
        <w:t xml:space="preserve">HCB</w:t>
      </w:r>
      <w:r>
        <w:t xml:space="preserve"> </w:t>
      </w:r>
      <w:r>
        <w:t xml:space="preserve">(2025) [1] [V]. Montants cités :</w:t>
      </w:r>
      <w:r>
        <w:t xml:space="preserve"> </w:t>
      </w:r>
      <w:r>
        <w:rPr>
          <w:bCs/>
          <w:b/>
        </w:rPr>
        <w:t xml:space="preserve">≈ 137 M US$ dus aux IPP</w:t>
      </w:r>
      <w:r>
        <w:t xml:space="preserve"> </w:t>
      </w:r>
      <w:r>
        <w:t xml:space="preserve">et</w:t>
      </w:r>
      <w:r>
        <w:t xml:space="preserve"> </w:t>
      </w:r>
      <w:r>
        <w:rPr>
          <w:bCs/>
          <w:b/>
        </w:rPr>
        <w:t xml:space="preserve">351 M US$ à HCB</w:t>
      </w:r>
      <w:r>
        <w:t xml:space="preserve"> </w:t>
      </w:r>
      <w:r>
        <w:t xml:space="preserve">(en hausse) [1] [V].</w:t>
      </w:r>
    </w:p>
    <w:p>
      <w:pPr>
        <w:numPr>
          <w:ilvl w:val="0"/>
          <w:numId w:val="1316"/>
        </w:numPr>
        <w:pStyle w:val="Compact"/>
      </w:pPr>
      <w:r>
        <w:t xml:space="preserve">EDM doit atteindre</w:t>
      </w:r>
      <w:r>
        <w:t xml:space="preserve"> </w:t>
      </w:r>
      <w:r>
        <w:rPr>
          <w:bCs/>
          <w:b/>
        </w:rPr>
        <w:t xml:space="preserve">au moins 100 % de recouvrement des coûts d’exploitation (service de la dette inclus)</w:t>
      </w:r>
      <w:r>
        <w:t xml:space="preserve"> </w:t>
      </w:r>
      <w:r>
        <w:t xml:space="preserve">chaque année — atteint en 2023, à maintenir (2026) ; EDM est en position de recouvrement des coûts depuis 2021 (taux de change stable, allocation supplémentaire d’énergie HCB, ventes à l’export) [1] [V].</w:t>
      </w:r>
    </w:p>
    <w:p>
      <w:pPr>
        <w:numPr>
          <w:ilvl w:val="0"/>
          <w:numId w:val="1316"/>
        </w:numPr>
        <w:pStyle w:val="Compact"/>
      </w:pPr>
      <w:r>
        <w:t xml:space="preserve">Pertes : pertes totales réduites de</w:t>
      </w:r>
      <w:r>
        <w:t xml:space="preserve"> </w:t>
      </w:r>
      <w:r>
        <w:rPr>
          <w:bCs/>
          <w:b/>
        </w:rPr>
        <w:t xml:space="preserve">29 % à 24 %</w:t>
      </w:r>
      <w:r>
        <w:t xml:space="preserve"> </w:t>
      </w:r>
      <w:r>
        <w:t xml:space="preserve">; poursuite du Plan de réduction des pertes (LRP) ; mise à jour du LRP et du</w:t>
      </w:r>
      <w:r>
        <w:t xml:space="preserve"> </w:t>
      </w:r>
      <w:r>
        <w:rPr>
          <w:bCs/>
          <w:b/>
        </w:rPr>
        <w:t xml:space="preserve">Plan de renforcement financier (FSP)</w:t>
      </w:r>
      <w:r>
        <w:t xml:space="preserve"> </w:t>
      </w:r>
      <w:r>
        <w:t xml:space="preserve">en 2026 ; cartographie SIG des clients, compteurs intelligents pour gros clients (2028) [1] [V]. Annexe I : réduction des pertes AT&amp;C « 1,9 » par an (unité non précisée) [1] [V].</w:t>
      </w:r>
    </w:p>
    <w:p>
      <w:pPr>
        <w:numPr>
          <w:ilvl w:val="0"/>
          <w:numId w:val="1316"/>
        </w:numPr>
        <w:pStyle w:val="Compact"/>
      </w:pPr>
      <w:r>
        <w:t xml:space="preserve">Comptage :</w:t>
      </w:r>
      <w:r>
        <w:t xml:space="preserve"> </w:t>
      </w:r>
      <w:r>
        <w:rPr>
          <w:bCs/>
          <w:b/>
        </w:rPr>
        <w:t xml:space="preserve">3 613 779</w:t>
      </w:r>
      <w:r>
        <w:t xml:space="preserve"> </w:t>
      </w:r>
      <w:r>
        <w:t xml:space="preserve">compteurs à prépaiement [1] [V].</w:t>
      </w:r>
    </w:p>
    <w:p>
      <w:pPr>
        <w:numPr>
          <w:ilvl w:val="0"/>
          <w:numId w:val="1316"/>
        </w:numPr>
        <w:pStyle w:val="Compact"/>
      </w:pPr>
      <w:r>
        <w:t xml:space="preserve">Publication régulière des</w:t>
      </w:r>
      <w:r>
        <w:t xml:space="preserve"> </w:t>
      </w:r>
      <w:r>
        <w:rPr>
          <w:bCs/>
          <w:b/>
        </w:rPr>
        <w:t xml:space="preserve">états financiers audités</w:t>
      </w:r>
      <w:r>
        <w:t xml:space="preserve"> </w:t>
      </w:r>
      <w:r>
        <w:t xml:space="preserve">par un cabinet réputé (en continu) [1] [V].</w:t>
      </w:r>
    </w:p>
    <w:p>
      <w:pPr>
        <w:numPr>
          <w:ilvl w:val="0"/>
          <w:numId w:val="1316"/>
        </w:numPr>
        <w:pStyle w:val="Compact"/>
      </w:pPr>
      <w:r>
        <w:t xml:space="preserve">Normes techniques et procédures d’achat optimisées pour T&amp;D, résilience climatique (2026) [1] [V].</w:t>
      </w:r>
    </w:p>
    <w:p>
      <w:pPr>
        <w:numPr>
          <w:ilvl w:val="0"/>
          <w:numId w:val="1316"/>
        </w:numPr>
        <w:pStyle w:val="Compact"/>
      </w:pPr>
      <w:r>
        <w:t xml:space="preserve">Ventes +9 % et revenus +12 % entre 2023 et 2024 [1] [V].</w:t>
      </w:r>
      <w:r>
        <w:t xml:space="preserve"> </w:t>
      </w:r>
      <w:r>
        <w:t xml:space="preserve">#### 3.3 Régulation et gouvernance</w:t>
      </w:r>
    </w:p>
    <w:p>
      <w:pPr>
        <w:numPr>
          <w:ilvl w:val="0"/>
          <w:numId w:val="1316"/>
        </w:numPr>
        <w:pStyle w:val="Compact"/>
      </w:pPr>
      <w:r>
        <w:t xml:space="preserve">Mise à jour du</w:t>
      </w:r>
      <w:r>
        <w:t xml:space="preserve"> </w:t>
      </w:r>
      <w:r>
        <w:rPr>
          <w:bCs/>
          <w:b/>
        </w:rPr>
        <w:t xml:space="preserve">Plan directeur électrique</w:t>
      </w:r>
      <w:r>
        <w:t xml:space="preserve"> </w:t>
      </w:r>
      <w:r>
        <w:t xml:space="preserve">au moindre coût, adopté par règlement, avec mises à jour périodiques (2026) [1] [V].</w:t>
      </w:r>
    </w:p>
    <w:p>
      <w:pPr>
        <w:numPr>
          <w:ilvl w:val="0"/>
          <w:numId w:val="1316"/>
        </w:numPr>
        <w:pStyle w:val="Compact"/>
      </w:pPr>
      <w:r>
        <w:t xml:space="preserve">Règlement d’application de la</w:t>
      </w:r>
      <w:r>
        <w:t xml:space="preserve"> </w:t>
      </w:r>
      <w:r>
        <w:rPr>
          <w:bCs/>
          <w:b/>
        </w:rPr>
        <w:t xml:space="preserve">loi sur l’électricité 12/2022</w:t>
      </w:r>
      <w:r>
        <w:t xml:space="preserve"> </w:t>
      </w:r>
      <w:r>
        <w:t xml:space="preserve">imposant l’attribution concurrentielle des investissements privés en renouvelables (2025) [1] [V].</w:t>
      </w:r>
    </w:p>
    <w:p>
      <w:pPr>
        <w:numPr>
          <w:ilvl w:val="0"/>
          <w:numId w:val="1316"/>
        </w:numPr>
        <w:pStyle w:val="Compact"/>
      </w:pPr>
      <w:r>
        <w:rPr>
          <w:bCs/>
          <w:b/>
        </w:rPr>
        <w:t xml:space="preserve">Opérateur système et marché</w:t>
      </w:r>
      <w:r>
        <w:t xml:space="preserve"> </w:t>
      </w:r>
      <w:r>
        <w:t xml:space="preserve">: plan d’action pour opérationnaliser l’opérateur système puis le rendre indépendant (2026) ; statut organique de la structure institutionnelle et du marché à approuver en Conseil des ministres (2028) ; Centre national de contrôle et centres régionaux (2028) [1] [V].</w:t>
      </w:r>
    </w:p>
    <w:p>
      <w:pPr>
        <w:numPr>
          <w:ilvl w:val="0"/>
          <w:numId w:val="1316"/>
        </w:numPr>
        <w:pStyle w:val="Compact"/>
      </w:pPr>
      <w:r>
        <w:t xml:space="preserve">Stratégie nationale d’électrification actualisée (2027) sur la base du Plan intégré d’accès (2026) ; CDMU logée à l’UIPCE (MIREME) ; plateforme numérique de suivi fondée sur le MTF [1] [V].</w:t>
      </w:r>
    </w:p>
    <w:p>
      <w:pPr>
        <w:numPr>
          <w:ilvl w:val="0"/>
          <w:numId w:val="1316"/>
        </w:numPr>
        <w:pStyle w:val="Compact"/>
      </w:pPr>
      <w:r>
        <w:t xml:space="preserve">Efficacité énergétique : MEPS (2026), étiquette énergie (2027), révision du code réseau (2028) [1] [V].</w:t>
      </w:r>
      <w:r>
        <w:t xml:space="preserve"> </w:t>
      </w:r>
      <w:r>
        <w:t xml:space="preserve">#### 3.4 Participation du privé (producteurs indépendants, concessions, hors réseau)</w:t>
      </w:r>
    </w:p>
    <w:p>
      <w:pPr>
        <w:numPr>
          <w:ilvl w:val="0"/>
          <w:numId w:val="1316"/>
        </w:numPr>
        <w:pStyle w:val="Compact"/>
      </w:pPr>
      <w:r>
        <w:rPr>
          <w:bCs/>
          <w:b/>
        </w:rPr>
        <w:t xml:space="preserve">Appels d’offres concurrentiels obligatoires</w:t>
      </w:r>
      <w:r>
        <w:t xml:space="preserve"> </w:t>
      </w:r>
      <w:r>
        <w:t xml:space="preserve">pour la production ; le pacte reconnaît que le principe légal de 2022 « n’est pas encore appliqué de manière cohérente » [1] [V]. Alignement de la loi PPP avec la loi sur l’électricité (2027) [1] [V].</w:t>
      </w:r>
    </w:p>
    <w:p>
      <w:pPr>
        <w:numPr>
          <w:ilvl w:val="0"/>
          <w:numId w:val="1316"/>
        </w:numPr>
        <w:pStyle w:val="Compact"/>
      </w:pPr>
      <w:r>
        <w:t xml:space="preserve">Analyse de la valeur d’une participation privée au</w:t>
      </w:r>
      <w:r>
        <w:t xml:space="preserve"> </w:t>
      </w:r>
      <w:r>
        <w:rPr>
          <w:bCs/>
          <w:b/>
        </w:rPr>
        <w:t xml:space="preserve">transport</w:t>
      </w:r>
      <w:r>
        <w:t xml:space="preserve"> </w:t>
      </w:r>
      <w:r>
        <w:t xml:space="preserve">(sans échéance) [1] [V].</w:t>
      </w:r>
    </w:p>
    <w:p>
      <w:pPr>
        <w:numPr>
          <w:ilvl w:val="0"/>
          <w:numId w:val="1316"/>
        </w:numPr>
        <w:pStyle w:val="Compact"/>
      </w:pPr>
      <w:r>
        <w:t xml:space="preserve">Opérationnalisation des</w:t>
      </w:r>
      <w:r>
        <w:t xml:space="preserve"> </w:t>
      </w:r>
      <w:r>
        <w:rPr>
          <w:bCs/>
          <w:b/>
        </w:rPr>
        <w:t xml:space="preserve">règlements hors réseau (Résolution 56/2022)</w:t>
      </w:r>
      <w:r>
        <w:t xml:space="preserve"> </w:t>
      </w:r>
      <w:r>
        <w:t xml:space="preserve">et de leurs incitations fiscales [1] [V].</w:t>
      </w:r>
    </w:p>
    <w:p>
      <w:pPr>
        <w:numPr>
          <w:ilvl w:val="0"/>
          <w:numId w:val="1316"/>
        </w:numPr>
        <w:pStyle w:val="Compact"/>
      </w:pPr>
      <w:r>
        <w:t xml:space="preserve">Instruments dédiés (lignes de crédit, garanties) pour pallier le manque de financement en monnaie locale ; guichet unique pour développeurs ; plateforme pays mini-réseaux (2025) [1] [V].</w:t>
      </w:r>
    </w:p>
    <w:p>
      <w:pPr>
        <w:numPr>
          <w:ilvl w:val="0"/>
          <w:numId w:val="1316"/>
        </w:numPr>
        <w:pStyle w:val="Compact"/>
      </w:pPr>
      <w:r>
        <w:t xml:space="preserve">Historique : ~500 MW d’IPP depuis 2014 ; Temane &gt; 700 M US$ privés ; 98 mini-réseaux (99 % FUNAE, 11,6 MW, ~11 000 raccordements) ; appel d’offres d’exploitation pour 42 mini-réseaux ; &gt; 700 000 SHS vendus 2020-2024 ; 8 grands opérateurs PAYGO [1] [V].</w:t>
      </w:r>
      <w:r>
        <w:t xml:space="preserve"> </w:t>
      </w:r>
      <w:r>
        <w:t xml:space="preserve">#### 3.5 Intégration régionale (pools énergétiques, interconnexions)</w:t>
      </w:r>
    </w:p>
    <w:p>
      <w:pPr>
        <w:numPr>
          <w:ilvl w:val="0"/>
          <w:numId w:val="1316"/>
        </w:numPr>
        <w:pStyle w:val="Compact"/>
      </w:pPr>
      <w:r>
        <w:t xml:space="preserve">Interconnexions existantes : Afrique du Sud, Eswatini, Zimbabwe ;</w:t>
      </w:r>
      <w:r>
        <w:t xml:space="preserve"> </w:t>
      </w:r>
      <w:r>
        <w:rPr>
          <w:bCs/>
          <w:b/>
        </w:rPr>
        <w:t xml:space="preserve">Mozambique-Malawi</w:t>
      </w:r>
      <w:r>
        <w:t xml:space="preserve"> </w:t>
      </w:r>
      <w:r>
        <w:t xml:space="preserve">(218 km côté MOZ, 400 kV ; +70 MW d’exports, PPA EDM-ESCOM révisé) ; Zambie et Tanzanie en études [1] [V].</w:t>
      </w:r>
    </w:p>
    <w:p>
      <w:pPr>
        <w:numPr>
          <w:ilvl w:val="0"/>
          <w:numId w:val="1316"/>
        </w:numPr>
        <w:pStyle w:val="Compact"/>
      </w:pPr>
      <w:r>
        <w:rPr>
          <w:bCs/>
          <w:b/>
        </w:rPr>
        <w:t xml:space="preserve">Politique de prix à l’export</w:t>
      </w:r>
      <w:r>
        <w:t xml:space="preserve"> </w:t>
      </w:r>
      <w:r>
        <w:t xml:space="preserve">imposant aux entreprises publiques des contrats sur bases commerciales ; PPA bilatéraux/multilatéraux « aux prix du marché » [1] [V].</w:t>
      </w:r>
    </w:p>
    <w:p>
      <w:pPr>
        <w:numPr>
          <w:ilvl w:val="0"/>
          <w:numId w:val="1316"/>
        </w:numPr>
        <w:pStyle w:val="Compact"/>
      </w:pPr>
      <w:r>
        <w:t xml:space="preserve">Exploitation en cascade du Zambèze (Cahora Bassa + Mphanda Nkuwa) (2026) [1] [V].</w:t>
      </w:r>
      <w:r>
        <w:t xml:space="preserve"> </w:t>
      </w:r>
      <w:r>
        <w:t xml:space="preserve">#### 3.6 Autres (fiscalité, foncier, local content)</w:t>
      </w:r>
    </w:p>
    <w:p>
      <w:pPr>
        <w:numPr>
          <w:ilvl w:val="0"/>
          <w:numId w:val="1316"/>
        </w:numPr>
        <w:pStyle w:val="Compact"/>
      </w:pPr>
      <w:r>
        <w:t xml:space="preserve">Réglementation du</w:t>
      </w:r>
      <w:r>
        <w:t xml:space="preserve"> </w:t>
      </w:r>
      <w:r>
        <w:rPr>
          <w:bCs/>
          <w:b/>
        </w:rPr>
        <w:t xml:space="preserve">marché carbone</w:t>
      </w:r>
      <w:r>
        <w:t xml:space="preserve"> </w:t>
      </w:r>
      <w:r>
        <w:t xml:space="preserve">et adoption d’une valeur nationale</w:t>
      </w:r>
      <w:r>
        <w:t xml:space="preserve"> </w:t>
      </w:r>
      <w:r>
        <w:rPr>
          <w:bCs/>
          <w:b/>
        </w:rPr>
        <w:t xml:space="preserve">fNRB</w:t>
      </w:r>
      <w:r>
        <w:t xml:space="preserve"> </w:t>
      </w:r>
      <w:r>
        <w:t xml:space="preserve">(2026) pour la cuisson propre [1] [V].</w:t>
      </w:r>
    </w:p>
    <w:p>
      <w:pPr>
        <w:numPr>
          <w:ilvl w:val="0"/>
          <w:numId w:val="1316"/>
        </w:numPr>
        <w:pStyle w:val="Compact"/>
      </w:pPr>
      <w:r>
        <w:t xml:space="preserve">Stratégie nationale de cuisson propre (2026), plan d’investissement (2027), Plan directeur de massification du GPL (2026), agence chef de file (2026) [1] [V].</w:t>
      </w:r>
    </w:p>
    <w:p>
      <w:pPr>
        <w:numPr>
          <w:ilvl w:val="0"/>
          <w:numId w:val="1316"/>
        </w:numPr>
        <w:pStyle w:val="Compact"/>
      </w:pPr>
      <w:r>
        <w:t xml:space="preserve">Stratégie nationale genre du secteur [1] [V].</w:t>
      </w:r>
    </w:p>
    <w:bookmarkEnd w:id="346"/>
    <w:bookmarkEnd w:id="347"/>
    <w:bookmarkStart w:id="348" w:name="financement-20"/>
    <w:p>
      <w:pPr>
        <w:pStyle w:val="Heading3"/>
      </w:pPr>
      <w:r>
        <w:t xml:space="preserve">4. Financement</w:t>
      </w:r>
    </w:p>
    <w:p>
      <w:pPr>
        <w:numPr>
          <w:ilvl w:val="0"/>
          <w:numId w:val="1317"/>
        </w:numPr>
        <w:pStyle w:val="Compact"/>
      </w:pPr>
      <w:r>
        <w:t xml:space="preserve">Besoin total :</w:t>
      </w:r>
      <w:r>
        <w:t xml:space="preserve"> </w:t>
      </w:r>
      <w:r>
        <w:rPr>
          <w:bCs/>
          <w:b/>
        </w:rPr>
        <w:t xml:space="preserve">18 620 M US$</w:t>
      </w:r>
      <w:r>
        <w:t xml:space="preserve"> </w:t>
      </w:r>
      <w:r>
        <w:t xml:space="preserve">d’ici 2030 : public</w:t>
      </w:r>
      <w:r>
        <w:t xml:space="preserve"> </w:t>
      </w:r>
      <w:r>
        <w:rPr>
          <w:bCs/>
          <w:b/>
        </w:rPr>
        <w:t xml:space="preserve">9 923 M</w:t>
      </w:r>
      <w:r>
        <w:t xml:space="preserve">, privé</w:t>
      </w:r>
      <w:r>
        <w:t xml:space="preserve"> </w:t>
      </w:r>
      <w:r>
        <w:rPr>
          <w:bCs/>
          <w:b/>
        </w:rPr>
        <w:t xml:space="preserve">8 698 M</w:t>
      </w:r>
      <w:r>
        <w:t xml:space="preserve"> </w:t>
      </w:r>
      <w:r>
        <w:t xml:space="preserve">[1] [V].</w:t>
      </w:r>
    </w:p>
    <w:p>
      <w:pPr>
        <w:numPr>
          <w:ilvl w:val="1"/>
          <w:numId w:val="1318"/>
        </w:numPr>
        <w:pStyle w:val="Compact"/>
      </w:pPr>
      <w:r>
        <w:t xml:space="preserve">Production 7 842 M (privé 7 342) ; transport &gt; 66 kV 4 800 M (privé 500) ; réhabilitation HCB 400 M (privé 100) ; raccordements réseau 3 636 M (100 % public) ; hors réseau 1 083 M (privé 509) ; cuisson propre 493 M (moitié/moitié) ; assistance technique 367 M [1] [V].</w:t>
      </w:r>
    </w:p>
    <w:p>
      <w:pPr>
        <w:numPr>
          <w:ilvl w:val="1"/>
          <w:numId w:val="1318"/>
        </w:numPr>
        <w:pStyle w:val="Compact"/>
      </w:pPr>
      <w:r>
        <w:t xml:space="preserve">Incohérence : l’annexe I donne</w:t>
      </w:r>
      <w:r>
        <w:t xml:space="preserve"> </w:t>
      </w:r>
      <w:r>
        <w:rPr>
          <w:bCs/>
          <w:b/>
        </w:rPr>
        <w:t xml:space="preserve">11 090 M public / 7 096 M privé</w:t>
      </w:r>
      <w:r>
        <w:t xml:space="preserve"> </w:t>
      </w:r>
      <w:r>
        <w:t xml:space="preserve">et « 0 » investissement disponible en 2024 [1] [V].</w:t>
      </w:r>
    </w:p>
    <w:p>
      <w:pPr>
        <w:numPr>
          <w:ilvl w:val="0"/>
          <w:numId w:val="1317"/>
        </w:numPr>
        <w:pStyle w:val="Compact"/>
      </w:pPr>
      <w:r>
        <w:t xml:space="preserve">Engagements cités (annexe III, projets &gt; 6 M US$) [1] [V] :</w:t>
      </w:r>
    </w:p>
    <w:p>
      <w:pPr>
        <w:numPr>
          <w:ilvl w:val="1"/>
          <w:numId w:val="1319"/>
        </w:numPr>
        <w:pStyle w:val="Compact"/>
      </w:pPr>
      <w:r>
        <w:t xml:space="preserve">Banque mondiale :</w:t>
      </w:r>
      <w:r>
        <w:t xml:space="preserve"> </w:t>
      </w:r>
      <w:r>
        <w:rPr>
          <w:bCs/>
          <w:b/>
        </w:rPr>
        <w:t xml:space="preserve">ProEnergia</w:t>
      </w:r>
      <w:r>
        <w:t xml:space="preserve"> </w:t>
      </w:r>
      <w:r>
        <w:t xml:space="preserve">(UE, Norvège, Suède, BM ; 148 M€ ; raccordements EDM),</w:t>
      </w:r>
      <w:r>
        <w:t xml:space="preserve"> </w:t>
      </w:r>
      <w:r>
        <w:rPr>
          <w:bCs/>
          <w:b/>
        </w:rPr>
        <w:t xml:space="preserve">ProEnergia+</w:t>
      </w:r>
      <w:r>
        <w:t xml:space="preserve"> </w:t>
      </w:r>
      <w:r>
        <w:t xml:space="preserve">(Norvège, Suède, BM ; 343 M€ ; 2023-2027 ; réseau, hors réseau, cuisson, haut débit), Temane Transmission (BAD, BIsD, Norvège, BM ; 537 M US$), MOMA (127 M€),</w:t>
      </w:r>
      <w:r>
        <w:t xml:space="preserve"> </w:t>
      </w:r>
      <w:r>
        <w:rPr>
          <w:bCs/>
          <w:b/>
        </w:rPr>
        <w:t xml:space="preserve">Songo-Matambo</w:t>
      </w:r>
      <w:r>
        <w:t xml:space="preserve"> </w:t>
      </w:r>
      <w:r>
        <w:t xml:space="preserve">(BAD + BM ; 133 M US$ ; 2024-2028).</w:t>
      </w:r>
    </w:p>
    <w:p>
      <w:pPr>
        <w:numPr>
          <w:ilvl w:val="1"/>
          <w:numId w:val="1319"/>
        </w:numPr>
        <w:pStyle w:val="Compact"/>
      </w:pPr>
      <w:r>
        <w:t xml:space="preserve">BAD : Centre national de contrôle (57 M€), réhabilitation Cahora Bassa (AFD, BAD, UE ; 222 M€), Chimuara-Nacala (BAD, JICA, BIsD ; 620 M€), Temane, Songo-Matambo.</w:t>
      </w:r>
    </w:p>
    <w:p>
      <w:pPr>
        <w:numPr>
          <w:ilvl w:val="1"/>
          <w:numId w:val="1319"/>
        </w:numPr>
        <w:pStyle w:val="Compact"/>
      </w:pPr>
      <w:r>
        <w:t xml:space="preserve">Autres : IFC/OFID/DFC (Temane), DFC (éolien Namaacha 99 M US$), KfW, Suède (+SOL, GeraSol), GET.FiT (45 M€), Brilho (FCDO, Suède), EnDev, JICA, Belgique.</w:t>
      </w:r>
    </w:p>
    <w:bookmarkEnd w:id="348"/>
    <w:bookmarkStart w:id="349" w:name="calendrier-et-suivi-20"/>
    <w:p>
      <w:pPr>
        <w:pStyle w:val="Heading3"/>
      </w:pPr>
      <w:r>
        <w:t xml:space="preserve">5. Calendrier et suivi</w:t>
      </w:r>
    </w:p>
    <w:p>
      <w:pPr>
        <w:numPr>
          <w:ilvl w:val="0"/>
          <w:numId w:val="1320"/>
        </w:numPr>
        <w:pStyle w:val="Compact"/>
      </w:pPr>
      <w:r>
        <w:t xml:space="preserve">Jalons [1] [V] : 2025 — règlement d’application loi 12/2022, plan d’apurement des arriérés, plateforme mini-réseaux ;</w:t>
      </w:r>
      <w:r>
        <w:t xml:space="preserve"> </w:t>
      </w:r>
      <w:r>
        <w:rPr>
          <w:bCs/>
          <w:b/>
        </w:rPr>
        <w:t xml:space="preserve">2026</w:t>
      </w:r>
      <w:r>
        <w:t xml:space="preserve"> </w:t>
      </w:r>
      <w:r>
        <w:t xml:space="preserve">— plan directeur,</w:t>
      </w:r>
      <w:r>
        <w:t xml:space="preserve"> </w:t>
      </w:r>
      <w:r>
        <w:rPr>
          <w:bCs/>
          <w:b/>
        </w:rPr>
        <w:t xml:space="preserve">application de la méthodologie tarifaire 2022</w:t>
      </w:r>
      <w:r>
        <w:t xml:space="preserve">, maintien du recouvrement des coûts, mise à jour LRP/FSP, plan d’action opérateur système, stratégie cuisson propre, fNRB, plan GPL ; 2027 — SNE, taxe d’accès universel, loi PPP ; 2028 — centre national de contrôle, statut organique du marché, compteurs intelligents, capacité FUNAE ; 2030 — dorsale 400 kV ; 2032 — Mphanda Nkuwa.</w:t>
      </w:r>
    </w:p>
    <w:p>
      <w:pPr>
        <w:numPr>
          <w:ilvl w:val="0"/>
          <w:numId w:val="1320"/>
        </w:numPr>
        <w:pStyle w:val="Compact"/>
      </w:pPr>
      <w:r>
        <w:t xml:space="preserve">Suivi : CDMU au MIREME, logée à l’UIPCE ; financement du suivi intégré au budget du programme [1] [V]. Aucun rapport d’avancement publié [2] [V].</w:t>
      </w:r>
    </w:p>
    <w:bookmarkEnd w:id="349"/>
    <w:bookmarkStart w:id="350" w:name="lecture-critique-17"/>
    <w:p>
      <w:pPr>
        <w:pStyle w:val="Heading3"/>
      </w:pPr>
      <w:r>
        <w:t xml:space="preserve">6. Lecture critique</w:t>
      </w:r>
    </w:p>
    <w:p>
      <w:pPr>
        <w:numPr>
          <w:ilvl w:val="0"/>
          <w:numId w:val="1321"/>
        </w:numPr>
        <w:pStyle w:val="Compact"/>
      </w:pPr>
      <w:r>
        <w:t xml:space="preserve">Réalisme des cibles : le Mozambique part d’une</w:t>
      </w:r>
      <w:r>
        <w:t xml:space="preserve"> </w:t>
      </w:r>
      <w:r>
        <w:rPr>
          <w:bCs/>
          <w:b/>
        </w:rPr>
        <w:t xml:space="preserve">dynamique réelle</w:t>
      </w:r>
      <w:r>
        <w:t xml:space="preserve"> </w:t>
      </w:r>
      <w:r>
        <w:t xml:space="preserve">(31 % → 60 % en 6 ans ; &gt; 400 000 raccordements réseau en 2024) [1], ce qui rend la cible réseau (423 000/an) proche du rythme 2024 [E]. La cible hors réseau (435 000/an) est en revanche ~3 fois le rythme 2024 (140 000) [1] [E]. Le coût des raccordements réseau (3,6 Md US$) est intégralement public, dans un pays sous forte contrainte budgétaire [E]. La cible renouvelable est quasi stable (+2,2 points en 2032) et repose sur un seul projet (Mphanda Nkuwa) [1] [E].</w:t>
      </w:r>
    </w:p>
    <w:p>
      <w:pPr>
        <w:numPr>
          <w:ilvl w:val="0"/>
          <w:numId w:val="1321"/>
        </w:numPr>
        <w:pStyle w:val="Compact"/>
      </w:pPr>
      <w:r>
        <w:t xml:space="preserve">Engagements tarifaires :</w:t>
      </w:r>
      <w:r>
        <w:t xml:space="preserve"> </w:t>
      </w:r>
      <w:r>
        <w:rPr>
          <w:bCs/>
          <w:b/>
        </w:rPr>
        <w:t xml:space="preserve">datés mais conditionnels</w:t>
      </w:r>
      <w:r>
        <w:t xml:space="preserve"> </w:t>
      </w:r>
      <w:r>
        <w:t xml:space="preserve">— « appliquer la méthodologie 2022 » en 2026, alors qu’elle n’a pas été appliquée en 3 ans [1] ; aucune trajectoire de prix, aucun écart tarif/coût, aucun montant de subvention [E]. Le recouvrement des coûts d’EDM repose largement sur des facteurs exogènes (change stable, énergie HCB bon marché, exports) [1], fragiles à l’expiration du PPA Cahora Bassa-Eskom en 2029 [E].</w:t>
      </w:r>
    </w:p>
    <w:p>
      <w:pPr>
        <w:numPr>
          <w:ilvl w:val="0"/>
          <w:numId w:val="1321"/>
        </w:numPr>
        <w:pStyle w:val="Compact"/>
      </w:pPr>
      <w:r>
        <w:t xml:space="preserve">Risques principaux : arriérés croissants envers HCB (351 M US$) [1] ; exposition change/combustibles en l’absence de pass-through ; risque de marché à l’export ; écart capacité installée (2 922 MW) / disponible (1 292 MW) [1] ; zones de conflit (cité) ; incohérences de chiffrage (18,6 Md vs annexe I) [E].</w:t>
      </w:r>
    </w:p>
    <w:p>
      <w:pPr>
        <w:numPr>
          <w:ilvl w:val="0"/>
          <w:numId w:val="1321"/>
        </w:numPr>
        <w:pStyle w:val="Compact"/>
      </w:pPr>
      <w:r>
        <w:t xml:space="preserve">Points à approfondir : phase 2 — FSP et LRP d’EDM, plan d’apurement des arriérés HCB/IPP, contrat d’allocation HCB-EDM, résultats financiers audités ; phase 3 — contenu de la méthodologie ARENE 2022, niveaux tarifaires depuis 2019, tarif social, conditions de prix à l’export [E].</w:t>
      </w:r>
    </w:p>
    <w:bookmarkEnd w:id="350"/>
    <w:bookmarkStart w:id="351" w:name="inconnus-données-non-trouvées-20"/>
    <w:p>
      <w:pPr>
        <w:pStyle w:val="Heading3"/>
      </w:pPr>
      <w:r>
        <w:t xml:space="preserve">7. Inconnus / données non trouvées</w:t>
      </w:r>
    </w:p>
    <w:p>
      <w:pPr>
        <w:numPr>
          <w:ilvl w:val="0"/>
          <w:numId w:val="1322"/>
        </w:numPr>
        <w:pStyle w:val="Compact"/>
      </w:pPr>
      <w:r>
        <w:t xml:space="preserve">[?] Date et signataire du pacte (non indiqués dans le texte).</w:t>
      </w:r>
    </w:p>
    <w:p>
      <w:pPr>
        <w:numPr>
          <w:ilvl w:val="0"/>
          <w:numId w:val="1322"/>
        </w:numPr>
        <w:pStyle w:val="Compact"/>
      </w:pPr>
      <w:r>
        <w:t xml:space="preserve">[?] Tarif moyen, coût de service, subventions, trajectoire de recouvrement (annexe I vide).</w:t>
      </w:r>
    </w:p>
    <w:p>
      <w:pPr>
        <w:numPr>
          <w:ilvl w:val="0"/>
          <w:numId w:val="1322"/>
        </w:numPr>
        <w:pStyle w:val="Compact"/>
      </w:pPr>
      <w:r>
        <w:t xml:space="preserve">[?] Taux d’accès urbain/rural ; population sans accès en valeur absolue.</w:t>
      </w:r>
    </w:p>
    <w:p>
      <w:pPr>
        <w:numPr>
          <w:ilvl w:val="0"/>
          <w:numId w:val="1322"/>
        </w:numPr>
        <w:pStyle w:val="Compact"/>
      </w:pPr>
      <w:r>
        <w:t xml:space="preserve">[?] Unité de l’indicateur « 1,9 » de réduction des pertes AT&amp;C.</w:t>
      </w:r>
    </w:p>
    <w:p>
      <w:pPr>
        <w:numPr>
          <w:ilvl w:val="0"/>
          <w:numId w:val="1322"/>
        </w:numPr>
        <w:pStyle w:val="Compact"/>
      </w:pPr>
      <w:r>
        <w:t xml:space="preserve">[?] Résultat net d’EDM (annexe I vide).</w:t>
      </w:r>
    </w:p>
    <w:p>
      <w:pPr>
        <w:numPr>
          <w:ilvl w:val="0"/>
          <w:numId w:val="1322"/>
        </w:numPr>
        <w:pStyle w:val="Compact"/>
      </w:pPr>
      <w:r>
        <w:t xml:space="preserve">[?] Rapport d’avancement (non publié à oct. 2026).</w:t>
      </w:r>
    </w:p>
    <w:bookmarkEnd w:id="351"/>
    <w:bookmarkStart w:id="352" w:name="sources-21"/>
    <w:p>
      <w:pPr>
        <w:pStyle w:val="Heading3"/>
      </w:pPr>
      <w:r>
        <w:t xml:space="preserve">Sources</w:t>
      </w:r>
    </w:p>
    <w:p>
      <w:pPr>
        <w:pStyle w:val="FirstParagraph"/>
      </w:pPr>
      <w:r>
        <w:t xml:space="preserve">[1] Gouvernement du Mozambique, « National Energy Compact for Mozambique », s.d. (listé « Sep 2025 » par la BM), 34 p., anglais. https://www.worldbank.org/content/dam/theworldbankgroupasset/document/2026/m300-energy-compacts/Mozambique-National-Energy-Compact-Mission-300.pdf (consulté le 18/10/2026).</w:t>
      </w:r>
      <w:r>
        <w:t xml:space="preserve"> </w:t>
      </w:r>
      <w:r>
        <w:t xml:space="preserve">[2] Banque mondiale, « National Energy Compacts ». https://www.worldbank.org/ext/en/energizingafrica/national-energy-compacts (consulté le 18/10/2026).</w:t>
      </w:r>
    </w:p>
    <w:p>
      <w:r>
        <w:br w:type="page"/>
      </w:r>
    </w:p>
    <w:bookmarkEnd w:id="352"/>
    <w:bookmarkEnd w:id="353"/>
    <w:bookmarkStart w:id="369" w:name="X49e9a5e7f7ffc04dff42eb738b40f9162407bb3"/>
    <w:p>
      <w:pPr>
        <w:pStyle w:val="Heading2"/>
      </w:pPr>
      <w:r>
        <w:t xml:space="preserve">Fiche pacte national de l’énergie — Mauritanie</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354" w:name="métadonnées-21"/>
    <w:p>
      <w:pPr>
        <w:pStyle w:val="Heading3"/>
      </w:pPr>
      <w:r>
        <w:t xml:space="preserve">0. Métadonnées</w:t>
      </w:r>
    </w:p>
    <w:p>
      <w:pPr>
        <w:numPr>
          <w:ilvl w:val="0"/>
          <w:numId w:val="1323"/>
        </w:numPr>
        <w:pStyle w:val="Compact"/>
      </w:pPr>
      <w:r>
        <w:rPr>
          <w:bCs/>
          <w:b/>
        </w:rPr>
        <w:t xml:space="preserve">Cohorte / date de présentation</w:t>
      </w:r>
      <w:r>
        <w:t xml:space="preserve"> </w:t>
      </w:r>
      <w:r>
        <w:t xml:space="preserve">:</w:t>
      </w:r>
    </w:p>
    <w:p>
      <w:pPr>
        <w:numPr>
          <w:ilvl w:val="1"/>
          <w:numId w:val="1324"/>
        </w:numPr>
        <w:pStyle w:val="Compact"/>
      </w:pPr>
      <w:r>
        <w:t xml:space="preserve">la page « National Energy Compacts » de la Banque mondiale date le pacte de « January 2025 » [2] [V] ;</w:t>
      </w:r>
    </w:p>
    <w:p>
      <w:pPr>
        <w:numPr>
          <w:ilvl w:val="1"/>
          <w:numId w:val="1324"/>
        </w:numPr>
        <w:pStyle w:val="Compact"/>
      </w:pPr>
      <w:r>
        <w:t xml:space="preserve">le document lui-même porte la date « Décembre 2024 » [1, couverture] [V] ;</w:t>
      </w:r>
    </w:p>
    <w:p>
      <w:pPr>
        <w:numPr>
          <w:ilvl w:val="1"/>
          <w:numId w:val="1324"/>
        </w:numPr>
        <w:pStyle w:val="Compact"/>
      </w:pPr>
      <w:r>
        <w:t xml:space="preserve">l’appartenance à la première cohorte de Dar es Salaam n’est pas confirmée par un document consulté → [?]. La date est cohérente avec cette cohorte [E].</w:t>
      </w:r>
    </w:p>
    <w:p>
      <w:pPr>
        <w:numPr>
          <w:ilvl w:val="0"/>
          <w:numId w:val="1323"/>
        </w:numPr>
        <w:pStyle w:val="Compact"/>
      </w:pPr>
      <w:r>
        <w:rPr>
          <w:bCs/>
          <w:b/>
        </w:rPr>
        <w:t xml:space="preserve">Document consulté</w:t>
      </w:r>
      <w:r>
        <w:t xml:space="preserve"> </w:t>
      </w:r>
      <w:r>
        <w:t xml:space="preserve">: « Pacte National de l’Énergie pour la République Islamique de Mauritanie », décembre 2024, en français, 37 pages. PDF hébergé par la Banque mondiale [1].</w:t>
      </w:r>
    </w:p>
    <w:p>
      <w:pPr>
        <w:numPr>
          <w:ilvl w:val="1"/>
          <w:numId w:val="1325"/>
        </w:numPr>
        <w:pStyle w:val="Compact"/>
      </w:pPr>
      <w:r>
        <w:t xml:space="preserve">Aucun rapport d’avancement (Compact Progress Report) n’est publié pour la Mauritanie sur la page de la Banque mondiale (vérifié le 18/10/2026) [2] [V].</w:t>
      </w:r>
    </w:p>
    <w:p>
      <w:pPr>
        <w:numPr>
          <w:ilvl w:val="0"/>
          <w:numId w:val="1323"/>
        </w:numPr>
        <w:pStyle w:val="Compact"/>
      </w:pPr>
      <w:r>
        <w:rPr>
          <w:bCs/>
          <w:b/>
        </w:rPr>
        <w:t xml:space="preserve">Accès au texte intégral</w:t>
      </w:r>
      <w:r>
        <w:t xml:space="preserve"> </w:t>
      </w:r>
      <w:r>
        <w:t xml:space="preserve">:</w:t>
      </w:r>
      <w:r>
        <w:t xml:space="preserve"> </w:t>
      </w:r>
      <w:r>
        <w:rPr>
          <w:bCs/>
          <w:b/>
        </w:rPr>
        <w:t xml:space="preserve">oui</w:t>
      </w:r>
      <w:r>
        <w:t xml:space="preserve">.</w:t>
      </w:r>
    </w:p>
    <w:p>
      <w:pPr>
        <w:numPr>
          <w:ilvl w:val="0"/>
          <w:numId w:val="1323"/>
        </w:numPr>
        <w:pStyle w:val="Compact"/>
      </w:pPr>
      <w:r>
        <w:rPr>
          <w:bCs/>
          <w:b/>
        </w:rPr>
        <w:t xml:space="preserve">Opérateur national</w:t>
      </w:r>
      <w:r>
        <w:t xml:space="preserve"> </w:t>
      </w:r>
      <w:r>
        <w:t xml:space="preserve">:</w:t>
      </w:r>
    </w:p>
    <w:p>
      <w:pPr>
        <w:numPr>
          <w:ilvl w:val="1"/>
          <w:numId w:val="1326"/>
        </w:numPr>
        <w:pStyle w:val="Compact"/>
      </w:pPr>
      <w:r>
        <w:t xml:space="preserve">SOMELEC (Société Mauritanienne de l’Électricité) assure la production, le transport, la distribution, l’achat et la vente d’électricité sur tout le territoire. Une restructuration récente l’a divisée en 4 entités : Holding, Production &amp; Transport, Distribution &amp; Commercialisation, Électrification rurale [1, §2.1.4] [V].</w:t>
      </w:r>
    </w:p>
    <w:p>
      <w:pPr>
        <w:numPr>
          <w:ilvl w:val="1"/>
          <w:numId w:val="1326"/>
        </w:numPr>
        <w:pStyle w:val="Compact"/>
      </w:pPr>
      <w:r>
        <w:t xml:space="preserve">21 centres isolés sont exploités par 6 opérateurs privés sous contrats d’affermage (DSPE), régulés par l’ARE [1, §2.1.8] [V].</w:t>
      </w:r>
    </w:p>
    <w:p>
      <w:pPr>
        <w:numPr>
          <w:ilvl w:val="1"/>
          <w:numId w:val="1326"/>
        </w:numPr>
        <w:pStyle w:val="Compact"/>
      </w:pPr>
      <w:r>
        <w:t xml:space="preserve">L’ADER (Agence de Développement de l’Électrification Rurale) est chargée de l’électrification rurale [1] [V].</w:t>
      </w:r>
    </w:p>
    <w:p>
      <w:pPr>
        <w:numPr>
          <w:ilvl w:val="0"/>
          <w:numId w:val="1323"/>
        </w:numPr>
        <w:pStyle w:val="Compact"/>
      </w:pPr>
      <w:r>
        <w:rPr>
          <w:bCs/>
          <w:b/>
        </w:rPr>
        <w:t xml:space="preserve">Régulateur</w:t>
      </w:r>
      <w:r>
        <w:t xml:space="preserve"> </w:t>
      </w:r>
      <w:r>
        <w:t xml:space="preserve">: ARE (Autorité de Régulation). Son rôle est consacré par la loi n° 2022-27 portant Code de l’électricité [1, §2.1.4] [V].</w:t>
      </w:r>
    </w:p>
    <w:bookmarkEnd w:id="354"/>
    <w:bookmarkStart w:id="355" w:name="situation-de-départ-selon-le-pacte-21"/>
    <w:p>
      <w:pPr>
        <w:pStyle w:val="Heading3"/>
      </w:pPr>
      <w:r>
        <w:t xml:space="preserve">1. Situation de départ (selon le pacte)</w:t>
      </w:r>
    </w:p>
    <w:p>
      <w:pPr>
        <w:numPr>
          <w:ilvl w:val="0"/>
          <w:numId w:val="1327"/>
        </w:numPr>
        <w:pStyle w:val="Compact"/>
      </w:pPr>
      <w:r>
        <w:rPr>
          <w:bCs/>
          <w:b/>
        </w:rPr>
        <w:t xml:space="preserve">Taux d’accès</w:t>
      </w:r>
      <w:r>
        <w:t xml:space="preserve"> </w:t>
      </w:r>
      <w:r>
        <w:t xml:space="preserve">:</w:t>
      </w:r>
      <w:r>
        <w:t xml:space="preserve"> </w:t>
      </w:r>
      <w:r>
        <w:rPr>
          <w:bCs/>
          <w:b/>
        </w:rPr>
        <w:t xml:space="preserve">55 % au niveau national</w:t>
      </w:r>
      <w:r>
        <w:t xml:space="preserve">, 91 % en milieu urbain et</w:t>
      </w:r>
      <w:r>
        <w:t xml:space="preserve"> </w:t>
      </w:r>
      <w:r>
        <w:rPr>
          <w:bCs/>
          <w:b/>
        </w:rPr>
        <w:t xml:space="preserve">6 %</w:t>
      </w:r>
      <w:r>
        <w:t xml:space="preserve"> </w:t>
      </w:r>
      <w:r>
        <w:t xml:space="preserve">en milieu rural [1, §2.1.12] [V]. Le pacte ne date pas précisément ces chiffres (« À ce stade »).</w:t>
      </w:r>
    </w:p>
    <w:p>
      <w:pPr>
        <w:numPr>
          <w:ilvl w:val="0"/>
          <w:numId w:val="1327"/>
        </w:numPr>
        <w:pStyle w:val="Compact"/>
      </w:pPr>
      <w:r>
        <w:rPr>
          <w:bCs/>
          <w:b/>
        </w:rPr>
        <w:t xml:space="preserve">Population sans accès</w:t>
      </w:r>
      <w:r>
        <w:t xml:space="preserve"> </w:t>
      </w:r>
      <w:r>
        <w:t xml:space="preserve">: la cible d’accès universel porte sur</w:t>
      </w:r>
      <w:r>
        <w:t xml:space="preserve"> </w:t>
      </w:r>
      <w:r>
        <w:rPr>
          <w:bCs/>
          <w:b/>
        </w:rPr>
        <w:t xml:space="preserve">3 389 524 personnes</w:t>
      </w:r>
      <w:r>
        <w:t xml:space="preserve"> </w:t>
      </w:r>
      <w:r>
        <w:t xml:space="preserve">d’ici 2030, dont 85 % en milieu rural [1, §1.1] [V]. Population 2023 : 4 927 532 habitants (RGPH 2023) ; 6 101 549 habitants projetés en 2030 [1] [V].</w:t>
      </w:r>
    </w:p>
    <w:p>
      <w:pPr>
        <w:numPr>
          <w:ilvl w:val="0"/>
          <w:numId w:val="1327"/>
        </w:numPr>
        <w:pStyle w:val="Compact"/>
      </w:pPr>
      <w:r>
        <w:rPr>
          <w:bCs/>
          <w:b/>
        </w:rPr>
        <w:t xml:space="preserve">Capacité installée et mix (2023)</w:t>
      </w:r>
      <w:r>
        <w:t xml:space="preserve"> </w:t>
      </w:r>
      <w:r>
        <w:t xml:space="preserve">:</w:t>
      </w:r>
    </w:p>
    <w:p>
      <w:pPr>
        <w:numPr>
          <w:ilvl w:val="1"/>
          <w:numId w:val="1328"/>
        </w:numPr>
        <w:pStyle w:val="Compact"/>
      </w:pPr>
      <w:r>
        <w:t xml:space="preserve">puissance installée de</w:t>
      </w:r>
      <w:r>
        <w:t xml:space="preserve"> </w:t>
      </w:r>
      <w:r>
        <w:rPr>
          <w:bCs/>
          <w:b/>
        </w:rPr>
        <w:t xml:space="preserve">615,1 MW</w:t>
      </w:r>
      <w:r>
        <w:t xml:space="preserve">, dont 520,1 MW disponibles [1, §2.1.8] [V] ;</w:t>
      </w:r>
    </w:p>
    <w:p>
      <w:pPr>
        <w:numPr>
          <w:ilvl w:val="1"/>
          <w:numId w:val="1328"/>
        </w:numPr>
        <w:pStyle w:val="Compact"/>
      </w:pPr>
      <w:r>
        <w:t xml:space="preserve">production de 1,666 TWh, en hausse de 10,17 % sur 2022 [1, §2.1.13] [V] ;</w:t>
      </w:r>
    </w:p>
    <w:p>
      <w:pPr>
        <w:numPr>
          <w:ilvl w:val="1"/>
          <w:numId w:val="1328"/>
        </w:numPr>
        <w:pStyle w:val="Compact"/>
      </w:pPr>
      <w:r>
        <w:t xml:space="preserve">répartition de la production : hydro 27,34 % (OMVS), thermique 55,64 %, éolien 12,63 %, solaire 4,39 % [1, §2.1.13] [V]. La part des EnR dans la production est donc de 44,36 % [1] [V].</w:t>
      </w:r>
    </w:p>
    <w:p>
      <w:pPr>
        <w:numPr>
          <w:ilvl w:val="1"/>
          <w:numId w:val="1328"/>
        </w:numPr>
        <w:pStyle w:val="Compact"/>
      </w:pPr>
      <w:r>
        <w:t xml:space="preserve">L’annexe II donne d’autres chiffres : 56,92 % d’EnR en capacité et 59,47 % en énergie [1, Ann. II] [V]. Il y a donc une</w:t>
      </w:r>
      <w:r>
        <w:t xml:space="preserve"> </w:t>
      </w:r>
      <w:r>
        <w:rPr>
          <w:bCs/>
          <w:b/>
        </w:rPr>
        <w:t xml:space="preserve">incohérence interne</w:t>
      </w:r>
      <w:r>
        <w:t xml:space="preserve">, probablement entre réseau SOMELEC et périmètre total [E].</w:t>
      </w:r>
    </w:p>
    <w:p>
      <w:pPr>
        <w:numPr>
          <w:ilvl w:val="1"/>
          <w:numId w:val="1328"/>
        </w:numPr>
        <w:pStyle w:val="Compact"/>
      </w:pPr>
      <w:r>
        <w:t xml:space="preserve">Coût moyen de production : environ 40 c$/kWh pour le thermique et 10 c$/kWh pour les renouvelables [1, Ann. II] [V].</w:t>
      </w:r>
    </w:p>
    <w:p>
      <w:pPr>
        <w:numPr>
          <w:ilvl w:val="1"/>
          <w:numId w:val="1328"/>
        </w:numPr>
        <w:pStyle w:val="Compact"/>
      </w:pPr>
      <w:r>
        <w:t xml:space="preserve">Le système est fragmenté : 250 localités électrifiées sur 2 600 sites potentiels [1] [V].</w:t>
      </w:r>
    </w:p>
    <w:p>
      <w:pPr>
        <w:numPr>
          <w:ilvl w:val="0"/>
          <w:numId w:val="1327"/>
        </w:numPr>
        <w:pStyle w:val="Compact"/>
      </w:pPr>
      <w:r>
        <w:rPr>
          <w:bCs/>
          <w:b/>
        </w:rPr>
        <w:t xml:space="preserve">Cuisson propre</w:t>
      </w:r>
      <w:r>
        <w:t xml:space="preserve"> </w:t>
      </w:r>
      <w:r>
        <w:t xml:space="preserve">: 54 % en 2023, selon la modélisation IED/Artelys [1, §2.1.14 et Ann. II] [V]. Pourtant, la déclaration d’engagement parle d’un rythme d’environ 4 % actuellement [1, §1] [V]. Il s’agit probablement d’un rythme annuel de progression et non d’un taux d’accès [E].</w:t>
      </w:r>
    </w:p>
    <w:bookmarkEnd w:id="355"/>
    <w:bookmarkStart w:id="356" w:name="cibles-2030-20"/>
    <w:p>
      <w:pPr>
        <w:pStyle w:val="Heading3"/>
      </w:pPr>
      <w:r>
        <w:t xml:space="preserve">2. Cibles 2030</w:t>
      </w:r>
    </w:p>
    <w:p>
      <w:pPr>
        <w:numPr>
          <w:ilvl w:val="0"/>
          <w:numId w:val="1329"/>
        </w:numPr>
        <w:pStyle w:val="Compact"/>
      </w:pPr>
      <w:r>
        <w:rPr>
          <w:bCs/>
          <w:b/>
        </w:rPr>
        <w:t xml:space="preserve">Accès électricité</w:t>
      </w:r>
      <w:r>
        <w:t xml:space="preserve"> </w:t>
      </w:r>
      <w:r>
        <w:t xml:space="preserve">:</w:t>
      </w:r>
      <w:r>
        <w:t xml:space="preserve"> </w:t>
      </w:r>
      <w:r>
        <w:rPr>
          <w:bCs/>
          <w:b/>
        </w:rPr>
        <w:t xml:space="preserve">100 % en 2030</w:t>
      </w:r>
      <w:r>
        <w:t xml:space="preserve">, soit</w:t>
      </w:r>
      <w:r>
        <w:t xml:space="preserve"> </w:t>
      </w:r>
      <w:r>
        <w:rPr>
          <w:bCs/>
          <w:b/>
        </w:rPr>
        <w:t xml:space="preserve">3,4 millions de personnes supplémentaires</w:t>
      </w:r>
      <w:r>
        <w:t xml:space="preserve"> </w:t>
      </w:r>
      <w:r>
        <w:t xml:space="preserve">[1, §1] [V].</w:t>
      </w:r>
    </w:p>
    <w:p>
      <w:pPr>
        <w:numPr>
          <w:ilvl w:val="1"/>
          <w:numId w:val="1330"/>
        </w:numPr>
        <w:pStyle w:val="Compact"/>
      </w:pPr>
      <w:r>
        <w:t xml:space="preserve">Ventilation : réseau 2 230 587 personnes (dont 1 252 229 via les projets en cours) ; mini-réseaux 723 688 ; kits solaires (SHS) 435 249 [1, tableau §1.1] [V].</w:t>
      </w:r>
    </w:p>
    <w:p>
      <w:pPr>
        <w:numPr>
          <w:ilvl w:val="1"/>
          <w:numId w:val="1330"/>
        </w:numPr>
        <w:pStyle w:val="Compact"/>
      </w:pPr>
      <w:r>
        <w:t xml:space="preserve">L’écart non couvert par les projets en cours est de 2 032 562 personnes : 978 358 par le réseau et 1 054 204 en électrification décentralisée (ERD) [1] [V].</w:t>
      </w:r>
    </w:p>
    <w:p>
      <w:pPr>
        <w:numPr>
          <w:ilvl w:val="0"/>
          <w:numId w:val="1329"/>
        </w:numPr>
        <w:pStyle w:val="Compact"/>
      </w:pPr>
      <w:r>
        <w:rPr>
          <w:bCs/>
          <w:b/>
        </w:rPr>
        <w:t xml:space="preserve">Renouvelables</w:t>
      </w:r>
      <w:r>
        <w:t xml:space="preserve"> </w:t>
      </w:r>
      <w:r>
        <w:t xml:space="preserve">:</w:t>
      </w:r>
      <w:r>
        <w:t xml:space="preserve"> </w:t>
      </w:r>
      <w:r>
        <w:rPr>
          <w:bCs/>
          <w:b/>
        </w:rPr>
        <w:t xml:space="preserve">70 %</w:t>
      </w:r>
      <w:r>
        <w:t xml:space="preserve"> </w:t>
      </w:r>
      <w:r>
        <w:t xml:space="preserve">du mix électrique en 2030 (base 2023 : 44,36 %) et capacité multipliée par 1,66 [1, §1 et §1.1] [V]. Production renouvelable additionnelle d’environ 1,94 TWh et 1,4 Mt CO2e évitées par an [1, §1.1] [V].</w:t>
      </w:r>
    </w:p>
    <w:p>
      <w:pPr>
        <w:numPr>
          <w:ilvl w:val="0"/>
          <w:numId w:val="1329"/>
        </w:numPr>
        <w:pStyle w:val="Compact"/>
      </w:pPr>
      <w:r>
        <w:rPr>
          <w:bCs/>
          <w:b/>
        </w:rPr>
        <w:t xml:space="preserve">Cuisson propre</w:t>
      </w:r>
      <w:r>
        <w:t xml:space="preserve"> </w:t>
      </w:r>
      <w:r>
        <w:t xml:space="preserve">: rythme de</w:t>
      </w:r>
      <w:r>
        <w:t xml:space="preserve"> </w:t>
      </w:r>
      <w:r>
        <w:rPr>
          <w:bCs/>
          <w:b/>
        </w:rPr>
        <w:t xml:space="preserve">12 % par an</w:t>
      </w:r>
      <w:r>
        <w:t xml:space="preserve">, soit 0,48 million de ménages supplémentaires [1, §1] [V]. Le tableau de trajectoire indique « À tripler » [1, §1.1] [V].</w:t>
      </w:r>
    </w:p>
    <w:p>
      <w:pPr>
        <w:numPr>
          <w:ilvl w:val="0"/>
          <w:numId w:val="1329"/>
        </w:numPr>
        <w:pStyle w:val="Compact"/>
      </w:pPr>
      <w:r>
        <w:rPr>
          <w:bCs/>
          <w:b/>
        </w:rPr>
        <w:t xml:space="preserve">Autres</w:t>
      </w:r>
      <w:r>
        <w:t xml:space="preserve"> </w:t>
      </w:r>
      <w:r>
        <w:t xml:space="preserve">:</w:t>
      </w:r>
    </w:p>
    <w:p>
      <w:pPr>
        <w:numPr>
          <w:ilvl w:val="1"/>
          <w:numId w:val="1331"/>
        </w:numPr>
        <w:pStyle w:val="Compact"/>
      </w:pPr>
      <w:r>
        <w:rPr>
          <w:bCs/>
          <w:b/>
        </w:rPr>
        <w:t xml:space="preserve">1,23 Md USD</w:t>
      </w:r>
      <w:r>
        <w:t xml:space="preserve"> </w:t>
      </w:r>
      <w:r>
        <w:t xml:space="preserve">de capitaux privés, soit 1 225,8 M USD (50 % du reste à financer), dont 704,2 M USD pour la production EnR et 51 M USD pour l’ERD [1, §1.1] [V] ;</w:t>
      </w:r>
    </w:p>
    <w:p>
      <w:pPr>
        <w:numPr>
          <w:ilvl w:val="1"/>
          <w:numId w:val="1331"/>
        </w:numPr>
        <w:pStyle w:val="Compact"/>
      </w:pPr>
      <w:r>
        <w:t xml:space="preserve">réseau HT porté à environ 4 500 km et réseau MT/BT à plus de 10 000 km d’ici 2030 [1, §2.2] [V] ;</w:t>
      </w:r>
    </w:p>
    <w:p>
      <w:pPr>
        <w:numPr>
          <w:ilvl w:val="1"/>
          <w:numId w:val="1331"/>
        </w:numPr>
        <w:pStyle w:val="Compact"/>
      </w:pPr>
      <w:r>
        <w:t xml:space="preserve">objectif de rendement de 80 % d’ici 2030, hérité du programme de transformation lancé en 2021 [1, §2.1.6] [V].</w:t>
      </w:r>
    </w:p>
    <w:bookmarkEnd w:id="356"/>
    <w:bookmarkStart w:id="363" w:name="réformes-promises-3"/>
    <w:p>
      <w:pPr>
        <w:pStyle w:val="Heading3"/>
      </w:pPr>
      <w:r>
        <w:t xml:space="preserve">3. Réformes promises</w:t>
      </w:r>
    </w:p>
    <w:bookmarkStart w:id="357" w:name="tarifs-et-subventions-21"/>
    <w:p>
      <w:pPr>
        <w:pStyle w:val="Heading4"/>
      </w:pPr>
      <w:r>
        <w:t xml:space="preserve">3.1 Tarifs et subventions</w:t>
      </w:r>
    </w:p>
    <w:p>
      <w:pPr>
        <w:numPr>
          <w:ilvl w:val="0"/>
          <w:numId w:val="1332"/>
        </w:numPr>
        <w:pStyle w:val="Compact"/>
      </w:pPr>
      <w:r>
        <w:rPr>
          <w:bCs/>
          <w:b/>
        </w:rPr>
        <w:t xml:space="preserve">Aucun engagement explicite d’ajustement tarifaire.</w:t>
      </w:r>
      <w:r>
        <w:t xml:space="preserve"> </w:t>
      </w:r>
      <w:r>
        <w:t xml:space="preserve">Le pacte mise sur la baisse des coûts de production (sortie du fioul lourd, gaz GTA, solaire et éolien sous 6 c$/kWh selon les MoU) pour « garantir la viabilité financière de la SOMELEC d’ici 2030 » [1, §V.a et Plan d’action Pilier V] [V].</w:t>
      </w:r>
    </w:p>
    <w:p>
      <w:pPr>
        <w:numPr>
          <w:ilvl w:val="0"/>
          <w:numId w:val="1332"/>
        </w:numPr>
        <w:pStyle w:val="Compact"/>
      </w:pPr>
      <w:r>
        <w:t xml:space="preserve">Il évoque même des « alternatives pertinentes à l’augmentation de tarif », discutées entre opérateurs sahéliens dans le cadre de Desert-to-Power (DtP) [1, Pilier V, État actuel] [V].</w:t>
      </w:r>
    </w:p>
    <w:p>
      <w:pPr>
        <w:numPr>
          <w:ilvl w:val="0"/>
          <w:numId w:val="1332"/>
        </w:numPr>
        <w:pStyle w:val="Compact"/>
      </w:pPr>
      <w:r>
        <w:t xml:space="preserve">Défis listés : besoin de « subventions claires et périodiques de l’État pour la SOMELEC », de transparence des coûts et d’une comptabilité claire au titre du contrat entre l’État et la SOMELEC [1, Pilier V] [V].</w:t>
      </w:r>
    </w:p>
    <w:p>
      <w:pPr>
        <w:numPr>
          <w:ilvl w:val="0"/>
          <w:numId w:val="1332"/>
        </w:numPr>
        <w:pStyle w:val="Compact"/>
      </w:pPr>
      <w:r>
        <w:rPr>
          <w:bCs/>
          <w:b/>
        </w:rPr>
        <w:t xml:space="preserve">Grille tarifaire citée</w:t>
      </w:r>
      <w:r>
        <w:t xml:space="preserve"> </w:t>
      </w:r>
      <w:r>
        <w:t xml:space="preserve">[1, Ann. II] [V] :</w:t>
      </w:r>
    </w:p>
    <w:p>
      <w:pPr>
        <w:numPr>
          <w:ilvl w:val="1"/>
          <w:numId w:val="1333"/>
        </w:numPr>
        <w:pStyle w:val="Compact"/>
      </w:pPr>
      <w:r>
        <w:t xml:space="preserve">tarif social : 6,47 c$/kWh, prime fixe 73,66 c$ ;</w:t>
      </w:r>
    </w:p>
    <w:p>
      <w:pPr>
        <w:numPr>
          <w:ilvl w:val="1"/>
          <w:numId w:val="1333"/>
        </w:numPr>
        <w:pStyle w:val="Compact"/>
      </w:pPr>
      <w:r>
        <w:t xml:space="preserve">autres abonnements : 15,53 c$/kWh, prime fixe moyenne 64 $ ;</w:t>
      </w:r>
    </w:p>
    <w:p>
      <w:pPr>
        <w:numPr>
          <w:ilvl w:val="1"/>
          <w:numId w:val="1333"/>
        </w:numPr>
        <w:pStyle w:val="Compact"/>
      </w:pPr>
      <w:r>
        <w:t xml:space="preserve">tarif MT : 9,5 c$/kWh, prime fixe 12,66 $.</w:t>
      </w:r>
    </w:p>
    <w:p>
      <w:pPr>
        <w:numPr>
          <w:ilvl w:val="0"/>
          <w:numId w:val="1332"/>
        </w:numPr>
        <w:pStyle w:val="Compact"/>
      </w:pPr>
      <w:r>
        <w:t xml:space="preserve">Recouvrement des coûts d’exploitation à 100 % : « Non ». Le pacte l’attribue à la dépendance aux fossiles, aggravée depuis le conflit Russie-Ukraine [1, Plan d’action Pilier V] [V].</w:t>
      </w:r>
    </w:p>
    <w:p>
      <w:pPr>
        <w:numPr>
          <w:ilvl w:val="0"/>
          <w:numId w:val="1332"/>
        </w:numPr>
        <w:pStyle w:val="Compact"/>
      </w:pPr>
      <w:r>
        <w:rPr>
          <w:bCs/>
          <w:b/>
        </w:rPr>
        <w:t xml:space="preserve">Poids budgétaire</w:t>
      </w:r>
      <w:r>
        <w:t xml:space="preserve"> </w:t>
      </w:r>
      <w:r>
        <w:t xml:space="preserve">: les transferts à la SOMELEC représentent en moyenne</w:t>
      </w:r>
      <w:r>
        <w:t xml:space="preserve"> </w:t>
      </w:r>
      <w:r>
        <w:rPr>
          <w:bCs/>
          <w:b/>
        </w:rPr>
        <w:t xml:space="preserve">2 % du PIB par an</w:t>
      </w:r>
      <w:r>
        <w:t xml:space="preserve"> </w:t>
      </w:r>
      <w:r>
        <w:t xml:space="preserve">sur la dernière décennie. Ils ont dépassé 250 M USD en 2019, soit 3,2 % du PIB [1, §2.1.3] [V].</w:t>
      </w:r>
    </w:p>
    <w:p>
      <w:pPr>
        <w:numPr>
          <w:ilvl w:val="0"/>
          <w:numId w:val="1332"/>
        </w:numPr>
        <w:pStyle w:val="Compact"/>
      </w:pPr>
      <w:r>
        <w:t xml:space="preserve">Taux de change : l’État fixe ses prix par rapport au prix d’import des hydrocarbures et « prend en charge l’écart » [1, Pilier I] [V].</w:t>
      </w:r>
    </w:p>
    <w:p>
      <w:pPr>
        <w:numPr>
          <w:ilvl w:val="0"/>
          <w:numId w:val="1332"/>
        </w:numPr>
        <w:pStyle w:val="Compact"/>
      </w:pPr>
      <w:r>
        <w:t xml:space="preserve">Le montant total des subventions n’est pas renseigné dans l’annexe [?].</w:t>
      </w:r>
    </w:p>
    <w:bookmarkEnd w:id="357"/>
    <w:bookmarkStart w:id="358" w:name="opérateur-3"/>
    <w:p>
      <w:pPr>
        <w:pStyle w:val="Heading4"/>
      </w:pPr>
      <w:r>
        <w:t xml:space="preserve">3.2 Opérateur</w:t>
      </w:r>
    </w:p>
    <w:p>
      <w:pPr>
        <w:numPr>
          <w:ilvl w:val="0"/>
          <w:numId w:val="1334"/>
        </w:numPr>
        <w:pStyle w:val="Compact"/>
      </w:pPr>
      <w:r>
        <w:rPr>
          <w:bCs/>
          <w:b/>
        </w:rPr>
        <w:t xml:space="preserve">Rendement technico-commercial</w:t>
      </w:r>
      <w:r>
        <w:t xml:space="preserve"> </w:t>
      </w:r>
      <w:r>
        <w:t xml:space="preserve">: 62 % (2019), 65,34 % (2021), 75,09 % (2022),</w:t>
      </w:r>
      <w:r>
        <w:t xml:space="preserve"> </w:t>
      </w:r>
      <w:r>
        <w:rPr>
          <w:bCs/>
          <w:b/>
        </w:rPr>
        <w:t xml:space="preserve">77,47 % (fin 2023)</w:t>
      </w:r>
      <w:r>
        <w:t xml:space="preserve"> </w:t>
      </w:r>
      <w:r>
        <w:t xml:space="preserve">[1, Pilier V] [V].</w:t>
      </w:r>
    </w:p>
    <w:p>
      <w:pPr>
        <w:numPr>
          <w:ilvl w:val="0"/>
          <w:numId w:val="1334"/>
        </w:numPr>
        <w:pStyle w:val="Compact"/>
      </w:pPr>
      <w:r>
        <w:t xml:space="preserve">Pertes : « perte combinée de 30 % » estimée, comparée à un opérateur performant (10 % de pertes techniques). Elle équivaut à une perte quasi fiscale d’environ 2 % du PIB [1, Pilier V] [V]. L’annexe indique « 18 % » en face de la ligne ATC&amp;C ; la lecture est ambiguë car la mise en page est éclatée [1, Ann. II] [V pour la valeur, ? pour l’interprétation].</w:t>
      </w:r>
    </w:p>
    <w:p>
      <w:pPr>
        <w:numPr>
          <w:ilvl w:val="0"/>
          <w:numId w:val="1334"/>
        </w:numPr>
        <w:pStyle w:val="Compact"/>
      </w:pPr>
      <w:r>
        <w:t xml:space="preserve">Engagements :</w:t>
      </w:r>
    </w:p>
    <w:p>
      <w:pPr>
        <w:numPr>
          <w:ilvl w:val="1"/>
          <w:numId w:val="1335"/>
        </w:numPr>
        <w:pStyle w:val="Compact"/>
      </w:pPr>
      <w:r>
        <w:t xml:space="preserve">publication régulière des états financiers audités ;</w:t>
      </w:r>
    </w:p>
    <w:p>
      <w:pPr>
        <w:numPr>
          <w:ilvl w:val="1"/>
          <w:numId w:val="1335"/>
        </w:numPr>
        <w:pStyle w:val="Compact"/>
      </w:pPr>
      <w:r>
        <w:t xml:space="preserve">indicateurs de performance UPBEAT (programme META de la Banque mondiale) ;</w:t>
      </w:r>
    </w:p>
    <w:p>
      <w:pPr>
        <w:numPr>
          <w:ilvl w:val="1"/>
          <w:numId w:val="1335"/>
        </w:numPr>
        <w:pStyle w:val="Compact"/>
      </w:pPr>
      <w:r>
        <w:t xml:space="preserve">ajustement du modèle financier de 2022 à la nouvelle organisation de la SOMELEC ;</w:t>
      </w:r>
    </w:p>
    <w:p>
      <w:pPr>
        <w:numPr>
          <w:ilvl w:val="1"/>
          <w:numId w:val="1335"/>
        </w:numPr>
        <w:pStyle w:val="Compact"/>
      </w:pPr>
      <w:r>
        <w:t xml:space="preserve">plan national d’efficacité énergétique dès 2025 (PIEMM/DtP-BAD) ;</w:t>
      </w:r>
    </w:p>
    <w:p>
      <w:pPr>
        <w:numPr>
          <w:ilvl w:val="1"/>
          <w:numId w:val="1335"/>
        </w:numPr>
        <w:pStyle w:val="Compact"/>
      </w:pPr>
      <w:r>
        <w:t xml:space="preserve">poursuite du comptage intelligent [1, §V.a] [V].</w:t>
      </w:r>
    </w:p>
    <w:p>
      <w:pPr>
        <w:numPr>
          <w:ilvl w:val="0"/>
          <w:numId w:val="1334"/>
        </w:numPr>
        <w:pStyle w:val="Compact"/>
      </w:pPr>
      <w:r>
        <w:t xml:space="preserve">Compteurs : 350 000 commandés, dont</w:t>
      </w:r>
      <w:r>
        <w:t xml:space="preserve"> </w:t>
      </w:r>
      <w:r>
        <w:rPr>
          <w:bCs/>
          <w:b/>
        </w:rPr>
        <w:t xml:space="preserve">12 000 posés</w:t>
      </w:r>
      <w:r>
        <w:t xml:space="preserve"> </w:t>
      </w:r>
      <w:r>
        <w:t xml:space="preserve">à Nouakchott, plus 30 000 compteurs intelligents prévus via le PIEMM [1, Plan d’action Pilier V] [V]. Abonnés : 452 000 [1, Ann. II] [V].</w:t>
      </w:r>
    </w:p>
    <w:p>
      <w:pPr>
        <w:numPr>
          <w:ilvl w:val="0"/>
          <w:numId w:val="1334"/>
        </w:numPr>
        <w:pStyle w:val="Compact"/>
      </w:pPr>
      <w:r>
        <w:t xml:space="preserve">Une mission d’appui au recouvrement a été maintenue jusqu’à fin 2024 [1] [V]. Un audit de la SOMELEC est en cours [1] [V].</w:t>
      </w:r>
    </w:p>
    <w:p>
      <w:pPr>
        <w:numPr>
          <w:ilvl w:val="0"/>
          <w:numId w:val="1334"/>
        </w:numPr>
        <w:pStyle w:val="Compact"/>
      </w:pPr>
      <w:r>
        <w:t xml:space="preserve">Revenus 2023 : 207 271 053 $ au total, dont 11 118 421 $ pour l’Administration, 110 826 316 $ pour la BT privée et 85 326 316 $ pour la MT privée [1, Ann. II] [V].</w:t>
      </w:r>
    </w:p>
    <w:bookmarkEnd w:id="358"/>
    <w:bookmarkStart w:id="359" w:name="régulation-et-gouvernance-14"/>
    <w:p>
      <w:pPr>
        <w:pStyle w:val="Heading4"/>
      </w:pPr>
      <w:r>
        <w:t xml:space="preserve">3.3 Régulation et gouvernance</w:t>
      </w:r>
    </w:p>
    <w:p>
      <w:pPr>
        <w:numPr>
          <w:ilvl w:val="0"/>
          <w:numId w:val="1336"/>
        </w:numPr>
        <w:pStyle w:val="Compact"/>
      </w:pPr>
      <w:r>
        <w:t xml:space="preserve">Code de l’électricité de 2022 (loi n° 2022-27). Ses décrets d’application sont annoncés comme finalisés en 2024 [1, §I.b] ; ailleurs, le pacte les dit « prévus de passer en novembre 2024 par le conseil des ministres » [1, Plan d’action] [V].</w:t>
      </w:r>
    </w:p>
    <w:p>
      <w:pPr>
        <w:numPr>
          <w:ilvl w:val="0"/>
          <w:numId w:val="1336"/>
        </w:numPr>
        <w:pStyle w:val="Compact"/>
      </w:pPr>
      <w:r>
        <w:rPr>
          <w:bCs/>
          <w:b/>
        </w:rPr>
        <w:t xml:space="preserve">Code du Réseau</w:t>
      </w:r>
      <w:r>
        <w:t xml:space="preserve"> </w:t>
      </w:r>
      <w:r>
        <w:t xml:space="preserve">à achever mi-2025 (financement PIEMM) [1, §I.a] [V].</w:t>
      </w:r>
    </w:p>
    <w:p>
      <w:pPr>
        <w:numPr>
          <w:ilvl w:val="0"/>
          <w:numId w:val="1336"/>
        </w:numPr>
        <w:pStyle w:val="Compact"/>
      </w:pPr>
      <w:r>
        <w:t xml:space="preserve">Mise en œuvre du Schéma Directeur Production-Transport à l’horizon 2040 (Artelia 2023) [1] [V].</w:t>
      </w:r>
    </w:p>
    <w:p>
      <w:pPr>
        <w:numPr>
          <w:ilvl w:val="0"/>
          <w:numId w:val="1336"/>
        </w:numPr>
        <w:pStyle w:val="Compact"/>
      </w:pPr>
      <w:r>
        <w:t xml:space="preserve">Suivi confié à la Cellule de Transformation du secteur de l’électricité, en lien avec la CPERER [1, §4] [V].</w:t>
      </w:r>
    </w:p>
    <w:p>
      <w:pPr>
        <w:numPr>
          <w:ilvl w:val="0"/>
          <w:numId w:val="1336"/>
        </w:numPr>
        <w:pStyle w:val="Compact"/>
      </w:pPr>
      <w:r>
        <w:t xml:space="preserve">Plan de développement des compétences pour le MEP, le MEDD, la SOMELEC, l’ARE, l’APIM et la DG-PPP [1, §3] [V].</w:t>
      </w:r>
    </w:p>
    <w:bookmarkEnd w:id="359"/>
    <w:bookmarkStart w:id="360" w:name="participation-du-privé-3"/>
    <w:p>
      <w:pPr>
        <w:pStyle w:val="Heading4"/>
      </w:pPr>
      <w:r>
        <w:t xml:space="preserve">3.4 Participation du privé</w:t>
      </w:r>
    </w:p>
    <w:p>
      <w:pPr>
        <w:numPr>
          <w:ilvl w:val="0"/>
          <w:numId w:val="1337"/>
        </w:numPr>
        <w:pStyle w:val="Compact"/>
      </w:pPr>
      <w:r>
        <w:t xml:space="preserve">Appels d’offres concurrentiels pour le solaire et l’éolien, appuyés sur la loi PPP révisée en 2024 [1, §I.b] [V]. Le pacte note toutefois que cette révision « a renforcé la place des offres spontanées » [1, Pilier IV] [V].</w:t>
      </w:r>
    </w:p>
    <w:p>
      <w:pPr>
        <w:numPr>
          <w:ilvl w:val="0"/>
          <w:numId w:val="1337"/>
        </w:numPr>
        <w:pStyle w:val="Compact"/>
      </w:pPr>
      <w:r>
        <w:t xml:space="preserve">Plusieurs projets sont en</w:t>
      </w:r>
      <w:r>
        <w:t xml:space="preserve"> </w:t>
      </w:r>
      <w:r>
        <w:rPr>
          <w:bCs/>
          <w:b/>
        </w:rPr>
        <w:t xml:space="preserve">négociation directe</w:t>
      </w:r>
      <w:r>
        <w:t xml:space="preserve"> </w:t>
      </w:r>
      <w:r>
        <w:t xml:space="preserve">avec la DG-PPP : CCGT de 225 MW sur le gaz GTA, centrale solaire et/ou éolienne de 60 MW à Nouakchott [1, Ann. I] [V].</w:t>
      </w:r>
    </w:p>
    <w:p>
      <w:pPr>
        <w:numPr>
          <w:ilvl w:val="0"/>
          <w:numId w:val="1337"/>
        </w:numPr>
        <w:pStyle w:val="Compact"/>
      </w:pPr>
      <w:r>
        <w:t xml:space="preserve">Cadre IPP et BESS appuyé par DtP. La SOMELEC « restera toujours l’acheteur unique », même si des clients éligibles (mines) seront autorisés [1, Pilier IV] [V].</w:t>
      </w:r>
    </w:p>
    <w:p>
      <w:pPr>
        <w:numPr>
          <w:ilvl w:val="0"/>
          <w:numId w:val="1337"/>
        </w:numPr>
        <w:pStyle w:val="Compact"/>
      </w:pPr>
      <w:r>
        <w:t xml:space="preserve">Mini-réseaux : processus d’approbation réglementaire en place depuis 2024, avec le pilote RIMDIR/PERSEM, premier PPP sectoriel. Ce pilote couvre 120 localités et une subvention de l’État de 10 % du CAPEX [1, §IV.b et Pilier IV] [V].</w:t>
      </w:r>
    </w:p>
    <w:p>
      <w:pPr>
        <w:numPr>
          <w:ilvl w:val="0"/>
          <w:numId w:val="1337"/>
        </w:numPr>
        <w:pStyle w:val="Compact"/>
      </w:pPr>
      <w:r>
        <w:t xml:space="preserve">Fonds : opérationnalisation du FER (Fonds d’Électrification Rurale), alimenté par le FAUS (Fonds d’Accès Universel), et extension du financement basé sur les résultats (RBF) [1] [V].</w:t>
      </w:r>
    </w:p>
    <w:p>
      <w:pPr>
        <w:numPr>
          <w:ilvl w:val="0"/>
          <w:numId w:val="1337"/>
        </w:numPr>
        <w:pStyle w:val="Compact"/>
      </w:pPr>
      <w:r>
        <w:t xml:space="preserve">Politique « Off Grid Solar » en cours de finalisation (programme META) [1, §III.b] [V].</w:t>
      </w:r>
    </w:p>
    <w:bookmarkEnd w:id="360"/>
    <w:bookmarkStart w:id="361" w:name="intégration-régionale-3"/>
    <w:p>
      <w:pPr>
        <w:pStyle w:val="Heading4"/>
      </w:pPr>
      <w:r>
        <w:t xml:space="preserve">3.5 Intégration régionale</w:t>
      </w:r>
    </w:p>
    <w:p>
      <w:pPr>
        <w:numPr>
          <w:ilvl w:val="0"/>
          <w:numId w:val="1338"/>
        </w:numPr>
        <w:pStyle w:val="Compact"/>
      </w:pPr>
      <w:r>
        <w:t xml:space="preserve">Membre de l’OMVS et observateur de l’EEEOA/WAPP. Projets PIEMM/REMP (interconnexion Mauritanie–Mali en 225 kV), dorsale trans-sahélienne DtP, ligne 225 kV Nouakchott–Tobène (Sénégal) [1, §II et Pilier II] [V].</w:t>
      </w:r>
    </w:p>
    <w:p>
      <w:pPr>
        <w:numPr>
          <w:ilvl w:val="0"/>
          <w:numId w:val="1338"/>
        </w:numPr>
        <w:pStyle w:val="Compact"/>
      </w:pPr>
      <w:r>
        <w:t xml:space="preserve">Coûts cités : échanges bilatéraux à 5-6 c$/kWh, échanges dans le pool à 6 c$/kWh, frais de transit (wheeling) de 2 c$/kWh [1, Ann. II] [V].</w:t>
      </w:r>
    </w:p>
    <w:bookmarkEnd w:id="361"/>
    <w:bookmarkStart w:id="362" w:name="autres-3"/>
    <w:p>
      <w:pPr>
        <w:pStyle w:val="Heading4"/>
      </w:pPr>
      <w:r>
        <w:t xml:space="preserve">3.6 Autres</w:t>
      </w:r>
    </w:p>
    <w:p>
      <w:pPr>
        <w:numPr>
          <w:ilvl w:val="0"/>
          <w:numId w:val="1339"/>
        </w:numPr>
        <w:pStyle w:val="Compact"/>
      </w:pPr>
      <w:r>
        <w:t xml:space="preserve">Valorisation du gaz (GTA, Banda, Birallah) et perspectives hydrogène vert « au-delà de 2030 » [1] [V].</w:t>
      </w:r>
    </w:p>
    <w:p>
      <w:pPr>
        <w:numPr>
          <w:ilvl w:val="0"/>
          <w:numId w:val="1339"/>
        </w:numPr>
        <w:pStyle w:val="Compact"/>
      </w:pPr>
      <w:r>
        <w:t xml:space="preserve">Cuisson propre : stratégie nationale en 2025 (butane, gaz de ville à Nouakchott, typha, biogaz) [1, §III.c et Ann. I] [V].</w:t>
      </w:r>
    </w:p>
    <w:p>
      <w:pPr>
        <w:numPr>
          <w:ilvl w:val="0"/>
          <w:numId w:val="1339"/>
        </w:numPr>
        <w:pStyle w:val="Compact"/>
      </w:pPr>
      <w:r>
        <w:t xml:space="preserve">Normes de qualité nationales pour les équipements EnR [1] [V].</w:t>
      </w:r>
    </w:p>
    <w:p>
      <w:pPr>
        <w:numPr>
          <w:ilvl w:val="0"/>
          <w:numId w:val="1339"/>
        </w:numPr>
        <w:pStyle w:val="Compact"/>
      </w:pPr>
      <w:r>
        <w:t xml:space="preserve">Pas d’engagement sur le contenu local ni sur le foncier [?].</w:t>
      </w:r>
    </w:p>
    <w:bookmarkEnd w:id="362"/>
    <w:bookmarkEnd w:id="363"/>
    <w:bookmarkStart w:id="364" w:name="financement-21"/>
    <w:p>
      <w:pPr>
        <w:pStyle w:val="Heading3"/>
      </w:pPr>
      <w:r>
        <w:t xml:space="preserve">4. Financement</w:t>
      </w:r>
    </w:p>
    <w:p>
      <w:pPr>
        <w:numPr>
          <w:ilvl w:val="0"/>
          <w:numId w:val="1340"/>
        </w:numPr>
        <w:pStyle w:val="Compact"/>
      </w:pPr>
      <w:r>
        <w:rPr>
          <w:bCs/>
          <w:b/>
        </w:rPr>
        <w:t xml:space="preserve">Besoin total</w:t>
      </w:r>
      <w:r>
        <w:t xml:space="preserve"> </w:t>
      </w:r>
      <w:r>
        <w:t xml:space="preserve">:</w:t>
      </w:r>
      <w:r>
        <w:t xml:space="preserve"> </w:t>
      </w:r>
      <w:r>
        <w:rPr>
          <w:bCs/>
          <w:b/>
        </w:rPr>
        <w:t xml:space="preserve">3 067,3 M USD</w:t>
      </w:r>
      <w:r>
        <w:t xml:space="preserve">, dont 621,24 M USD déjà sécurisés et</w:t>
      </w:r>
      <w:r>
        <w:t xml:space="preserve"> </w:t>
      </w:r>
      <w:r>
        <w:rPr>
          <w:bCs/>
          <w:b/>
        </w:rPr>
        <w:t xml:space="preserve">2 446,06 M USD restant à financer</w:t>
      </w:r>
      <w:r>
        <w:t xml:space="preserve"> </w:t>
      </w:r>
      <w:r>
        <w:t xml:space="preserve">[1, §5 et Ann. I] [V].</w:t>
      </w:r>
    </w:p>
    <w:p>
      <w:pPr>
        <w:numPr>
          <w:ilvl w:val="0"/>
          <w:numId w:val="1340"/>
        </w:numPr>
        <w:pStyle w:val="Compact"/>
      </w:pPr>
      <w:r>
        <w:t xml:space="preserve">Répartition du reste à financer :</w:t>
      </w:r>
      <w:r>
        <w:t xml:space="preserve"> </w:t>
      </w:r>
      <w:r>
        <w:rPr>
          <w:bCs/>
          <w:b/>
        </w:rPr>
        <w:t xml:space="preserve">1 220,26 M USD publics et 1 225,80 M USD privés</w:t>
      </w:r>
      <w:r>
        <w:t xml:space="preserve"> </w:t>
      </w:r>
      <w:r>
        <w:t xml:space="preserve">(50 %) [1, tableau §5] [V].</w:t>
      </w:r>
    </w:p>
    <w:p>
      <w:pPr>
        <w:numPr>
          <w:ilvl w:val="0"/>
          <w:numId w:val="1340"/>
        </w:numPr>
        <w:pStyle w:val="Compact"/>
      </w:pPr>
      <w:r>
        <w:t xml:space="preserve">Par segment (M USD) : production 1 463,50 (292,26 publics, 1 171,24 privés) ; transport 375 ; distribution 189 ; ERD 155 (104 publics, 51 privés) ; cuisson propre 205 ; assistance technique 58,56 [1] [V].</w:t>
      </w:r>
    </w:p>
    <w:p>
      <w:pPr>
        <w:numPr>
          <w:ilvl w:val="0"/>
          <w:numId w:val="1340"/>
        </w:numPr>
        <w:pStyle w:val="Compact"/>
      </w:pPr>
      <w:r>
        <w:t xml:space="preserve">Échéancier annuel 2025-2030 : 244,61 / 366,91 / 611,52 / 611,52 / 366,91 / 244,61 M USD [1] [V].</w:t>
      </w:r>
    </w:p>
    <w:p>
      <w:pPr>
        <w:numPr>
          <w:ilvl w:val="0"/>
          <w:numId w:val="1340"/>
        </w:numPr>
        <w:pStyle w:val="Compact"/>
      </w:pPr>
      <w:r>
        <w:rPr>
          <w:bCs/>
          <w:b/>
        </w:rPr>
        <w:t xml:space="preserve">Engagements cités</w:t>
      </w:r>
      <w:r>
        <w:t xml:space="preserve"> </w:t>
      </w:r>
      <w:r>
        <w:t xml:space="preserve">[1, Ann. I] [V] :</w:t>
      </w:r>
    </w:p>
    <w:p>
      <w:pPr>
        <w:numPr>
          <w:ilvl w:val="1"/>
          <w:numId w:val="1341"/>
        </w:numPr>
        <w:pStyle w:val="Compact"/>
      </w:pPr>
      <w:r>
        <w:t xml:space="preserve">Banque mondiale : BEST (90 M USD, 72 782 connexions) ; META (assistance technique) ; REMP ;</w:t>
      </w:r>
    </w:p>
    <w:p>
      <w:pPr>
        <w:numPr>
          <w:ilvl w:val="1"/>
          <w:numId w:val="1341"/>
        </w:numPr>
        <w:pStyle w:val="Compact"/>
      </w:pPr>
      <w:r>
        <w:t xml:space="preserve">BAD/AFD : centrale solaire de Kiffa (PIEMM, 58,5 M USD) ; Desert-to-Power ;</w:t>
      </w:r>
    </w:p>
    <w:p>
      <w:pPr>
        <w:numPr>
          <w:ilvl w:val="1"/>
          <w:numId w:val="1341"/>
        </w:numPr>
        <w:pStyle w:val="Compact"/>
      </w:pPr>
      <w:r>
        <w:t xml:space="preserve">Fonds koweïtien : projet Boucle (35 M USD) ;</w:t>
      </w:r>
    </w:p>
    <w:p>
      <w:pPr>
        <w:numPr>
          <w:ilvl w:val="1"/>
          <w:numId w:val="1341"/>
        </w:numPr>
        <w:pStyle w:val="Compact"/>
      </w:pPr>
      <w:r>
        <w:t xml:space="preserve">AFD/UE/BM/BAD : RIMDIR/PERSEM (63 M USD).</w:t>
      </w:r>
    </w:p>
    <w:p>
      <w:pPr>
        <w:numPr>
          <w:ilvl w:val="0"/>
          <w:numId w:val="1340"/>
        </w:numPr>
        <w:pStyle w:val="Compact"/>
      </w:pPr>
      <w:r>
        <w:t xml:space="preserve">Le montant total de la contribution PIEMM n’est pas isolé dans le pacte [?].</w:t>
      </w:r>
    </w:p>
    <w:bookmarkEnd w:id="364"/>
    <w:bookmarkStart w:id="365" w:name="calendrier-et-suivi-21"/>
    <w:p>
      <w:pPr>
        <w:pStyle w:val="Heading3"/>
      </w:pPr>
      <w:r>
        <w:t xml:space="preserve">5. Calendrier et suivi</w:t>
      </w:r>
    </w:p>
    <w:p>
      <w:pPr>
        <w:numPr>
          <w:ilvl w:val="0"/>
          <w:numId w:val="1342"/>
        </w:numPr>
        <w:pStyle w:val="Compact"/>
      </w:pPr>
      <w:r>
        <w:t xml:space="preserve">Jalons : Code du Réseau mi-2025 ; stratégie de cuisson propre en 2025 ; stratégie de viabilité commerciale pour le privé dès 2025 ; programme GIS de suivi-évaluation dès 2025 ; plan d’efficacité énergétique en 2025 [1] [V].</w:t>
      </w:r>
    </w:p>
    <w:p>
      <w:pPr>
        <w:numPr>
          <w:ilvl w:val="0"/>
          <w:numId w:val="1342"/>
        </w:numPr>
        <w:pStyle w:val="Compact"/>
      </w:pPr>
      <w:r>
        <w:t xml:space="preserve">Objectifs annuels d’accès (graphique) : environ 203 000 à 1 044 000 personnes par an selon l’année. La lecture du graphique est imprécise [1, §1.1] [V pour les valeurs, ? pour leur attribution aux années].</w:t>
      </w:r>
    </w:p>
    <w:p>
      <w:pPr>
        <w:numPr>
          <w:ilvl w:val="0"/>
          <w:numId w:val="1342"/>
        </w:numPr>
        <w:pStyle w:val="Compact"/>
      </w:pPr>
      <w:r>
        <w:rPr>
          <w:bCs/>
          <w:b/>
        </w:rPr>
        <w:t xml:space="preserve">Aucun rapport d’avancement publié</w:t>
      </w:r>
      <w:r>
        <w:t xml:space="preserve"> </w:t>
      </w:r>
      <w:r>
        <w:t xml:space="preserve">à la date de consultation [2] [V].</w:t>
      </w:r>
    </w:p>
    <w:bookmarkEnd w:id="365"/>
    <w:bookmarkStart w:id="366" w:name="lecture-critique-analyse-de-lauteur-3"/>
    <w:p>
      <w:pPr>
        <w:pStyle w:val="Heading3"/>
      </w:pPr>
      <w:r>
        <w:t xml:space="preserve">6. Lecture critique (analyse de l’auteur)</w:t>
      </w:r>
    </w:p>
    <w:p>
      <w:pPr>
        <w:numPr>
          <w:ilvl w:val="0"/>
          <w:numId w:val="1343"/>
        </w:numPr>
        <w:pStyle w:val="Compact"/>
      </w:pPr>
      <w:r>
        <w:rPr>
          <w:bCs/>
          <w:b/>
        </w:rPr>
        <w:t xml:space="preserve">Réalisme</w:t>
      </w:r>
      <w:r>
        <w:t xml:space="preserve"> </w:t>
      </w:r>
      <w:r>
        <w:t xml:space="preserve">:</w:t>
      </w:r>
    </w:p>
    <w:p>
      <w:pPr>
        <w:numPr>
          <w:ilvl w:val="1"/>
          <w:numId w:val="1344"/>
        </w:numPr>
        <w:pStyle w:val="Compact"/>
      </w:pPr>
      <w:r>
        <w:t xml:space="preserve">passer de 55 % à 100 % en environ 6 ans, avec un accès rural de 6 % et une population dispersée, paraît</w:t>
      </w:r>
      <w:r>
        <w:t xml:space="preserve"> </w:t>
      </w:r>
      <w:r>
        <w:rPr>
          <w:bCs/>
          <w:b/>
        </w:rPr>
        <w:t xml:space="preserve">très ambitieux</w:t>
      </w:r>
      <w:r>
        <w:t xml:space="preserve">. Le pacte lui-même indique un rythme historique de 6 % par an, « à doubler » [1] [E] ;</w:t>
      </w:r>
    </w:p>
    <w:p>
      <w:pPr>
        <w:numPr>
          <w:ilvl w:val="1"/>
          <w:numId w:val="1344"/>
        </w:numPr>
        <w:pStyle w:val="Compact"/>
      </w:pPr>
      <w:r>
        <w:t xml:space="preserve">les chiffres de nouveaux raccordements à la SNE en annexe (750 / 1 000 / 1 250 ménages en 2022-2024) sont étonnamment faibles et sans rapport avec la cible. Ils sont peut-être exprimés dans une autre unité [1, Ann. II] [E].</w:t>
      </w:r>
    </w:p>
    <w:p>
      <w:pPr>
        <w:numPr>
          <w:ilvl w:val="0"/>
          <w:numId w:val="1343"/>
        </w:numPr>
        <w:pStyle w:val="Compact"/>
      </w:pPr>
      <w:r>
        <w:rPr>
          <w:bCs/>
          <w:b/>
        </w:rPr>
        <w:t xml:space="preserve">Engagements tarifaires</w:t>
      </w:r>
      <w:r>
        <w:t xml:space="preserve"> </w:t>
      </w:r>
      <w:r>
        <w:t xml:space="preserve">:</w:t>
      </w:r>
      <w:r>
        <w:t xml:space="preserve"> </w:t>
      </w:r>
      <w:r>
        <w:rPr>
          <w:bCs/>
          <w:b/>
        </w:rPr>
        <w:t xml:space="preserve">absents ou vagues</w:t>
      </w:r>
      <w:r>
        <w:t xml:space="preserve">. C’est le seul pacte du lot qui évoque explicitement des alternatives à la hausse des tarifs. La viabilité de la SOMELEC repose sur la baisse des coûts (gaz, EnR) et sur des « subventions claires et périodiques ». Ce sont des engagements de transparence, pas de recouvrement des coûts.</w:t>
      </w:r>
    </w:p>
    <w:p>
      <w:pPr>
        <w:numPr>
          <w:ilvl w:val="0"/>
          <w:numId w:val="1343"/>
        </w:numPr>
        <w:pStyle w:val="Compact"/>
      </w:pPr>
      <w:r>
        <w:rPr>
          <w:bCs/>
          <w:b/>
        </w:rPr>
        <w:t xml:space="preserve">Risques</w:t>
      </w:r>
      <w:r>
        <w:t xml:space="preserve"> </w:t>
      </w:r>
      <w:r>
        <w:t xml:space="preserve">:</w:t>
      </w:r>
    </w:p>
    <w:p>
      <w:pPr>
        <w:numPr>
          <w:ilvl w:val="1"/>
          <w:numId w:val="1345"/>
        </w:numPr>
        <w:pStyle w:val="Compact"/>
      </w:pPr>
      <w:r>
        <w:t xml:space="preserve">dépendance aux projets gaziers (calendrier GTA) ;</w:t>
      </w:r>
    </w:p>
    <w:p>
      <w:pPr>
        <w:numPr>
          <w:ilvl w:val="1"/>
          <w:numId w:val="1345"/>
        </w:numPr>
        <w:pStyle w:val="Compact"/>
      </w:pPr>
      <w:r>
        <w:t xml:space="preserve">négociation directe des grands IPP, qui contredit l’engagement d’appels d’offres concurrentiels ;</w:t>
      </w:r>
    </w:p>
    <w:p>
      <w:pPr>
        <w:numPr>
          <w:ilvl w:val="1"/>
          <w:numId w:val="1345"/>
        </w:numPr>
        <w:pStyle w:val="Compact"/>
      </w:pPr>
      <w:r>
        <w:t xml:space="preserve">acheteur unique financièrement fragile ;</w:t>
      </w:r>
    </w:p>
    <w:p>
      <w:pPr>
        <w:numPr>
          <w:ilvl w:val="1"/>
          <w:numId w:val="1345"/>
        </w:numPr>
        <w:pStyle w:val="Compact"/>
      </w:pPr>
      <w:r>
        <w:t xml:space="preserve">poids budgétaire (2 % du PIB) ;</w:t>
      </w:r>
    </w:p>
    <w:p>
      <w:pPr>
        <w:numPr>
          <w:ilvl w:val="1"/>
          <w:numId w:val="1345"/>
        </w:numPr>
        <w:pStyle w:val="Compact"/>
      </w:pPr>
      <w:r>
        <w:t xml:space="preserve">incohérences de données (part EnR, cuisson propre).</w:t>
      </w:r>
    </w:p>
    <w:p>
      <w:pPr>
        <w:numPr>
          <w:ilvl w:val="0"/>
          <w:numId w:val="1343"/>
        </w:numPr>
        <w:pStyle w:val="Compact"/>
      </w:pPr>
      <w:r>
        <w:rPr>
          <w:bCs/>
          <w:b/>
        </w:rPr>
        <w:t xml:space="preserve">Phase 2 (opérateur)</w:t>
      </w:r>
      <w:r>
        <w:t xml:space="preserve"> </w:t>
      </w:r>
      <w:r>
        <w:t xml:space="preserve">: contrat État-SOMELEC ; comptes audités de la holding et des filiales ; pertes réelles (18 % ou 30 %) ; avancement du déploiement des 350 000 compteurs.</w:t>
      </w:r>
    </w:p>
    <w:p>
      <w:pPr>
        <w:numPr>
          <w:ilvl w:val="0"/>
          <w:numId w:val="1343"/>
        </w:numPr>
        <w:pStyle w:val="Compact"/>
      </w:pPr>
      <w:r>
        <w:rPr>
          <w:bCs/>
          <w:b/>
        </w:rPr>
        <w:t xml:space="preserve">Phase 3 (tarifs)</w:t>
      </w:r>
      <w:r>
        <w:t xml:space="preserve"> </w:t>
      </w:r>
      <w:r>
        <w:t xml:space="preserve">: coût moyen par kWh face aux tarifs (6,47 / 15,53 / 9,5 c$) ; montant annuel de la compensation ou de la subvention ; mécanisme d’indexation sur le prix des hydrocarbures.</w:t>
      </w:r>
    </w:p>
    <w:bookmarkEnd w:id="366"/>
    <w:bookmarkStart w:id="367" w:name="inconnus-données-non-trouvées-21"/>
    <w:p>
      <w:pPr>
        <w:pStyle w:val="Heading3"/>
      </w:pPr>
      <w:r>
        <w:t xml:space="preserve">7. Inconnus / données non trouvées</w:t>
      </w:r>
    </w:p>
    <w:p>
      <w:pPr>
        <w:numPr>
          <w:ilvl w:val="0"/>
          <w:numId w:val="1346"/>
        </w:numPr>
        <w:pStyle w:val="Compact"/>
      </w:pPr>
      <w:r>
        <w:t xml:space="preserve">Date et cohorte de présentation officielles (sommet de Dar es Salaam ?) [?].</w:t>
      </w:r>
    </w:p>
    <w:p>
      <w:pPr>
        <w:numPr>
          <w:ilvl w:val="0"/>
          <w:numId w:val="1346"/>
        </w:numPr>
        <w:pStyle w:val="Compact"/>
      </w:pPr>
      <w:r>
        <w:t xml:space="preserve">Montant annuel des subventions ou compensations à la SOMELEC (hors moyenne de 2 % du PIB) [?].</w:t>
      </w:r>
    </w:p>
    <w:p>
      <w:pPr>
        <w:numPr>
          <w:ilvl w:val="0"/>
          <w:numId w:val="1346"/>
        </w:numPr>
        <w:pStyle w:val="Compact"/>
      </w:pPr>
      <w:r>
        <w:t xml:space="preserve">Pertes ATC&amp;C (18 % ou 30 % ?) [?].</w:t>
      </w:r>
    </w:p>
    <w:p>
      <w:pPr>
        <w:numPr>
          <w:ilvl w:val="0"/>
          <w:numId w:val="1346"/>
        </w:numPr>
        <w:pStyle w:val="Compact"/>
      </w:pPr>
      <w:r>
        <w:t xml:space="preserve">Trajectoire de recouvrement des coûts [?].</w:t>
      </w:r>
    </w:p>
    <w:p>
      <w:pPr>
        <w:numPr>
          <w:ilvl w:val="0"/>
          <w:numId w:val="1346"/>
        </w:numPr>
        <w:pStyle w:val="Compact"/>
      </w:pPr>
      <w:r>
        <w:t xml:space="preserve">Rapport d’avancement Mission 300 [?].</w:t>
      </w:r>
    </w:p>
    <w:p>
      <w:pPr>
        <w:numPr>
          <w:ilvl w:val="0"/>
          <w:numId w:val="1346"/>
        </w:numPr>
        <w:pStyle w:val="Compact"/>
      </w:pPr>
      <w:r>
        <w:t xml:space="preserve">Dettes et arriérés de la SOMELEC (case « - » dans l’annexe) [?].</w:t>
      </w:r>
    </w:p>
    <w:bookmarkEnd w:id="367"/>
    <w:bookmarkStart w:id="368" w:name="sources-22"/>
    <w:p>
      <w:pPr>
        <w:pStyle w:val="Heading3"/>
      </w:pPr>
      <w:r>
        <w:t xml:space="preserve">Sources</w:t>
      </w:r>
    </w:p>
    <w:p>
      <w:pPr>
        <w:pStyle w:val="FirstParagraph"/>
      </w:pPr>
      <w:r>
        <w:t xml:space="preserve">[1] Gouvernement de la République Islamique de Mauritanie, « Pacte National de l’Énergie pour la République Islamique de Mauritanie », décembre 2024, 37 p. (FR). https://www.worldbank.org/content/dam/theworldbankgroupasset/document/2026/m300-energy-compacts/Mauritanie-M300-AES-Compact.pdf</w:t>
      </w:r>
      <w:r>
        <w:t xml:space="preserve"> </w:t>
      </w:r>
      <w:r>
        <w:t xml:space="preserve">[2] Banque mondiale, page « National Energy Compacts » (liste des pactes et rapports d’avancement), https://www.worldbank.org/ext/en/energizingafrica/national-energy-compacts, consultée le 18/10/2026.</w:t>
      </w:r>
    </w:p>
    <w:p>
      <w:r>
        <w:br w:type="page"/>
      </w:r>
    </w:p>
    <w:bookmarkEnd w:id="368"/>
    <w:bookmarkEnd w:id="369"/>
    <w:bookmarkStart w:id="380" w:name="fiche-pacte-national-de-lénergie-malawi"/>
    <w:p>
      <w:pPr>
        <w:pStyle w:val="Heading2"/>
      </w:pPr>
      <w:r>
        <w:t xml:space="preserve">Fiche pacte national de l’énergie — Malawi</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370" w:name="métadonnées-22"/>
    <w:p>
      <w:pPr>
        <w:pStyle w:val="Heading3"/>
      </w:pPr>
      <w:r>
        <w:t xml:space="preserve">0. Métadonnées</w:t>
      </w:r>
    </w:p>
    <w:p>
      <w:pPr>
        <w:numPr>
          <w:ilvl w:val="0"/>
          <w:numId w:val="1347"/>
        </w:numPr>
        <w:pStyle w:val="Compact"/>
      </w:pPr>
      <w:r>
        <w:t xml:space="preserve">Cohorte / date de présentation :</w:t>
      </w:r>
      <w:r>
        <w:t xml:space="preserve"> </w:t>
      </w:r>
      <w:r>
        <w:rPr>
          <w:bCs/>
          <w:b/>
        </w:rPr>
        <w:t xml:space="preserve">1re cohorte</w:t>
      </w:r>
      <w:r>
        <w:t xml:space="preserve"> </w:t>
      </w:r>
      <w:r>
        <w:t xml:space="preserve">(12 pays), pacte présenté en</w:t>
      </w:r>
      <w:r>
        <w:t xml:space="preserve"> </w:t>
      </w:r>
      <w:r>
        <w:rPr>
          <w:bCs/>
          <w:b/>
        </w:rPr>
        <w:t xml:space="preserve">janvier 2025</w:t>
      </w:r>
      <w:r>
        <w:t xml:space="preserve"> </w:t>
      </w:r>
      <w:r>
        <w:t xml:space="preserve">au sommet africain de l’énergie de</w:t>
      </w:r>
      <w:r>
        <w:t xml:space="preserve"> </w:t>
      </w:r>
      <w:r>
        <w:rPr>
          <w:bCs/>
          <w:b/>
        </w:rPr>
        <w:t xml:space="preserve">Dar es Salaam</w:t>
      </w:r>
      <w:r>
        <w:t xml:space="preserve"> </w:t>
      </w:r>
      <w:r>
        <w:t xml:space="preserve">(selon le rapport d’avancement) [2] [V]. Page BM : « Jan 2025 » [3] [V].</w:t>
      </w:r>
    </w:p>
    <w:p>
      <w:pPr>
        <w:numPr>
          <w:ilvl w:val="0"/>
          <w:numId w:val="1347"/>
        </w:numPr>
        <w:pStyle w:val="Compact"/>
      </w:pPr>
      <w:r>
        <w:t xml:space="preserve">Document consulté : « National Energy Compact for Malawi » (#PoweringAfrica), 48 pages, anglais : https://www.worldbank.org/content/dam/theworldbankgroupasset/document/2026/m300-energy-compacts/Malawi-M300-AES-Compact.pdf [1]. Le texte extrait ne comporte</w:t>
      </w:r>
      <w:r>
        <w:t xml:space="preserve"> </w:t>
      </w:r>
      <w:r>
        <w:rPr>
          <w:bCs/>
          <w:b/>
        </w:rPr>
        <w:t xml:space="preserve">pas de signataire nommé</w:t>
      </w:r>
      <w:r>
        <w:t xml:space="preserve"> </w:t>
      </w:r>
      <w:r>
        <w:t xml:space="preserve">ni de date de signature [1] [V].</w:t>
      </w:r>
    </w:p>
    <w:p>
      <w:pPr>
        <w:numPr>
          <w:ilvl w:val="0"/>
          <w:numId w:val="1347"/>
        </w:numPr>
        <w:pStyle w:val="Compact"/>
      </w:pPr>
      <w:r>
        <w:t xml:space="preserve">Document complémentaire : « Mission 300 Compact Progress Report — Second cycle of data collection 2025 — Malawi », mars 2026, 8 p., préparé et validé par l’Unité de livraison et de suivi du pacte (CDMU) : https://www.worldbank.org/content/dam/theworldbankgroupasset/document/2026/m300-energy-compacts/progress-reports/malawi_mission-300_compact-progress-report_q12026.pdf [2].</w:t>
      </w:r>
    </w:p>
    <w:p>
      <w:pPr>
        <w:numPr>
          <w:ilvl w:val="0"/>
          <w:numId w:val="1347"/>
        </w:numPr>
        <w:pStyle w:val="Compact"/>
      </w:pPr>
      <w:r>
        <w:t xml:space="preserve">Accès au texte intégral :</w:t>
      </w:r>
      <w:r>
        <w:t xml:space="preserve"> </w:t>
      </w:r>
      <w:r>
        <w:rPr>
          <w:bCs/>
          <w:b/>
        </w:rPr>
        <w:t xml:space="preserve">oui</w:t>
      </w:r>
      <w:r>
        <w:t xml:space="preserve"> </w:t>
      </w:r>
      <w:r>
        <w:t xml:space="preserve">[1] [V].</w:t>
      </w:r>
    </w:p>
    <w:p>
      <w:pPr>
        <w:numPr>
          <w:ilvl w:val="0"/>
          <w:numId w:val="1347"/>
        </w:numPr>
        <w:pStyle w:val="Compact"/>
      </w:pPr>
      <w:r>
        <w:t xml:space="preserve">Opérateur(s) :</w:t>
      </w:r>
      <w:r>
        <w:t xml:space="preserve"> </w:t>
      </w:r>
      <w:r>
        <w:rPr>
          <w:bCs/>
          <w:b/>
        </w:rPr>
        <w:t xml:space="preserve">ESCOM</w:t>
      </w:r>
      <w:r>
        <w:t xml:space="preserve"> </w:t>
      </w:r>
      <w:r>
        <w:t xml:space="preserve">(Electricity Supply Corporation of Malawi — transport, distribution, acheteur unique avec comptes cantonnés, opérateur système et marché) ;</w:t>
      </w:r>
      <w:r>
        <w:t xml:space="preserve"> </w:t>
      </w:r>
      <w:r>
        <w:rPr>
          <w:bCs/>
          <w:b/>
        </w:rPr>
        <w:t xml:space="preserve">EGENCO</w:t>
      </w:r>
      <w:r>
        <w:t xml:space="preserve"> </w:t>
      </w:r>
      <w:r>
        <w:t xml:space="preserve">(production publique, issue du dégroupage de 2016) ; IPP [1] [V].</w:t>
      </w:r>
    </w:p>
    <w:p>
      <w:pPr>
        <w:numPr>
          <w:ilvl w:val="0"/>
          <w:numId w:val="1347"/>
        </w:numPr>
        <w:pStyle w:val="Compact"/>
      </w:pPr>
      <w:r>
        <w:t xml:space="preserve">Régulateur :</w:t>
      </w:r>
      <w:r>
        <w:t xml:space="preserve"> </w:t>
      </w:r>
      <w:r>
        <w:rPr>
          <w:bCs/>
          <w:b/>
        </w:rPr>
        <w:t xml:space="preserve">MERA</w:t>
      </w:r>
      <w:r>
        <w:t xml:space="preserve"> </w:t>
      </w:r>
      <w:r>
        <w:t xml:space="preserve">(Malawi Energy Regulatory Authority) [1] [V].</w:t>
      </w:r>
    </w:p>
    <w:bookmarkEnd w:id="370"/>
    <w:bookmarkStart w:id="371" w:name="situation-de-départ-selon-le-pacte-22"/>
    <w:p>
      <w:pPr>
        <w:pStyle w:val="Heading3"/>
      </w:pPr>
      <w:r>
        <w:t xml:space="preserve">1. Situation de départ (selon le pacte)</w:t>
      </w:r>
    </w:p>
    <w:p>
      <w:pPr>
        <w:numPr>
          <w:ilvl w:val="0"/>
          <w:numId w:val="1348"/>
        </w:numPr>
        <w:pStyle w:val="Compact"/>
      </w:pPr>
      <w:r>
        <w:t xml:space="preserve">Taux d’accès :</w:t>
      </w:r>
      <w:r>
        <w:t xml:space="preserve"> </w:t>
      </w:r>
      <w:r>
        <w:rPr>
          <w:bCs/>
          <w:b/>
        </w:rPr>
        <w:t xml:space="preserve">25,9 %</w:t>
      </w:r>
      <w:r>
        <w:t xml:space="preserve"> </w:t>
      </w:r>
      <w:r>
        <w:t xml:space="preserve">(MTF 2023), dont</w:t>
      </w:r>
      <w:r>
        <w:t xml:space="preserve"> </w:t>
      </w:r>
      <w:r>
        <w:rPr>
          <w:bCs/>
          <w:b/>
        </w:rPr>
        <w:t xml:space="preserve">11,3 % réseau</w:t>
      </w:r>
      <w:r>
        <w:t xml:space="preserve"> </w:t>
      </w:r>
      <w:r>
        <w:t xml:space="preserve">et</w:t>
      </w:r>
      <w:r>
        <w:t xml:space="preserve"> </w:t>
      </w:r>
      <w:r>
        <w:rPr>
          <w:bCs/>
          <w:b/>
        </w:rPr>
        <w:t xml:space="preserve">14,6 % hors réseau</w:t>
      </w:r>
      <w:r>
        <w:t xml:space="preserve"> </w:t>
      </w:r>
      <w:r>
        <w:t xml:space="preserve">(systèmes d’éclairage solaire 7 %, lanternes 3,7 %, SHS 1,5 %, batteries 2,1 %, groupes 0,02 %) [1] [V]. Réseau : 56,5 % des ménages urbains vs 3,8 % des ménages ruraux [1] [V]. Ménages dirigés par une femme : 18 % d’accès vs 29,4 % pour les hommes [1] [V].</w:t>
      </w:r>
    </w:p>
    <w:p>
      <w:pPr>
        <w:numPr>
          <w:ilvl w:val="0"/>
          <w:numId w:val="1348"/>
        </w:numPr>
        <w:pStyle w:val="Compact"/>
      </w:pPr>
      <w:r>
        <w:t xml:space="preserve">Population sans accès : non chiffrée directement [?]. Population ≈ 20,1 M (23,1 M en 2030) [1] [V]. Le rapport d’avancement indique une base 2023 de</w:t>
      </w:r>
      <w:r>
        <w:t xml:space="preserve"> </w:t>
      </w:r>
      <w:r>
        <w:rPr>
          <w:bCs/>
          <w:b/>
        </w:rPr>
        <w:t xml:space="preserve">2 963 136 personnes</w:t>
      </w:r>
      <w:r>
        <w:t xml:space="preserve"> </w:t>
      </w:r>
      <w:r>
        <w:t xml:space="preserve">ayant accès [2] [V].</w:t>
      </w:r>
    </w:p>
    <w:p>
      <w:pPr>
        <w:numPr>
          <w:ilvl w:val="0"/>
          <w:numId w:val="1348"/>
        </w:numPr>
        <w:pStyle w:val="Compact"/>
      </w:pPr>
      <w:r>
        <w:t xml:space="preserve">Capacité installée :</w:t>
      </w:r>
      <w:r>
        <w:t xml:space="preserve"> </w:t>
      </w:r>
      <w:r>
        <w:rPr>
          <w:bCs/>
          <w:b/>
        </w:rPr>
        <w:t xml:space="preserve">550 MW</w:t>
      </w:r>
      <w:r>
        <w:t xml:space="preserve"> </w:t>
      </w:r>
      <w:r>
        <w:t xml:space="preserve">(hydro 398 MW / 73 %, solaire 101 MW / 18 %, diesel 52 MW / 9 %) ; EGENCO 444 MW (81 %), IPP 112 MW [1] [V] (la somme 444 + 112 = 556 ≠ 550, incohérence mineure). Disponible : 469 MW (annexe III) [1] [V]. Réseau transport 2 650 km (max 400 kV) ; MT 17 139 km [1] [V].</w:t>
      </w:r>
    </w:p>
    <w:p>
      <w:pPr>
        <w:numPr>
          <w:ilvl w:val="0"/>
          <w:numId w:val="1348"/>
        </w:numPr>
        <w:pStyle w:val="Compact"/>
      </w:pPr>
      <w:r>
        <w:t xml:space="preserve">Cuisson propre : « seulement</w:t>
      </w:r>
      <w:r>
        <w:t xml:space="preserve"> </w:t>
      </w:r>
      <w:r>
        <w:rPr>
          <w:bCs/>
          <w:b/>
        </w:rPr>
        <w:t xml:space="preserve">2 %</w:t>
      </w:r>
      <w:r>
        <w:t xml:space="preserve"> </w:t>
      </w:r>
      <w:r>
        <w:t xml:space="preserve">des ménages utilisent des combustibles propres » [1] [V], mais la cible est calculée sur une base « clean cooking » élargie (foyers améliorés inclus) de</w:t>
      </w:r>
      <w:r>
        <w:t xml:space="preserve"> </w:t>
      </w:r>
      <w:r>
        <w:rPr>
          <w:bCs/>
          <w:b/>
        </w:rPr>
        <w:t xml:space="preserve">24,5 % (2023)</w:t>
      </w:r>
      <w:r>
        <w:t xml:space="preserve"> </w:t>
      </w:r>
      <w:r>
        <w:t xml:space="preserve">[1][2] [V]. &gt; 98 % de l’énergie domestique provient de la biomasse [1] [V].</w:t>
      </w:r>
    </w:p>
    <w:bookmarkEnd w:id="371"/>
    <w:bookmarkStart w:id="372" w:name="cibles-2030-21"/>
    <w:p>
      <w:pPr>
        <w:pStyle w:val="Heading3"/>
      </w:pPr>
      <w:r>
        <w:t xml:space="preserve">2. Cibles 2030</w:t>
      </w:r>
    </w:p>
    <w:p>
      <w:pPr>
        <w:numPr>
          <w:ilvl w:val="0"/>
          <w:numId w:val="1349"/>
        </w:numPr>
        <w:pStyle w:val="Compact"/>
      </w:pPr>
      <w:r>
        <w:t xml:space="preserve">Accès électricité :</w:t>
      </w:r>
      <w:r>
        <w:t xml:space="preserve"> </w:t>
      </w:r>
      <w:r>
        <w:rPr>
          <w:bCs/>
          <w:b/>
        </w:rPr>
        <w:t xml:space="preserve">70 %</w:t>
      </w:r>
      <w:r>
        <w:t xml:space="preserve"> </w:t>
      </w:r>
      <w:r>
        <w:t xml:space="preserve">(et non 100 %) en 2030 :</w:t>
      </w:r>
      <w:r>
        <w:t xml:space="preserve"> </w:t>
      </w:r>
      <w:r>
        <w:rPr>
          <w:bCs/>
          <w:b/>
        </w:rPr>
        <w:t xml:space="preserve">30,1 % réseau</w:t>
      </w:r>
      <w:r>
        <w:t xml:space="preserve"> </w:t>
      </w:r>
      <w:r>
        <w:t xml:space="preserve">+</w:t>
      </w:r>
      <w:r>
        <w:t xml:space="preserve"> </w:t>
      </w:r>
      <w:r>
        <w:rPr>
          <w:bCs/>
          <w:b/>
        </w:rPr>
        <w:t xml:space="preserve">40 % hors réseau</w:t>
      </w:r>
      <w:r>
        <w:t xml:space="preserve"> </w:t>
      </w:r>
      <w:r>
        <w:t xml:space="preserve">(mini-réseaux 2,6 %, solaire et autres 37,4 %) [1] [V].</w:t>
      </w:r>
    </w:p>
    <w:p>
      <w:pPr>
        <w:numPr>
          <w:ilvl w:val="1"/>
          <w:numId w:val="1350"/>
        </w:numPr>
        <w:pStyle w:val="Compact"/>
      </w:pPr>
      <w:r>
        <w:rPr>
          <w:bCs/>
          <w:b/>
        </w:rPr>
        <w:t xml:space="preserve">1,15 million</w:t>
      </w:r>
      <w:r>
        <w:t xml:space="preserve"> </w:t>
      </w:r>
      <w:r>
        <w:t xml:space="preserve">de raccordements réseau et</w:t>
      </w:r>
      <w:r>
        <w:t xml:space="preserve"> </w:t>
      </w:r>
      <w:r>
        <w:rPr>
          <w:bCs/>
          <w:b/>
        </w:rPr>
        <w:t xml:space="preserve">1,55 million</w:t>
      </w:r>
      <w:r>
        <w:t xml:space="preserve"> </w:t>
      </w:r>
      <w:r>
        <w:t xml:space="preserve">hors réseau supplémentaires [1] [V] ; ~230 000 ménages/an au réseau ; 244 000 ménages/an en SHS et 13 600/an en mini-réseaux [1] [V]. L’annexe III donne toutefois ~209 950 ménages/an au réseau en 2026-2030 [1] [V].</w:t>
      </w:r>
    </w:p>
    <w:p>
      <w:pPr>
        <w:numPr>
          <w:ilvl w:val="1"/>
          <w:numId w:val="1350"/>
        </w:numPr>
        <w:pStyle w:val="Compact"/>
      </w:pPr>
      <w:r>
        <w:t xml:space="preserve">Rapport d’avancement :</w:t>
      </w:r>
      <w:r>
        <w:t xml:space="preserve"> </w:t>
      </w:r>
      <w:r>
        <w:rPr>
          <w:bCs/>
          <w:b/>
        </w:rPr>
        <w:t xml:space="preserve">+14,15 millions de personnes</w:t>
      </w:r>
      <w:r>
        <w:t xml:space="preserve">, soit 17,11 M au total en 2030 [2] [V].</w:t>
      </w:r>
    </w:p>
    <w:p>
      <w:pPr>
        <w:numPr>
          <w:ilvl w:val="0"/>
          <w:numId w:val="1349"/>
        </w:numPr>
        <w:pStyle w:val="Compact"/>
      </w:pPr>
      <w:r>
        <w:t xml:space="preserve">Part des renouvelables (hydro incluse) dans le mix : de</w:t>
      </w:r>
      <w:r>
        <w:t xml:space="preserve"> </w:t>
      </w:r>
      <w:r>
        <w:rPr>
          <w:bCs/>
          <w:b/>
        </w:rPr>
        <w:t xml:space="preserve">90 % à 96 %</w:t>
      </w:r>
      <w:r>
        <w:t xml:space="preserve"> </w:t>
      </w:r>
      <w:r>
        <w:t xml:space="preserve">(96,1 % en 2030) [1] [V] ; base 2023 = 92,2 % selon le rapport d’avancement [2] [V].</w:t>
      </w:r>
    </w:p>
    <w:p>
      <w:pPr>
        <w:numPr>
          <w:ilvl w:val="0"/>
          <w:numId w:val="1349"/>
        </w:numPr>
        <w:pStyle w:val="Compact"/>
      </w:pPr>
      <w:r>
        <w:t xml:space="preserve">Cuisson propre :</w:t>
      </w:r>
      <w:r>
        <w:t xml:space="preserve"> </w:t>
      </w:r>
      <w:r>
        <w:rPr>
          <w:bCs/>
          <w:b/>
        </w:rPr>
        <w:t xml:space="preserve">75 %</w:t>
      </w:r>
      <w:r>
        <w:t xml:space="preserve"> </w:t>
      </w:r>
      <w:r>
        <w:t xml:space="preserve">des ménages ; 146 000 foyers à bois avancés/an + 117 000 GPL, 53 000 électriques, 80 000 biogaz, 40 000 éthanol/paraffine/an ; sortir 38 % de la population du Tier 0 [1] [V]. Ailleurs : 100 000 ménages urbains + 490 000 ruraux/an [1] [V].</w:t>
      </w:r>
    </w:p>
    <w:p>
      <w:pPr>
        <w:numPr>
          <w:ilvl w:val="0"/>
          <w:numId w:val="1349"/>
        </w:numPr>
        <w:pStyle w:val="Compact"/>
      </w:pPr>
      <w:r>
        <w:t xml:space="preserve">Autres cibles :</w:t>
      </w:r>
    </w:p>
    <w:p>
      <w:pPr>
        <w:numPr>
          <w:ilvl w:val="1"/>
          <w:numId w:val="1351"/>
        </w:numPr>
        <w:pStyle w:val="Compact"/>
      </w:pPr>
      <w:r>
        <w:rPr>
          <w:bCs/>
          <w:b/>
        </w:rPr>
        <w:t xml:space="preserve">+848 MW</w:t>
      </w:r>
      <w:r>
        <w:t xml:space="preserve"> </w:t>
      </w:r>
      <w:r>
        <w:t xml:space="preserve">de capacité, dont</w:t>
      </w:r>
      <w:r>
        <w:t xml:space="preserve"> </w:t>
      </w:r>
      <w:r>
        <w:rPr>
          <w:bCs/>
          <w:b/>
        </w:rPr>
        <w:t xml:space="preserve">714 MW privés</w:t>
      </w:r>
      <w:r>
        <w:t xml:space="preserve"> </w:t>
      </w:r>
      <w:r>
        <w:t xml:space="preserve">; production d’au moins 5 166 GWh en 2030 ; pointe 774 MW [1] [V].</w:t>
      </w:r>
    </w:p>
    <w:p>
      <w:pPr>
        <w:numPr>
          <w:ilvl w:val="1"/>
          <w:numId w:val="1351"/>
        </w:numPr>
        <w:pStyle w:val="Compact"/>
      </w:pPr>
      <w:r>
        <w:t xml:space="preserve">+22 417 km de lignes de distribution, +1 940 km de transport [1] [V].</w:t>
      </w:r>
    </w:p>
    <w:p>
      <w:pPr>
        <w:numPr>
          <w:ilvl w:val="1"/>
          <w:numId w:val="1351"/>
        </w:numPr>
        <w:pStyle w:val="Compact"/>
      </w:pPr>
      <w:r>
        <w:t xml:space="preserve">Capital privé :</w:t>
      </w:r>
      <w:r>
        <w:t xml:space="preserve"> </w:t>
      </w:r>
      <w:r>
        <w:rPr>
          <w:bCs/>
          <w:b/>
        </w:rPr>
        <w:t xml:space="preserve">1 622 M US$</w:t>
      </w:r>
      <w:r>
        <w:t xml:space="preserve"> </w:t>
      </w:r>
      <w:r>
        <w:t xml:space="preserve">cumulés en 2030 (réseau 1 593 M) [1] [V] ; le rapport d’avancement donne une cible de</w:t>
      </w:r>
      <w:r>
        <w:t xml:space="preserve"> </w:t>
      </w:r>
      <w:r>
        <w:rPr>
          <w:bCs/>
          <w:b/>
        </w:rPr>
        <w:t xml:space="preserve">2 474 M US$</w:t>
      </w:r>
      <w:r>
        <w:t xml:space="preserve"> </w:t>
      </w:r>
      <w:r>
        <w:t xml:space="preserve">[2] [V] — écart non expliqué.</w:t>
      </w:r>
    </w:p>
    <w:p>
      <w:pPr>
        <w:numPr>
          <w:ilvl w:val="1"/>
          <w:numId w:val="1351"/>
        </w:numPr>
        <w:pStyle w:val="Compact"/>
      </w:pPr>
      <w:r>
        <w:t xml:space="preserve">Réductions d’émissions : 4 090 ktCO2e en 2030 [1] [V].</w:t>
      </w:r>
    </w:p>
    <w:p>
      <w:pPr>
        <w:numPr>
          <w:ilvl w:val="1"/>
          <w:numId w:val="1351"/>
        </w:numPr>
        <w:pStyle w:val="Compact"/>
      </w:pPr>
      <w:r>
        <w:t xml:space="preserve">Électrification des institutions publiques : ~3 500 sites en solaire autonome (72 M US$) et ~3 060 par réseau [1] [V].</w:t>
      </w:r>
    </w:p>
    <w:bookmarkEnd w:id="372"/>
    <w:bookmarkStart w:id="374" w:name="réformes-promises-cœur-de-lanalyse-18"/>
    <w:p>
      <w:pPr>
        <w:pStyle w:val="Heading3"/>
      </w:pPr>
      <w:r>
        <w:t xml:space="preserve">3. Réformes promises (cœur de l’analyse)</w:t>
      </w:r>
    </w:p>
    <w:bookmarkStart w:id="373" w:name="tarifs-et-subventions-22"/>
    <w:p>
      <w:pPr>
        <w:pStyle w:val="Heading4"/>
      </w:pPr>
      <w:r>
        <w:t xml:space="preserve">3.1 Tarifs et subventions</w:t>
      </w:r>
    </w:p>
    <w:p>
      <w:pPr>
        <w:numPr>
          <w:ilvl w:val="0"/>
          <w:numId w:val="1352"/>
        </w:numPr>
        <w:pStyle w:val="Compact"/>
      </w:pPr>
      <w:r>
        <w:rPr>
          <w:bCs/>
          <w:b/>
        </w:rPr>
        <w:t xml:space="preserve">Faire appliquer les grilles tarifaires approuvées par le régulateur et la formule d’ajustement automatique (ATAF)</w:t>
      </w:r>
      <w:r>
        <w:t xml:space="preserve"> </w:t>
      </w:r>
      <w:r>
        <w:t xml:space="preserve">— échéance</w:t>
      </w:r>
      <w:r>
        <w:t xml:space="preserve"> </w:t>
      </w:r>
      <w:r>
        <w:rPr>
          <w:bCs/>
          <w:b/>
        </w:rPr>
        <w:t xml:space="preserve">2025-2027</w:t>
      </w:r>
      <w:r>
        <w:t xml:space="preserve"> </w:t>
      </w:r>
      <w:r>
        <w:t xml:space="preserve">dans le pacte ; priorité suivie, échéance 31/12/2026, « en cours, dans les temps » (janv. 2026) [1][2] [V].</w:t>
      </w:r>
    </w:p>
    <w:p>
      <w:pPr>
        <w:numPr>
          <w:ilvl w:val="0"/>
          <w:numId w:val="1352"/>
        </w:numPr>
        <w:pStyle w:val="Compact"/>
      </w:pPr>
      <w:r>
        <w:t xml:space="preserve">Obtenir un</w:t>
      </w:r>
      <w:r>
        <w:t xml:space="preserve"> </w:t>
      </w:r>
      <w:r>
        <w:rPr>
          <w:bCs/>
          <w:b/>
        </w:rPr>
        <w:t xml:space="preserve">tarif reflétant les coûts pour les quatre prochaines années</w:t>
      </w:r>
      <w:r>
        <w:t xml:space="preserve"> </w:t>
      </w:r>
      <w:r>
        <w:t xml:space="preserve">; procédures d’opérationnalisation de l’ATAF, du</w:t>
      </w:r>
      <w:r>
        <w:t xml:space="preserve"> </w:t>
      </w:r>
      <w:r>
        <w:rPr>
          <w:bCs/>
          <w:b/>
        </w:rPr>
        <w:t xml:space="preserve">fonds de stabilisation tarifaire</w:t>
      </w:r>
      <w:r>
        <w:t xml:space="preserve"> </w:t>
      </w:r>
      <w:r>
        <w:t xml:space="preserve">et d’un mécanisme de</w:t>
      </w:r>
      <w:r>
        <w:t xml:space="preserve"> </w:t>
      </w:r>
      <w:r>
        <w:rPr>
          <w:bCs/>
          <w:b/>
        </w:rPr>
        <w:t xml:space="preserve">répercussion des coûts de production</w:t>
      </w:r>
      <w:r>
        <w:t xml:space="preserve"> </w:t>
      </w:r>
      <w:r>
        <w:t xml:space="preserve">[1] [V].</w:t>
      </w:r>
    </w:p>
    <w:p>
      <w:pPr>
        <w:numPr>
          <w:ilvl w:val="0"/>
          <w:numId w:val="1352"/>
        </w:numPr>
        <w:pStyle w:val="Compact"/>
      </w:pPr>
      <w:r>
        <w:t xml:space="preserve">Diagnostic du pacte : la base tarifaire 2018-2022 permettait d’indexer les actifs ; l’approbation</w:t>
      </w:r>
      <w:r>
        <w:t xml:space="preserve"> </w:t>
      </w:r>
      <w:r>
        <w:rPr>
          <w:bCs/>
          <w:b/>
        </w:rPr>
        <w:t xml:space="preserve">2023-2027 est revenue au coût historique</w:t>
      </w:r>
      <w:r>
        <w:t xml:space="preserve"> </w:t>
      </w:r>
      <w:r>
        <w:t xml:space="preserve">de la base d’actifs régulés, appuyée par l’ATAF et un fonds de stabilisation dont « l’application reste un défi » — « les licenciés ne peuvent pas recouvrer leurs coûts » [1] [V].</w:t>
      </w:r>
    </w:p>
    <w:p>
      <w:pPr>
        <w:numPr>
          <w:ilvl w:val="0"/>
          <w:numId w:val="1352"/>
        </w:numPr>
        <w:pStyle w:val="Compact"/>
      </w:pPr>
      <w:r>
        <w:t xml:space="preserve">Données chiffrées (annexe III) :</w:t>
      </w:r>
      <w:r>
        <w:t xml:space="preserve"> </w:t>
      </w:r>
      <w:r>
        <w:rPr>
          <w:bCs/>
          <w:b/>
        </w:rPr>
        <w:t xml:space="preserve">tarif moyen 0,09 US$/kWh</w:t>
      </w:r>
      <w:r>
        <w:t xml:space="preserve"> </w:t>
      </w:r>
      <w:r>
        <w:t xml:space="preserve">;</w:t>
      </w:r>
      <w:r>
        <w:t xml:space="preserve"> </w:t>
      </w:r>
      <w:r>
        <w:rPr>
          <w:bCs/>
          <w:b/>
        </w:rPr>
        <w:t xml:space="preserve">tarif reflétant les coûts 0,12 US$/kWh</w:t>
      </w:r>
      <w:r>
        <w:t xml:space="preserve"> </w:t>
      </w:r>
      <w:r>
        <w:t xml:space="preserve">;</w:t>
      </w:r>
      <w:r>
        <w:t xml:space="preserve"> </w:t>
      </w:r>
      <w:r>
        <w:rPr>
          <w:bCs/>
          <w:b/>
        </w:rPr>
        <w:t xml:space="preserve">taux de recouvrement des coûts 77 %</w:t>
      </w:r>
      <w:r>
        <w:t xml:space="preserve"> </w:t>
      </w:r>
      <w:r>
        <w:t xml:space="preserve">[1] [V]. Ratio de recouvrement ESCOM : 68 % (2017), 103 % (2022),</w:t>
      </w:r>
      <w:r>
        <w:t xml:space="preserve"> </w:t>
      </w:r>
      <w:r>
        <w:rPr>
          <w:bCs/>
          <w:b/>
        </w:rPr>
        <w:t xml:space="preserve">87 % (2023)</w:t>
      </w:r>
      <w:r>
        <w:t xml:space="preserve">, chute attribuée à la dévaluation non répercutée faute d’ATAF [1] [V].</w:t>
      </w:r>
    </w:p>
    <w:p>
      <w:pPr>
        <w:numPr>
          <w:ilvl w:val="0"/>
          <w:numId w:val="1352"/>
        </w:numPr>
        <w:pStyle w:val="Compact"/>
      </w:pPr>
      <w:r>
        <w:t xml:space="preserve">Subventions/abordabilité : raccordements gratuits ou subventionnés, initiative de densification</w:t>
      </w:r>
      <w:r>
        <w:t xml:space="preserve"> </w:t>
      </w:r>
      <w:r>
        <w:rPr>
          <w:bCs/>
          <w:b/>
        </w:rPr>
        <w:t xml:space="preserve">Ndawala</w:t>
      </w:r>
      <w:r>
        <w:t xml:space="preserve"> </w:t>
      </w:r>
      <w:r>
        <w:t xml:space="preserve">(câblage de 57 000 ménages, 13,6 M US$), « ready boards », financement sur facture ; MAREP (2 100 sites, 126 M US$) ; contribution publique totale 142,3 M US$, surtout via la</w:t>
      </w:r>
      <w:r>
        <w:t xml:space="preserve"> </w:t>
      </w:r>
      <w:r>
        <w:rPr>
          <w:bCs/>
          <w:b/>
        </w:rPr>
        <w:t xml:space="preserve">taxe d’électrification rurale</w:t>
      </w:r>
      <w:r>
        <w:t xml:space="preserve"> </w:t>
      </w:r>
      <w:r>
        <w:t xml:space="preserve">; 1,5 M US$ pour des SHS à 10 000 ménages défavorisés [1] [V]. 45,3 % des ménages raccordés ne peuvent payer un service de base de 365 kWh/an ; 48,3 % des ménages non raccordés le sont à cause du coût du raccordement [1] [V].</w:t>
      </w:r>
      <w:r>
        <w:t xml:space="preserve"> </w:t>
      </w:r>
      <w:r>
        <w:t xml:space="preserve">#### 3.2 Opérateur (redressement, contrats de performance, pertes, recouvrement, compteurs)</w:t>
      </w:r>
    </w:p>
    <w:p>
      <w:pPr>
        <w:numPr>
          <w:ilvl w:val="0"/>
          <w:numId w:val="1352"/>
        </w:numPr>
        <w:pStyle w:val="Compact"/>
      </w:pPr>
      <w:r>
        <w:rPr>
          <w:bCs/>
          <w:b/>
        </w:rPr>
        <w:t xml:space="preserve">Revue fonctionnelle d’ESCOM</w:t>
      </w:r>
      <w:r>
        <w:t xml:space="preserve"> </w:t>
      </w:r>
      <w:r>
        <w:t xml:space="preserve">: recentrage sur le cœur de métier, externalisation du reste, recrutement — priorité, échéance 31/12/2025,</w:t>
      </w:r>
      <w:r>
        <w:t xml:space="preserve"> </w:t>
      </w:r>
      <w:r>
        <w:rPr>
          <w:bCs/>
          <w:b/>
        </w:rPr>
        <w:t xml:space="preserve">« en retard »</w:t>
      </w:r>
      <w:r>
        <w:t xml:space="preserve"> </w:t>
      </w:r>
      <w:r>
        <w:t xml:space="preserve">(janv. 2026) [1][2] [V].</w:t>
      </w:r>
    </w:p>
    <w:p>
      <w:pPr>
        <w:numPr>
          <w:ilvl w:val="0"/>
          <w:numId w:val="1352"/>
        </w:numPr>
        <w:pStyle w:val="Compact"/>
      </w:pPr>
      <w:r>
        <w:rPr>
          <w:bCs/>
          <w:b/>
        </w:rPr>
        <w:t xml:space="preserve">Stratégie numérique</w:t>
      </w:r>
      <w:r>
        <w:t xml:space="preserve"> </w:t>
      </w:r>
      <w:r>
        <w:t xml:space="preserve">(base clients numérisée, comptage entièrement numérisé, SIG des actifs, drones, tableau de bord) — priorité, échéance 31/12/2026, « dans les temps » [1][2] [V].</w:t>
      </w:r>
    </w:p>
    <w:p>
      <w:pPr>
        <w:numPr>
          <w:ilvl w:val="0"/>
          <w:numId w:val="1352"/>
        </w:numPr>
        <w:pStyle w:val="Compact"/>
      </w:pPr>
      <w:r>
        <w:t xml:space="preserve">Pertes : pertes AT&amp;C (ATCC)</w:t>
      </w:r>
      <w:r>
        <w:t xml:space="preserve"> </w:t>
      </w:r>
      <w:r>
        <w:rPr>
          <w:bCs/>
          <w:b/>
        </w:rPr>
        <w:t xml:space="preserve">20,73 %</w:t>
      </w:r>
      <w:r>
        <w:t xml:space="preserve"> </w:t>
      </w:r>
      <w:r>
        <w:t xml:space="preserve">; cible « 17 % par an » (formulation ambiguë) [1] [V]. Feuille de route de réduction des pertes (2023) : 34 initiatives ; 10,5 M US$ investis pour 34,8 M US$ de revenus attendus [1] [V]. Méthodologie de calcul des pertes à développer avec assistance technique [1] [V].</w:t>
      </w:r>
    </w:p>
    <w:p>
      <w:pPr>
        <w:numPr>
          <w:ilvl w:val="0"/>
          <w:numId w:val="1352"/>
        </w:numPr>
        <w:pStyle w:val="Compact"/>
      </w:pPr>
      <w:r>
        <w:t xml:space="preserve">Comptage :</w:t>
      </w:r>
      <w:r>
        <w:t xml:space="preserve"> </w:t>
      </w:r>
      <w:r>
        <w:rPr>
          <w:bCs/>
          <w:b/>
        </w:rPr>
        <w:t xml:space="preserve">AMI</w:t>
      </w:r>
      <w:r>
        <w:t xml:space="preserve">, comptage aux départs et transformateurs, passage des gros clients (MD) au prépaiement ;</w:t>
      </w:r>
      <w:r>
        <w:t xml:space="preserve"> </w:t>
      </w:r>
      <w:r>
        <w:rPr>
          <w:bCs/>
          <w:b/>
        </w:rPr>
        <w:t xml:space="preserve">100 % de compteurs à prépaiement</w:t>
      </w:r>
      <w:r>
        <w:t xml:space="preserve"> </w:t>
      </w:r>
      <w:r>
        <w:t xml:space="preserve">pour clients domestiques et non résidentiels [1] [V]. Annexe III : 655 656 clients comptés / 128 non comptés ; 630 033 compteurs à prépaiement [1] [V].</w:t>
      </w:r>
    </w:p>
    <w:p>
      <w:pPr>
        <w:numPr>
          <w:ilvl w:val="0"/>
          <w:numId w:val="1352"/>
        </w:numPr>
        <w:pStyle w:val="Compact"/>
      </w:pPr>
      <w:r>
        <w:t xml:space="preserve">Recouvrement : efficacité de collecte stable à</w:t>
      </w:r>
      <w:r>
        <w:t xml:space="preserve"> </w:t>
      </w:r>
      <w:r>
        <w:rPr>
          <w:bCs/>
          <w:b/>
        </w:rPr>
        <w:t xml:space="preserve">90-93 %</w:t>
      </w:r>
      <w:r>
        <w:t xml:space="preserve"> </w:t>
      </w:r>
      <w:r>
        <w:t xml:space="preserve">(2017-2023) [1] [V] ; créances sur l’État et entités publiques</w:t>
      </w:r>
      <w:r>
        <w:t xml:space="preserve"> </w:t>
      </w:r>
      <w:r>
        <w:rPr>
          <w:bCs/>
          <w:b/>
        </w:rPr>
        <w:t xml:space="preserve">39,87 Md MK</w:t>
      </w:r>
      <w:r>
        <w:t xml:space="preserve"> </w:t>
      </w:r>
      <w:r>
        <w:t xml:space="preserve">; dettes envers les IPP</w:t>
      </w:r>
      <w:r>
        <w:t xml:space="preserve"> </w:t>
      </w:r>
      <w:r>
        <w:rPr>
          <w:bCs/>
          <w:b/>
        </w:rPr>
        <w:t xml:space="preserve">32,86 Md MK</w:t>
      </w:r>
      <w:r>
        <w:t xml:space="preserve">, autres fournisseurs 23,08 Md MK [1] [V]. Engagement : recouvrer les factures historiques des ministères et agences et conclure un plan de paiement avec le Blantyre Water Board [1] [V].</w:t>
      </w:r>
    </w:p>
    <w:p>
      <w:pPr>
        <w:numPr>
          <w:ilvl w:val="0"/>
          <w:numId w:val="1352"/>
        </w:numPr>
        <w:pStyle w:val="Compact"/>
      </w:pPr>
      <w:r>
        <w:t xml:space="preserve">Finances : résultat net ESCOM</w:t>
      </w:r>
      <w:r>
        <w:t xml:space="preserve"> </w:t>
      </w:r>
      <w:r>
        <w:rPr>
          <w:bCs/>
          <w:b/>
        </w:rPr>
        <w:t xml:space="preserve">12 928 689 US$</w:t>
      </w:r>
      <w:r>
        <w:t xml:space="preserve"> </w:t>
      </w:r>
      <w:r>
        <w:t xml:space="preserve">(annexe III) ; marge nette 13 % (2023) [1] [V]. EGENCO : ratio de recouvrement des coûts de -1 % (2023) [1] [V]. Pas de plan de restructuration du capital (« No ») [1] [V].</w:t>
      </w:r>
    </w:p>
    <w:p>
      <w:pPr>
        <w:numPr>
          <w:ilvl w:val="0"/>
          <w:numId w:val="1352"/>
        </w:numPr>
        <w:pStyle w:val="Compact"/>
      </w:pPr>
      <w:r>
        <w:t xml:space="preserve">États financiers audités : publication sous</w:t>
      </w:r>
      <w:r>
        <w:t xml:space="preserve"> </w:t>
      </w:r>
      <w:r>
        <w:rPr>
          <w:bCs/>
          <w:b/>
        </w:rPr>
        <w:t xml:space="preserve">6 mois</w:t>
      </w:r>
      <w:r>
        <w:t xml:space="preserve"> </w:t>
      </w:r>
      <w:r>
        <w:t xml:space="preserve">après clôture (retards 2020-2024) ; EGENCO publié seulement jusqu’à 2020 [1] [V].</w:t>
      </w:r>
    </w:p>
    <w:p>
      <w:pPr>
        <w:numPr>
          <w:ilvl w:val="0"/>
          <w:numId w:val="1352"/>
        </w:numPr>
        <w:pStyle w:val="Compact"/>
      </w:pPr>
      <w:r>
        <w:t xml:space="preserve">Nouvelles recettes : accords d’approvisionnement avec les mines (priorité, 31/12/2026, dans les temps), e-mobilité, cuisson électrique, échanges infrajournaliers [1][2] [V].</w:t>
      </w:r>
      <w:r>
        <w:t xml:space="preserve"> </w:t>
      </w:r>
      <w:r>
        <w:t xml:space="preserve">#### 3.3 Régulation et gouvernance</w:t>
      </w:r>
    </w:p>
    <w:p>
      <w:pPr>
        <w:numPr>
          <w:ilvl w:val="0"/>
          <w:numId w:val="1352"/>
        </w:numPr>
        <w:pStyle w:val="Compact"/>
      </w:pPr>
      <w:r>
        <w:t xml:space="preserve">Libéralisation du marché : reconfiguration du modèle d’acheteur unique monopolistique [1] [V].</w:t>
      </w:r>
    </w:p>
    <w:p>
      <w:pPr>
        <w:numPr>
          <w:ilvl w:val="0"/>
          <w:numId w:val="1352"/>
        </w:numPr>
        <w:pStyle w:val="Compact"/>
      </w:pPr>
      <w:r>
        <w:t xml:space="preserve">Création d’une</w:t>
      </w:r>
      <w:r>
        <w:t xml:space="preserve"> </w:t>
      </w:r>
      <w:r>
        <w:rPr>
          <w:bCs/>
          <w:b/>
        </w:rPr>
        <w:t xml:space="preserve">Rural Electrification Authority autonome</w:t>
      </w:r>
      <w:r>
        <w:t xml:space="preserve"> </w:t>
      </w:r>
      <w:r>
        <w:t xml:space="preserve">[1] [V].</w:t>
      </w:r>
    </w:p>
    <w:p>
      <w:pPr>
        <w:numPr>
          <w:ilvl w:val="0"/>
          <w:numId w:val="1352"/>
        </w:numPr>
        <w:pStyle w:val="Compact"/>
      </w:pPr>
      <w:r>
        <w:t xml:space="preserve">IRP mis à jour tous les 2 ans (1re mise à jour 2026) ; adoption de l’IRP 2022 — priorité « mise à jour périodique du PMSP/IRP »</w:t>
      </w:r>
      <w:r>
        <w:t xml:space="preserve"> </w:t>
      </w:r>
      <w:r>
        <w:rPr>
          <w:bCs/>
          <w:b/>
        </w:rPr>
        <w:t xml:space="preserve">achevée</w:t>
      </w:r>
      <w:r>
        <w:t xml:space="preserve"> </w:t>
      </w:r>
      <w:r>
        <w:t xml:space="preserve">(31/12/2025) [1][2] [V].</w:t>
      </w:r>
    </w:p>
    <w:p>
      <w:pPr>
        <w:numPr>
          <w:ilvl w:val="0"/>
          <w:numId w:val="1352"/>
        </w:numPr>
        <w:pStyle w:val="Compact"/>
      </w:pPr>
      <w:r>
        <w:t xml:space="preserve">Mise à jour de la Stratégie nationale d’électrification (2018) ; normes SHS et directives déchets électroniques (2025-2026) [1] [V].</w:t>
      </w:r>
    </w:p>
    <w:p>
      <w:pPr>
        <w:numPr>
          <w:ilvl w:val="0"/>
          <w:numId w:val="1352"/>
        </w:numPr>
        <w:pStyle w:val="Compact"/>
      </w:pPr>
      <w:r>
        <w:t xml:space="preserve">Plateforme nationale de suivi de l’électrification en temps réel ; groupe de travail interministériel [1] [V].</w:t>
      </w:r>
      <w:r>
        <w:t xml:space="preserve"> </w:t>
      </w:r>
      <w:r>
        <w:t xml:space="preserve">#### 3.4 Participation du privé (producteurs indépendants, concessions, hors réseau)</w:t>
      </w:r>
    </w:p>
    <w:p>
      <w:pPr>
        <w:numPr>
          <w:ilvl w:val="0"/>
          <w:numId w:val="1352"/>
        </w:numPr>
        <w:pStyle w:val="Compact"/>
      </w:pPr>
      <w:r>
        <w:t xml:space="preserve">Mise à jour du</w:t>
      </w:r>
      <w:r>
        <w:t xml:space="preserve"> </w:t>
      </w:r>
      <w:r>
        <w:rPr>
          <w:bCs/>
          <w:b/>
        </w:rPr>
        <w:t xml:space="preserve">cadre IPP de 2017</w:t>
      </w:r>
      <w:r>
        <w:t xml:space="preserve"> </w:t>
      </w:r>
      <w:r>
        <w:t xml:space="preserve">(pipeline dominé par des offres spontanées), revue des PPA non sollicités,</w:t>
      </w:r>
      <w:r>
        <w:t xml:space="preserve"> </w:t>
      </w:r>
      <w:r>
        <w:rPr>
          <w:bCs/>
          <w:b/>
        </w:rPr>
        <w:t xml:space="preserve">appels d’offres concurrentiels solaire/éolien</w:t>
      </w:r>
      <w:r>
        <w:t xml:space="preserve">, recours au programme BM « Scaling Wind and Solar » — priorité, 31/12/2026, « retards mineurs » [1][2] [V].</w:t>
      </w:r>
    </w:p>
    <w:p>
      <w:pPr>
        <w:numPr>
          <w:ilvl w:val="0"/>
          <w:numId w:val="1352"/>
        </w:numPr>
        <w:pStyle w:val="Compact"/>
      </w:pPr>
      <w:r>
        <w:rPr>
          <w:bCs/>
          <w:b/>
        </w:rPr>
        <w:t xml:space="preserve">Ouverture du transport et de la distribution au privé</w:t>
      </w:r>
      <w:r>
        <w:t xml:space="preserve"> </w:t>
      </w:r>
      <w:r>
        <w:t xml:space="preserve">(coopératives, concessions) via révision de la politique énergétique et de l’Electricity Act — priorité, 31/12/2025,</w:t>
      </w:r>
      <w:r>
        <w:t xml:space="preserve"> </w:t>
      </w:r>
      <w:r>
        <w:rPr>
          <w:bCs/>
          <w:b/>
        </w:rPr>
        <w:t xml:space="preserve">« en retard »</w:t>
      </w:r>
      <w:r>
        <w:t xml:space="preserve"> </w:t>
      </w:r>
      <w:r>
        <w:t xml:space="preserve">[1][2] [V]. Le pacte constate qu’en l’état le privé en distribution et en transport « n’est pas faisable » [1] [V].</w:t>
      </w:r>
    </w:p>
    <w:p>
      <w:pPr>
        <w:numPr>
          <w:ilvl w:val="0"/>
          <w:numId w:val="1352"/>
        </w:numPr>
        <w:pStyle w:val="Compact"/>
      </w:pPr>
      <w:r>
        <w:t xml:space="preserve">Contraintes macro : pas de garanties souveraines/convertibilité (programme FMI, FEC approuvée le 15/11/2023) ; engagements : contrats libellés en dollars au cas par cas, ESCOM autorisée à facturer en devises (mines), exemption de la politique de rétrocession des devises —</w:t>
      </w:r>
      <w:r>
        <w:t xml:space="preserve"> </w:t>
      </w:r>
      <w:r>
        <w:rPr>
          <w:bCs/>
          <w:b/>
        </w:rPr>
        <w:t xml:space="preserve">3 actions achevées</w:t>
      </w:r>
      <w:r>
        <w:t xml:space="preserve"> </w:t>
      </w:r>
      <w:r>
        <w:t xml:space="preserve">(31/12/2025) [1][2] [V]. Priorité d’accès aux devises pour les IPP [1] [V].</w:t>
      </w:r>
    </w:p>
    <w:p>
      <w:pPr>
        <w:numPr>
          <w:ilvl w:val="0"/>
          <w:numId w:val="1352"/>
        </w:numPr>
        <w:pStyle w:val="Compact"/>
      </w:pPr>
      <w:r>
        <w:rPr>
          <w:bCs/>
          <w:b/>
        </w:rPr>
        <w:t xml:space="preserve">Fonds Ngwee Ngwee Ngwee (NNNF, 2023)</w:t>
      </w:r>
      <w:r>
        <w:t xml:space="preserve"> </w:t>
      </w:r>
      <w:r>
        <w:t xml:space="preserve">à institutionnaliser en Fonds national du secteur de l’énergie, élargi à la cuisson propre — priorité, 31/12/2025,</w:t>
      </w:r>
      <w:r>
        <w:t xml:space="preserve"> </w:t>
      </w:r>
      <w:r>
        <w:rPr>
          <w:bCs/>
          <w:b/>
        </w:rPr>
        <w:t xml:space="preserve">« en retard »</w:t>
      </w:r>
      <w:r>
        <w:t xml:space="preserve"> </w:t>
      </w:r>
      <w:r>
        <w:t xml:space="preserve">[1][2] [V].</w:t>
      </w:r>
    </w:p>
    <w:p>
      <w:pPr>
        <w:numPr>
          <w:ilvl w:val="0"/>
          <w:numId w:val="1352"/>
        </w:numPr>
        <w:pStyle w:val="Compact"/>
      </w:pPr>
      <w:r>
        <w:t xml:space="preserve">Mpatamanga (358,5 MW, 1,47 Md US$, PPP) [1] [V]. Investissements privés passés : 140 M US$ pour 112 MW (5 centrales) [1] [V].</w:t>
      </w:r>
      <w:r>
        <w:t xml:space="preserve"> </w:t>
      </w:r>
      <w:r>
        <w:t xml:space="preserve">#### 3.5 Intégration régionale (pools énergétiques, interconnexions)</w:t>
      </w:r>
    </w:p>
    <w:p>
      <w:pPr>
        <w:numPr>
          <w:ilvl w:val="0"/>
          <w:numId w:val="1352"/>
        </w:numPr>
        <w:pStyle w:val="Compact"/>
      </w:pPr>
      <w:r>
        <w:t xml:space="preserve">Interconnexion</w:t>
      </w:r>
      <w:r>
        <w:t xml:space="preserve"> </w:t>
      </w:r>
      <w:r>
        <w:rPr>
          <w:bCs/>
          <w:b/>
        </w:rPr>
        <w:t xml:space="preserve">Mozambique-Malawi (MOMA, 400 kV)</w:t>
      </w:r>
      <w:r>
        <w:t xml:space="preserve"> </w:t>
      </w:r>
      <w:r>
        <w:t xml:space="preserve">— achèvement prévu T2 2025 ; contrat d’import ferme de 50 MW avec EDM [1] [V]. Préparer ESCOM à devenir membre opérationnel du</w:t>
      </w:r>
      <w:r>
        <w:t xml:space="preserve"> </w:t>
      </w:r>
      <w:r>
        <w:rPr>
          <w:bCs/>
          <w:b/>
        </w:rPr>
        <w:t xml:space="preserve">SAPP</w:t>
      </w:r>
      <w:r>
        <w:t xml:space="preserve">, créer un département de trading [1] [V].</w:t>
      </w:r>
    </w:p>
    <w:p>
      <w:pPr>
        <w:numPr>
          <w:ilvl w:val="0"/>
          <w:numId w:val="1352"/>
        </w:numPr>
        <w:pStyle w:val="Compact"/>
      </w:pPr>
      <w:r>
        <w:t xml:space="preserve">Zambie-Malawi (ZAMA, 85 M US$, non financée) ; Tanzanie-Malawi / Western Backbone (400 M US$, non financée) vers l’EAPP [1] [V].</w:t>
      </w:r>
    </w:p>
    <w:p>
      <w:pPr>
        <w:numPr>
          <w:ilvl w:val="0"/>
          <w:numId w:val="1352"/>
        </w:numPr>
        <w:pStyle w:val="Compact"/>
      </w:pPr>
      <w:r>
        <w:t xml:space="preserve">Cadre de marché à réviser pour permettre les exports des IPP — priorité, 31/12/2026, « dans les temps » [1][2] [V].</w:t>
      </w:r>
      <w:r>
        <w:t xml:space="preserve"> </w:t>
      </w:r>
      <w:r>
        <w:t xml:space="preserve">#### 3.6 Autres (fiscalité, foncier, local content)</w:t>
      </w:r>
    </w:p>
    <w:p>
      <w:pPr>
        <w:numPr>
          <w:ilvl w:val="0"/>
          <w:numId w:val="1352"/>
        </w:numPr>
        <w:pStyle w:val="Compact"/>
      </w:pPr>
      <w:r>
        <w:t xml:space="preserve">SHS et batteries exonérés de droits d’importation ; revue semestrielle des exonérations ; droits sur véhicules électriques supprimés en 2024/25 [1] [V].</w:t>
      </w:r>
    </w:p>
    <w:p>
      <w:pPr>
        <w:numPr>
          <w:ilvl w:val="0"/>
          <w:numId w:val="1352"/>
        </w:numPr>
        <w:pStyle w:val="Compact"/>
      </w:pPr>
      <w:r>
        <w:t xml:space="preserve">Fabrication locale d’équipements ; formation TEVETA ; fonds d’innovation pour les jeunes ; dévolution de fonctions au niveau des districts [1] [V].</w:t>
      </w:r>
    </w:p>
    <w:p>
      <w:pPr>
        <w:numPr>
          <w:ilvl w:val="0"/>
          <w:numId w:val="1352"/>
        </w:numPr>
        <w:pStyle w:val="Compact"/>
      </w:pPr>
      <w:r>
        <w:t xml:space="preserve">Finance carbone pour la cuisson propre (action prioritaire déclarée</w:t>
      </w:r>
      <w:r>
        <w:t xml:space="preserve"> </w:t>
      </w:r>
      <w:r>
        <w:rPr>
          <w:bCs/>
          <w:b/>
        </w:rPr>
        <w:t xml:space="preserve">achevée</w:t>
      </w:r>
      <w:r>
        <w:t xml:space="preserve">) [1][2] [V].</w:t>
      </w:r>
    </w:p>
    <w:bookmarkEnd w:id="373"/>
    <w:bookmarkEnd w:id="374"/>
    <w:bookmarkStart w:id="375" w:name="financement-22"/>
    <w:p>
      <w:pPr>
        <w:pStyle w:val="Heading3"/>
      </w:pPr>
      <w:r>
        <w:t xml:space="preserve">4. Financement</w:t>
      </w:r>
    </w:p>
    <w:p>
      <w:pPr>
        <w:numPr>
          <w:ilvl w:val="0"/>
          <w:numId w:val="1353"/>
        </w:numPr>
        <w:pStyle w:val="Compact"/>
      </w:pPr>
      <w:r>
        <w:t xml:space="preserve">Besoin total :</w:t>
      </w:r>
      <w:r>
        <w:t xml:space="preserve"> </w:t>
      </w:r>
      <w:r>
        <w:rPr>
          <w:bCs/>
          <w:b/>
        </w:rPr>
        <w:t xml:space="preserve">5 480 M US$</w:t>
      </w:r>
      <w:r>
        <w:t xml:space="preserve"> </w:t>
      </w:r>
      <w:r>
        <w:t xml:space="preserve">(« 5,5 Md US$ ») ; financement acquis</w:t>
      </w:r>
      <w:r>
        <w:t xml:space="preserve"> </w:t>
      </w:r>
      <w:r>
        <w:rPr>
          <w:bCs/>
          <w:b/>
        </w:rPr>
        <w:t xml:space="preserve">530,8 M US$</w:t>
      </w:r>
      <w:r>
        <w:t xml:space="preserve"> </w:t>
      </w:r>
      <w:r>
        <w:t xml:space="preserve">(104 M interne + 426,8 M externe) ;</w:t>
      </w:r>
      <w:r>
        <w:t xml:space="preserve"> </w:t>
      </w:r>
      <w:r>
        <w:rPr>
          <w:bCs/>
          <w:b/>
        </w:rPr>
        <w:t xml:space="preserve">déficit 4 949 M US$</w:t>
      </w:r>
      <w:r>
        <w:t xml:space="preserve"> </w:t>
      </w:r>
      <w:r>
        <w:t xml:space="preserve">[1] [V].</w:t>
      </w:r>
    </w:p>
    <w:p>
      <w:pPr>
        <w:numPr>
          <w:ilvl w:val="1"/>
          <w:numId w:val="1354"/>
        </w:numPr>
        <w:pStyle w:val="Compact"/>
      </w:pPr>
      <w:r>
        <w:t xml:space="preserve">Production 2 743 M (dont IPP 2 338 M) ; transport 435 M ; distribution 156 M ; interconnexions 510 M ; accès 1 114 M (réseau 631 M, mini-réseaux 183 M, SHS 300 M) ; cuisson propre 177 M ; réformes internes 345 M (AMI 25 M, mécanisation 65 M, zonage 40 M, réhabilitation 75 M, migration MD prépaiement 40 M, etc.) [1] [V].</w:t>
      </w:r>
    </w:p>
    <w:p>
      <w:pPr>
        <w:numPr>
          <w:ilvl w:val="1"/>
          <w:numId w:val="1354"/>
        </w:numPr>
        <w:pStyle w:val="Compact"/>
      </w:pPr>
      <w:r>
        <w:t xml:space="preserve">Incohérence : la section 4 affirme que «</w:t>
      </w:r>
      <w:r>
        <w:t xml:space="preserve"> </w:t>
      </w:r>
      <w:r>
        <w:rPr>
          <w:bCs/>
          <w:b/>
        </w:rPr>
        <w:t xml:space="preserve">2,1 Md US$</w:t>
      </w:r>
      <w:r>
        <w:t xml:space="preserve"> </w:t>
      </w:r>
      <w:r>
        <w:t xml:space="preserve">sont engagés » dans le secteur par les partenaires [1] [V], contre 530,8 M US$ dans le tableau.</w:t>
      </w:r>
    </w:p>
    <w:p>
      <w:pPr>
        <w:numPr>
          <w:ilvl w:val="0"/>
          <w:numId w:val="1353"/>
        </w:numPr>
        <w:pStyle w:val="Compact"/>
      </w:pPr>
      <w:r>
        <w:t xml:space="preserve">Engagements cités : BM — Malawi Electricity Access Project (2019-2025, 100 M US$ ; 180 000 raccordements réseau + 200 000 hors réseau), MOMA (130 M US$), Mpatamanga [1] [V] ; BAD/UE/BEI (Team Europe) —</w:t>
      </w:r>
      <w:r>
        <w:t xml:space="preserve"> </w:t>
      </w:r>
      <w:r>
        <w:rPr>
          <w:bCs/>
          <w:b/>
        </w:rPr>
        <w:t xml:space="preserve">132 kV Eastern Backbone</w:t>
      </w:r>
      <w:r>
        <w:t xml:space="preserve"> </w:t>
      </w:r>
      <w:r>
        <w:t xml:space="preserve">(95,18 M US$, janv. 2025-juin 2027) [1] [V] ; autres : KfW, Norvège, GIZ, UE, PNUD, GEAPP, JICA, Pays-Bas, Suisse, Swedfund, Islande, FCDO [1] [V].</w:t>
      </w:r>
    </w:p>
    <w:bookmarkEnd w:id="375"/>
    <w:bookmarkStart w:id="376" w:name="calendrier-et-suivi-22"/>
    <w:p>
      <w:pPr>
        <w:pStyle w:val="Heading3"/>
      </w:pPr>
      <w:r>
        <w:t xml:space="preserve">5. Calendrier et suivi</w:t>
      </w:r>
    </w:p>
    <w:p>
      <w:pPr>
        <w:numPr>
          <w:ilvl w:val="0"/>
          <w:numId w:val="1355"/>
        </w:numPr>
        <w:pStyle w:val="Compact"/>
      </w:pPr>
      <w:r>
        <w:t xml:space="preserve">Échéances du pacte : surtout 2025-2026 (ATAF 2025-2027 ; IRP tous les 2 ans) [1] [V].</w:t>
      </w:r>
    </w:p>
    <w:p>
      <w:pPr>
        <w:numPr>
          <w:ilvl w:val="0"/>
          <w:numId w:val="1355"/>
        </w:numPr>
        <w:pStyle w:val="Compact"/>
      </w:pPr>
      <w:r>
        <w:t xml:space="preserve">Suivi : CDMU ; rapports semestriels via gabarit standardisé Mission 300 [2] [V].</w:t>
      </w:r>
    </w:p>
    <w:p>
      <w:pPr>
        <w:numPr>
          <w:ilvl w:val="0"/>
          <w:numId w:val="1355"/>
        </w:numPr>
        <w:pStyle w:val="Compact"/>
      </w:pPr>
      <w:r>
        <w:rPr>
          <w:bCs/>
          <w:b/>
        </w:rPr>
        <w:t xml:space="preserve">État au 31/12/2025</w:t>
      </w:r>
      <w:r>
        <w:t xml:space="preserve"> </w:t>
      </w:r>
      <w:r>
        <w:t xml:space="preserve">(rapport de mars 2026) : 68 actions de réforme dont 13 prioritaires ;</w:t>
      </w:r>
      <w:r>
        <w:t xml:space="preserve"> </w:t>
      </w:r>
      <w:r>
        <w:rPr>
          <w:bCs/>
          <w:b/>
        </w:rPr>
        <w:t xml:space="preserve">12 achevées (5 prioritaires), 28 en cours (5), 28 en retard (3)</w:t>
      </w:r>
      <w:r>
        <w:t xml:space="preserve"> </w:t>
      </w:r>
      <w:r>
        <w:t xml:space="preserve">[2] [V].</w:t>
      </w:r>
      <w:r>
        <w:t xml:space="preserve"> </w:t>
      </w:r>
      <w:r>
        <w:rPr>
          <w:bCs/>
          <w:b/>
        </w:rPr>
        <w:t xml:space="preserve">Aucune donnée quantitative</w:t>
      </w:r>
      <w:r>
        <w:t xml:space="preserve"> </w:t>
      </w:r>
      <w:r>
        <w:t xml:space="preserve">fournie pour 2025 (accès, cuisson, renouvelables, capital privé) [2] [V]. Capital privé mobilisé (base) : 31,3 M US$ [2] [V].</w:t>
      </w:r>
    </w:p>
    <w:bookmarkEnd w:id="376"/>
    <w:bookmarkStart w:id="377" w:name="lecture-critique-18"/>
    <w:p>
      <w:pPr>
        <w:pStyle w:val="Heading3"/>
      </w:pPr>
      <w:r>
        <w:t xml:space="preserve">6. Lecture critique</w:t>
      </w:r>
    </w:p>
    <w:p>
      <w:pPr>
        <w:numPr>
          <w:ilvl w:val="0"/>
          <w:numId w:val="1356"/>
        </w:numPr>
        <w:pStyle w:val="Compact"/>
      </w:pPr>
      <w:r>
        <w:t xml:space="preserve">Réalisme des cibles : la cible d’accès (70 %) est</w:t>
      </w:r>
      <w:r>
        <w:t xml:space="preserve"> </w:t>
      </w:r>
      <w:r>
        <w:rPr>
          <w:bCs/>
          <w:b/>
        </w:rPr>
        <w:t xml:space="preserve">explicitement inférieure à l’universel</w:t>
      </w:r>
      <w:r>
        <w:t xml:space="preserve">, ce qui la rend plus crédible que celle de nombreux pacts [E]. Elle reste très ambitieuse : passer de 25,9 % à 70 % en 7 ans (+6,3 points/an selon la trajectoire du tableau 1) [1], alors que les raccordements réseau des ménages étaient de 26 329 (2022), 18 987 (2023) et 56 985 (2024) [1] contre ~210 000-230 000/an visés —</w:t>
      </w:r>
      <w:r>
        <w:t xml:space="preserve"> </w:t>
      </w:r>
      <w:r>
        <w:rPr>
          <w:bCs/>
          <w:b/>
        </w:rPr>
        <w:t xml:space="preserve">un facteur 4 à 10</w:t>
      </w:r>
      <w:r>
        <w:t xml:space="preserve"> </w:t>
      </w:r>
      <w:r>
        <w:t xml:space="preserve">[E]. La cuisson propre à 75 % repose largement sur des foyers à bois améliorés, éloignés d’une cuisson « propre » au sens MTF Tier 4-5 [E]. Plusieurs incohérences internes (cible de capital privé 1,62 vs 2,47 Md US$ ; 530,8 M vs 2,1 Md US$ engagés ; 2 % vs 24,5 % de cuisson propre) [1][2].</w:t>
      </w:r>
    </w:p>
    <w:p>
      <w:pPr>
        <w:numPr>
          <w:ilvl w:val="0"/>
          <w:numId w:val="1356"/>
        </w:numPr>
        <w:pStyle w:val="Compact"/>
      </w:pPr>
      <w:r>
        <w:t xml:space="preserve">Engagements tarifaires :</w:t>
      </w:r>
      <w:r>
        <w:t xml:space="preserve"> </w:t>
      </w:r>
      <w:r>
        <w:rPr>
          <w:bCs/>
          <w:b/>
        </w:rPr>
        <w:t xml:space="preserve">parmi les plus précis</w:t>
      </w:r>
      <w:r>
        <w:t xml:space="preserve"> </w:t>
      </w:r>
      <w:r>
        <w:t xml:space="preserve">du lot — écart chiffré (0,09 vs 0,12 US$/kWh, 77 % de recouvrement), instrument identifié (ATAF + fonds de stabilisation + pass-through de la production), horizon (« quatre prochaines années ») [1] [E]. Mais aucune trajectoire annuelle de hausse, ni mécanisme de protection sociale réseau (tarif social) [E]. Le principal risque est politique : l’ATAF existe déjà et n’est « pas appliqué » [1] [E].</w:t>
      </w:r>
    </w:p>
    <w:p>
      <w:pPr>
        <w:numPr>
          <w:ilvl w:val="0"/>
          <w:numId w:val="1356"/>
        </w:numPr>
        <w:pStyle w:val="Compact"/>
      </w:pPr>
      <w:r>
        <w:t xml:space="preserve">Risques principaux : pénurie de devises et dévaluation (le kwacha fait chuter le recouvrement de 103 % à 87 % en un an) [1] ; arriérés de l’État envers ESCOM (≈ 39,9 Md MK) ; dépendance hydro et chocs climatiques ; contrainte de garanties sous programme FMI ; retards déjà constatés sur la réforme légale (ouverture T&amp;D), la revue fonctionnelle d’ESCOM et le NNNF [2] [E].</w:t>
      </w:r>
    </w:p>
    <w:p>
      <w:pPr>
        <w:numPr>
          <w:ilvl w:val="0"/>
          <w:numId w:val="1356"/>
        </w:numPr>
        <w:pStyle w:val="Compact"/>
      </w:pPr>
      <w:r>
        <w:t xml:space="preserve">Points à approfondir : phase 2 — revue fonctionnelle ESCOM, feuille de route pertes 2023, arriérés publics, situation EGENCO (recouvrement négatif), contrat d’achat ESCOM-EGENCO ; phase 3 — décisions MERA sur l’ATAF depuis 2023, tarif de base 2023-2027, fonctionnement du fonds de stabilisation, impact de la dévaluation 2023-2024 sur le coût de service [E].</w:t>
      </w:r>
    </w:p>
    <w:bookmarkEnd w:id="377"/>
    <w:bookmarkStart w:id="378" w:name="inconnus-données-non-trouvées-22"/>
    <w:p>
      <w:pPr>
        <w:pStyle w:val="Heading3"/>
      </w:pPr>
      <w:r>
        <w:t xml:space="preserve">7. Inconnus / données non trouvées</w:t>
      </w:r>
    </w:p>
    <w:p>
      <w:pPr>
        <w:numPr>
          <w:ilvl w:val="0"/>
          <w:numId w:val="1357"/>
        </w:numPr>
        <w:pStyle w:val="Compact"/>
      </w:pPr>
      <w:r>
        <w:t xml:space="preserve">[?] Signataire et date exacte de signature du pacte (non indiqués dans le texte extrait).</w:t>
      </w:r>
    </w:p>
    <w:p>
      <w:pPr>
        <w:numPr>
          <w:ilvl w:val="0"/>
          <w:numId w:val="1357"/>
        </w:numPr>
        <w:pStyle w:val="Compact"/>
      </w:pPr>
      <w:r>
        <w:t xml:space="preserve">[?] Données quantitatives 2025 (non fournies par le CDMU selon [2]).</w:t>
      </w:r>
    </w:p>
    <w:p>
      <w:pPr>
        <w:numPr>
          <w:ilvl w:val="0"/>
          <w:numId w:val="1357"/>
        </w:numPr>
        <w:pStyle w:val="Compact"/>
      </w:pPr>
      <w:r>
        <w:t xml:space="preserve">[?] Montant total des subventions (annexe III ne le chiffre pas).</w:t>
      </w:r>
    </w:p>
    <w:p>
      <w:pPr>
        <w:numPr>
          <w:ilvl w:val="0"/>
          <w:numId w:val="1357"/>
        </w:numPr>
        <w:pStyle w:val="Compact"/>
      </w:pPr>
      <w:r>
        <w:t xml:space="preserve">[?] Heures de délestage (annexe III : renvoi à « SMO »).</w:t>
      </w:r>
    </w:p>
    <w:p>
      <w:pPr>
        <w:numPr>
          <w:ilvl w:val="0"/>
          <w:numId w:val="1357"/>
        </w:numPr>
        <w:pStyle w:val="Compact"/>
      </w:pPr>
      <w:r>
        <w:t xml:space="preserve">[?] Cible annuelle exacte de réduction des pertes (« 17 % par an » ambigu : niveau cible ou réduction ?).</w:t>
      </w:r>
    </w:p>
    <w:p>
      <w:pPr>
        <w:numPr>
          <w:ilvl w:val="0"/>
          <w:numId w:val="1357"/>
        </w:numPr>
        <w:pStyle w:val="Compact"/>
      </w:pPr>
      <w:r>
        <w:t xml:space="preserve">[?] Explication de l’écart entre la cible de capital privé du pacte (1 622 M US$) et celle du rapport d’avancement (2 474 M US$).</w:t>
      </w:r>
    </w:p>
    <w:bookmarkEnd w:id="378"/>
    <w:bookmarkStart w:id="379" w:name="sources-23"/>
    <w:p>
      <w:pPr>
        <w:pStyle w:val="Heading3"/>
      </w:pPr>
      <w:r>
        <w:t xml:space="preserve">Sources</w:t>
      </w:r>
    </w:p>
    <w:p>
      <w:pPr>
        <w:pStyle w:val="FirstParagraph"/>
      </w:pPr>
      <w:r>
        <w:t xml:space="preserve">[1] Gouvernement du Malawi, « National Energy Compact for Malawi », s.d. (présenté en janvier 2025), 48 p., anglais. https://www.worldbank.org/content/dam/theworldbankgroupasset/document/2026/m300-energy-compacts/Malawi-M300-AES-Compact.pdf (consulté le 18/10/2026).</w:t>
      </w:r>
      <w:r>
        <w:t xml:space="preserve"> </w:t>
      </w:r>
      <w:r>
        <w:t xml:space="preserve">[2] Gouvernement du Malawi (CDMU) / Mission 300, « Mission 300 Compact Progress Report — Second Cycle of Data Collection 2025 — Malawi », mars 2026, 8 p. https://www.worldbank.org/content/dam/theworldbankgroupasset/document/2026/m300-energy-compacts/progress-reports/malawi_mission-300_compact-progress-report_q12026.pdf (consulté le 18/10/2026).</w:t>
      </w:r>
      <w:r>
        <w:t xml:space="preserve"> </w:t>
      </w:r>
      <w:r>
        <w:t xml:space="preserve">[3] Banque mondiale, « National Energy Compacts ». https://www.worldbank.org/ext/en/energizingafrica/national-energy-compacts (consulté le 18/10/2026).</w:t>
      </w:r>
    </w:p>
    <w:p>
      <w:r>
        <w:br w:type="page"/>
      </w:r>
    </w:p>
    <w:bookmarkEnd w:id="379"/>
    <w:bookmarkEnd w:id="380"/>
    <w:bookmarkStart w:id="391" w:name="fiche-pacte-national-de-lénergie-namibie"/>
    <w:p>
      <w:pPr>
        <w:pStyle w:val="Heading2"/>
      </w:pPr>
      <w:r>
        <w:t xml:space="preserve">Fiche pacte national de l’énergie — Namibie</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381" w:name="métadonnées-23"/>
    <w:p>
      <w:pPr>
        <w:pStyle w:val="Heading3"/>
      </w:pPr>
      <w:r>
        <w:t xml:space="preserve">0. Métadonnées</w:t>
      </w:r>
    </w:p>
    <w:p>
      <w:pPr>
        <w:numPr>
          <w:ilvl w:val="0"/>
          <w:numId w:val="1358"/>
        </w:numPr>
        <w:pStyle w:val="Compact"/>
      </w:pPr>
      <w:r>
        <w:t xml:space="preserve">Cohorte / date de présentation : page BM : «</w:t>
      </w:r>
      <w:r>
        <w:t xml:space="preserve"> </w:t>
      </w:r>
      <w:r>
        <w:rPr>
          <w:bCs/>
          <w:b/>
        </w:rPr>
        <w:t xml:space="preserve">Dec 2025</w:t>
      </w:r>
      <w:r>
        <w:t xml:space="preserve"> </w:t>
      </w:r>
      <w:r>
        <w:t xml:space="preserve">» [2] [V]. Le pacte ne comporte</w:t>
      </w:r>
      <w:r>
        <w:t xml:space="preserve"> </w:t>
      </w:r>
      <w:r>
        <w:rPr>
          <w:bCs/>
          <w:b/>
        </w:rPr>
        <w:t xml:space="preserve">ni date ni signataire</w:t>
      </w:r>
      <w:r>
        <w:t xml:space="preserve"> </w:t>
      </w:r>
      <w:r>
        <w:t xml:space="preserve">dans la version extraite ; données jusqu’à décembre 2024 et rapport annuel NamPower 2024 [1] [V].</w:t>
      </w:r>
    </w:p>
    <w:p>
      <w:pPr>
        <w:numPr>
          <w:ilvl w:val="0"/>
          <w:numId w:val="1358"/>
        </w:numPr>
        <w:pStyle w:val="Compact"/>
      </w:pPr>
      <w:r>
        <w:t xml:space="preserve">Document consulté : « National Energy Compact for Namibia » (Mission 300, #PoweringAfrica), 48 pages, anglais : https://www.worldbank.org/content/dam/theworldbankgroupasset/document/2026/m300-energy-compacts/Namibia-National-Energy-Compact-Mission-300.pdf [1].</w:t>
      </w:r>
    </w:p>
    <w:p>
      <w:pPr>
        <w:numPr>
          <w:ilvl w:val="0"/>
          <w:numId w:val="1358"/>
        </w:numPr>
        <w:pStyle w:val="Compact"/>
      </w:pPr>
      <w:r>
        <w:t xml:space="preserve">Accès au texte intégral :</w:t>
      </w:r>
      <w:r>
        <w:t xml:space="preserve"> </w:t>
      </w:r>
      <w:r>
        <w:rPr>
          <w:bCs/>
          <w:b/>
        </w:rPr>
        <w:t xml:space="preserve">oui</w:t>
      </w:r>
      <w:r>
        <w:t xml:space="preserve"> </w:t>
      </w:r>
      <w:r>
        <w:t xml:space="preserve">[1] [V]. Aucun rapport d’avancement listé (oct. 2026) [2] [V].</w:t>
      </w:r>
    </w:p>
    <w:p>
      <w:pPr>
        <w:numPr>
          <w:ilvl w:val="0"/>
          <w:numId w:val="1358"/>
        </w:numPr>
        <w:pStyle w:val="Compact"/>
      </w:pPr>
      <w:r>
        <w:t xml:space="preserve">Opérateur(s) :</w:t>
      </w:r>
      <w:r>
        <w:t xml:space="preserve"> </w:t>
      </w:r>
      <w:r>
        <w:rPr>
          <w:bCs/>
          <w:b/>
        </w:rPr>
        <w:t xml:space="preserve">NamPower</w:t>
      </w:r>
      <w:r>
        <w:t xml:space="preserve"> </w:t>
      </w:r>
      <w:r>
        <w:t xml:space="preserve">(public ; production, transport 66-400 kV, une partie de la MT, fourniture à ~3 000 gros clients, acheteur unique « modifié » —</w:t>
      </w:r>
      <w:r>
        <w:t xml:space="preserve"> </w:t>
      </w:r>
      <w:r>
        <w:rPr>
          <w:bCs/>
          <w:b/>
        </w:rPr>
        <w:t xml:space="preserve">MSB</w:t>
      </w:r>
      <w:r>
        <w:t xml:space="preserve"> </w:t>
      </w:r>
      <w:r>
        <w:t xml:space="preserve">depuis sept. 2019) ; distribution par des</w:t>
      </w:r>
      <w:r>
        <w:t xml:space="preserve"> </w:t>
      </w:r>
      <w:r>
        <w:rPr>
          <w:bCs/>
          <w:b/>
        </w:rPr>
        <w:t xml:space="preserve">REDs</w:t>
      </w:r>
      <w:r>
        <w:t xml:space="preserve"> </w:t>
      </w:r>
      <w:r>
        <w:t xml:space="preserve">(3 opérationnels sur 5 : NORED, CENORED, Erongo RED), collectivités locales et</w:t>
      </w:r>
      <w:r>
        <w:t xml:space="preserve"> </w:t>
      </w:r>
      <w:r>
        <w:rPr>
          <w:bCs/>
          <w:b/>
        </w:rPr>
        <w:t xml:space="preserve">City of Windhoek</w:t>
      </w:r>
      <w:r>
        <w:t xml:space="preserve"> </w:t>
      </w:r>
      <w:r>
        <w:t xml:space="preserve">; 27 IPP (presque tous PV) [1] [V].</w:t>
      </w:r>
    </w:p>
    <w:p>
      <w:pPr>
        <w:numPr>
          <w:ilvl w:val="0"/>
          <w:numId w:val="1358"/>
        </w:numPr>
        <w:pStyle w:val="Compact"/>
      </w:pPr>
      <w:r>
        <w:t xml:space="preserve">Régulateur :</w:t>
      </w:r>
      <w:r>
        <w:t xml:space="preserve"> </w:t>
      </w:r>
      <w:r>
        <w:rPr>
          <w:bCs/>
          <w:b/>
        </w:rPr>
        <w:t xml:space="preserve">ECB</w:t>
      </w:r>
      <w:r>
        <w:t xml:space="preserve"> </w:t>
      </w:r>
      <w:r>
        <w:t xml:space="preserve">(Electricity Control Board ; Electricity Act 4 de 2007) ; tutelle :</w:t>
      </w:r>
      <w:r>
        <w:t xml:space="preserve"> </w:t>
      </w:r>
      <w:r>
        <w:rPr>
          <w:bCs/>
          <w:b/>
        </w:rPr>
        <w:t xml:space="preserve">MIME</w:t>
      </w:r>
      <w:r>
        <w:t xml:space="preserve"> </w:t>
      </w:r>
      <w:r>
        <w:t xml:space="preserve">(Ministry of Industries, Mines and Energy) [1] [V].</w:t>
      </w:r>
    </w:p>
    <w:bookmarkEnd w:id="381"/>
    <w:bookmarkStart w:id="382" w:name="situation-de-départ-selon-le-pacte-23"/>
    <w:p>
      <w:pPr>
        <w:pStyle w:val="Heading3"/>
      </w:pPr>
      <w:r>
        <w:t xml:space="preserve">1. Situation de départ (selon le pacte)</w:t>
      </w:r>
    </w:p>
    <w:p>
      <w:pPr>
        <w:numPr>
          <w:ilvl w:val="0"/>
          <w:numId w:val="1359"/>
        </w:numPr>
        <w:pStyle w:val="Compact"/>
      </w:pPr>
      <w:r>
        <w:t xml:space="preserve">Taux d’accès :</w:t>
      </w:r>
      <w:r>
        <w:t xml:space="preserve"> </w:t>
      </w:r>
      <w:r>
        <w:rPr>
          <w:bCs/>
          <w:b/>
        </w:rPr>
        <w:t xml:space="preserve">59,5 % (recensement 2023)</w:t>
      </w:r>
      <w:r>
        <w:t xml:space="preserve"> </w:t>
      </w:r>
      <w:r>
        <w:t xml:space="preserve">: 46,9 % réseau, 12,6 % solaire hors réseau (essentiellement Tier 0-1) [1] [V]. Ménages sans accès :</w:t>
      </w:r>
      <w:r>
        <w:t xml:space="preserve"> </w:t>
      </w:r>
      <w:r>
        <w:rPr>
          <w:bCs/>
          <w:b/>
        </w:rPr>
        <w:t xml:space="preserve">212 519 ruraux</w:t>
      </w:r>
      <w:r>
        <w:t xml:space="preserve"> </w:t>
      </w:r>
      <w:r>
        <w:t xml:space="preserve">et</w:t>
      </w:r>
      <w:r>
        <w:t xml:space="preserve"> </w:t>
      </w:r>
      <w:r>
        <w:rPr>
          <w:bCs/>
          <w:b/>
        </w:rPr>
        <w:t xml:space="preserve">94 005 urbains</w:t>
      </w:r>
      <w:r>
        <w:t xml:space="preserve"> </w:t>
      </w:r>
      <w:r>
        <w:t xml:space="preserve">[1] [V]. Rythme 2017-2023 :</w:t>
      </w:r>
      <w:r>
        <w:t xml:space="preserve"> </w:t>
      </w:r>
      <w:r>
        <w:rPr>
          <w:bCs/>
          <w:b/>
        </w:rPr>
        <w:t xml:space="preserve">+0,7 point/an</w:t>
      </w:r>
      <w:r>
        <w:t xml:space="preserve"> </w:t>
      </w:r>
      <w:r>
        <w:t xml:space="preserve">(-0,2 point/an 2017-2021) [1] [V].</w:t>
      </w:r>
    </w:p>
    <w:p>
      <w:pPr>
        <w:numPr>
          <w:ilvl w:val="0"/>
          <w:numId w:val="1359"/>
        </w:numPr>
        <w:pStyle w:val="Compact"/>
      </w:pPr>
      <w:r>
        <w:t xml:space="preserve">Capacité installée :</w:t>
      </w:r>
      <w:r>
        <w:t xml:space="preserve"> </w:t>
      </w:r>
      <w:r>
        <w:rPr>
          <w:bCs/>
          <w:b/>
        </w:rPr>
        <w:t xml:space="preserve">695 MW</w:t>
      </w:r>
      <w:r>
        <w:t xml:space="preserve"> </w:t>
      </w:r>
      <w:r>
        <w:t xml:space="preserve">(déc. 2024) : NamPower 563,5 MW (dont Ruacana hydro au fil de l’eau 347 MW, solaire 20 MW), IPP 131,5 MW (PV 126,5, éolien 5) ;</w:t>
      </w:r>
      <w:r>
        <w:t xml:space="preserve"> </w:t>
      </w:r>
      <w:r>
        <w:rPr>
          <w:bCs/>
          <w:b/>
        </w:rPr>
        <w:t xml:space="preserve">capacité ferme : 140 MW</w:t>
      </w:r>
      <w:r>
        <w:t xml:space="preserve"> </w:t>
      </w:r>
      <w:r>
        <w:t xml:space="preserve">seulement pour une pointe de</w:t>
      </w:r>
      <w:r>
        <w:t xml:space="preserve"> </w:t>
      </w:r>
      <w:r>
        <w:rPr>
          <w:bCs/>
          <w:b/>
        </w:rPr>
        <w:t xml:space="preserve">673 MW (2024)</w:t>
      </w:r>
      <w:r>
        <w:t xml:space="preserve"> </w:t>
      </w:r>
      <w:r>
        <w:t xml:space="preserve">[1] [V]. Importations : 58 % de l’énergie de NamPower en 2023 (jusqu’à 90 % en pointe) ; 48 % en FY2024 ; 2 139 GWh importés en 2024 [1] [V]. Part renouvelable dans la production :</w:t>
      </w:r>
      <w:r>
        <w:t xml:space="preserve"> </w:t>
      </w:r>
      <w:r>
        <w:rPr>
          <w:bCs/>
          <w:b/>
        </w:rPr>
        <w:t xml:space="preserve">54 %</w:t>
      </w:r>
      <w:r>
        <w:t xml:space="preserve"> </w:t>
      </w:r>
      <w:r>
        <w:t xml:space="preserve">(base énergie) [1] [V].</w:t>
      </w:r>
    </w:p>
    <w:p>
      <w:pPr>
        <w:numPr>
          <w:ilvl w:val="0"/>
          <w:numId w:val="1359"/>
        </w:numPr>
        <w:pStyle w:val="Compact"/>
      </w:pPr>
      <w:r>
        <w:t xml:space="preserve">Cuisson propre :</w:t>
      </w:r>
      <w:r>
        <w:t xml:space="preserve"> </w:t>
      </w:r>
      <w:r>
        <w:rPr>
          <w:bCs/>
          <w:b/>
        </w:rPr>
        <w:t xml:space="preserve">48,5 % (2023)</w:t>
      </w:r>
      <w:r>
        <w:t xml:space="preserve"> </w:t>
      </w:r>
      <w:r>
        <w:t xml:space="preserve">[1] [V] (annexe I : 319 931 ménages, 42,3 % — incohérence) [1] [V].</w:t>
      </w:r>
    </w:p>
    <w:p>
      <w:pPr>
        <w:numPr>
          <w:ilvl w:val="0"/>
          <w:numId w:val="1359"/>
        </w:numPr>
        <w:pStyle w:val="Compact"/>
      </w:pPr>
      <w:r>
        <w:t xml:space="preserve">Tarifs : « en raison de tarifs reflétant les coûts, la Namibie a</w:t>
      </w:r>
      <w:r>
        <w:t xml:space="preserve"> </w:t>
      </w:r>
      <w:r>
        <w:rPr>
          <w:bCs/>
          <w:b/>
        </w:rPr>
        <w:t xml:space="preserve">l’un des tarifs d’électricité les plus élevés d’Afrique</w:t>
      </w:r>
      <w:r>
        <w:t xml:space="preserve"> </w:t>
      </w:r>
      <w:r>
        <w:t xml:space="preserve">» [1] [V].</w:t>
      </w:r>
    </w:p>
    <w:bookmarkEnd w:id="382"/>
    <w:bookmarkStart w:id="383" w:name="cibles-2030-22"/>
    <w:p>
      <w:pPr>
        <w:pStyle w:val="Heading3"/>
      </w:pPr>
      <w:r>
        <w:t xml:space="preserve">2. Cibles 2030</w:t>
      </w:r>
    </w:p>
    <w:p>
      <w:pPr>
        <w:numPr>
          <w:ilvl w:val="0"/>
          <w:numId w:val="1360"/>
        </w:numPr>
        <w:pStyle w:val="Compact"/>
      </w:pPr>
      <w:r>
        <w:t xml:space="preserve">Accès électricité :</w:t>
      </w:r>
      <w:r>
        <w:t xml:space="preserve"> </w:t>
      </w:r>
      <w:r>
        <w:rPr>
          <w:bCs/>
          <w:b/>
        </w:rPr>
        <w:t xml:space="preserve">70 %</w:t>
      </w:r>
      <w:r>
        <w:t xml:space="preserve"> </w:t>
      </w:r>
      <w:r>
        <w:t xml:space="preserve">en 2030 (universel visé en</w:t>
      </w:r>
      <w:r>
        <w:t xml:space="preserve"> </w:t>
      </w:r>
      <w:r>
        <w:rPr>
          <w:bCs/>
          <w:b/>
        </w:rPr>
        <w:t xml:space="preserve">2040</w:t>
      </w:r>
      <w:r>
        <w:t xml:space="preserve"> </w:t>
      </w:r>
      <w:r>
        <w:t xml:space="preserve">seulement) ;</w:t>
      </w:r>
      <w:r>
        <w:t xml:space="preserve"> </w:t>
      </w:r>
      <w:r>
        <w:rPr>
          <w:bCs/>
          <w:b/>
        </w:rPr>
        <w:t xml:space="preserve">210 000 ménages</w:t>
      </w:r>
      <w:r>
        <w:t xml:space="preserve"> </w:t>
      </w:r>
      <w:r>
        <w:t xml:space="preserve">supplémentaires dont</w:t>
      </w:r>
      <w:r>
        <w:t xml:space="preserve"> </w:t>
      </w:r>
      <w:r>
        <w:rPr>
          <w:bCs/>
          <w:b/>
        </w:rPr>
        <w:t xml:space="preserve">175 000 réseau</w:t>
      </w:r>
      <w:r>
        <w:t xml:space="preserve"> </w:t>
      </w:r>
      <w:r>
        <w:t xml:space="preserve">et</w:t>
      </w:r>
      <w:r>
        <w:t xml:space="preserve"> </w:t>
      </w:r>
      <w:r>
        <w:rPr>
          <w:bCs/>
          <w:b/>
        </w:rPr>
        <w:t xml:space="preserve">35 000 hors réseau</w:t>
      </w:r>
      <w:r>
        <w:t xml:space="preserve"> </w:t>
      </w:r>
      <w:r>
        <w:t xml:space="preserve">; « quadruplement du rythme annuel actuel » ; +2,7 points/an [1] [V].</w:t>
      </w:r>
    </w:p>
    <w:p>
      <w:pPr>
        <w:numPr>
          <w:ilvl w:val="0"/>
          <w:numId w:val="1360"/>
        </w:numPr>
        <w:pStyle w:val="Compact"/>
      </w:pPr>
      <w:r>
        <w:t xml:space="preserve">Part des renouvelables : de</w:t>
      </w:r>
      <w:r>
        <w:t xml:space="preserve"> </w:t>
      </w:r>
      <w:r>
        <w:rPr>
          <w:bCs/>
          <w:b/>
        </w:rPr>
        <w:t xml:space="preserve">54 % à 70 %</w:t>
      </w:r>
      <w:r>
        <w:t xml:space="preserve"> </w:t>
      </w:r>
      <w:r>
        <w:t xml:space="preserve">(base énergie) [1] [V] ; ~80 % de la capacité installée [1] [V]. Capacité cible</w:t>
      </w:r>
      <w:r>
        <w:t xml:space="preserve"> </w:t>
      </w:r>
      <w:r>
        <w:rPr>
          <w:bCs/>
          <w:b/>
        </w:rPr>
        <w:t xml:space="preserve">1 149 MW</w:t>
      </w:r>
      <w:r>
        <w:t xml:space="preserve"> </w:t>
      </w:r>
      <w:r>
        <w:t xml:space="preserve">dont 952,5 MW RE : solaire 466,5 MW (120 MW réservés aux IPP), éolien 99 MW (IPP), hydro 347 MW, biomasse 40 MW, + 96 MWh de BESS [1] [V].</w:t>
      </w:r>
    </w:p>
    <w:p>
      <w:pPr>
        <w:numPr>
          <w:ilvl w:val="0"/>
          <w:numId w:val="1360"/>
        </w:numPr>
        <w:pStyle w:val="Compact"/>
      </w:pPr>
      <w:r>
        <w:t xml:space="preserve">Cuisson propre :</w:t>
      </w:r>
      <w:r>
        <w:t xml:space="preserve"> </w:t>
      </w:r>
      <w:r>
        <w:rPr>
          <w:bCs/>
          <w:b/>
        </w:rPr>
        <w:t xml:space="preserve">61 %</w:t>
      </w:r>
      <w:r>
        <w:t xml:space="preserve"> </w:t>
      </w:r>
      <w:r>
        <w:t xml:space="preserve">; 200 000 nouveaux ménages [1] [V].</w:t>
      </w:r>
    </w:p>
    <w:p>
      <w:pPr>
        <w:numPr>
          <w:ilvl w:val="0"/>
          <w:numId w:val="1360"/>
        </w:numPr>
        <w:pStyle w:val="Compact"/>
      </w:pPr>
      <w:r>
        <w:t xml:space="preserve">Autres cibles :</w:t>
      </w:r>
    </w:p>
    <w:p>
      <w:pPr>
        <w:numPr>
          <w:ilvl w:val="1"/>
          <w:numId w:val="1361"/>
        </w:numPr>
        <w:pStyle w:val="Compact"/>
      </w:pPr>
      <w:r>
        <w:rPr>
          <w:bCs/>
          <w:b/>
        </w:rPr>
        <w:t xml:space="preserve">+454 MW</w:t>
      </w:r>
      <w:r>
        <w:t xml:space="preserve"> </w:t>
      </w:r>
      <w:r>
        <w:t xml:space="preserve">d’ici 2030 dont</w:t>
      </w:r>
      <w:r>
        <w:t xml:space="preserve"> </w:t>
      </w:r>
      <w:r>
        <w:rPr>
          <w:bCs/>
          <w:b/>
        </w:rPr>
        <w:t xml:space="preserve">234 MW IPP</w:t>
      </w:r>
      <w:r>
        <w:t xml:space="preserve"> </w:t>
      </w:r>
      <w:r>
        <w:t xml:space="preserve">; lancement des achats de</w:t>
      </w:r>
      <w:r>
        <w:t xml:space="preserve"> </w:t>
      </w:r>
      <w:r>
        <w:rPr>
          <w:bCs/>
          <w:b/>
        </w:rPr>
        <w:t xml:space="preserve">740 MW</w:t>
      </w:r>
      <w:r>
        <w:t xml:space="preserve"> </w:t>
      </w:r>
      <w:r>
        <w:t xml:space="preserve">supplémentaires (440 MW hydro — Baynes — + 300 MW autres RE) [1] [V].</w:t>
      </w:r>
    </w:p>
    <w:p>
      <w:pPr>
        <w:numPr>
          <w:ilvl w:val="1"/>
          <w:numId w:val="1361"/>
        </w:numPr>
        <w:pStyle w:val="Compact"/>
      </w:pPr>
      <w:r>
        <w:t xml:space="preserve">Part des IPP dans la capacité : de</w:t>
      </w:r>
      <w:r>
        <w:t xml:space="preserve"> </w:t>
      </w:r>
      <w:r>
        <w:rPr>
          <w:bCs/>
          <w:b/>
        </w:rPr>
        <w:t xml:space="preserve">19 % (2024) à &gt; 40 % (2030)</w:t>
      </w:r>
      <w:r>
        <w:t xml:space="preserve"> </w:t>
      </w:r>
      <w:r>
        <w:t xml:space="preserve">(515,5 MW sur 1 300 MW — total différent des 1 149 MW cités ailleurs) [1] [V].</w:t>
      </w:r>
    </w:p>
    <w:p>
      <w:pPr>
        <w:numPr>
          <w:ilvl w:val="1"/>
          <w:numId w:val="1361"/>
        </w:numPr>
        <w:pStyle w:val="Compact"/>
      </w:pPr>
      <w:r>
        <w:t xml:space="preserve">Capital privé : de</w:t>
      </w:r>
      <w:r>
        <w:t xml:space="preserve"> </w:t>
      </w:r>
      <w:r>
        <w:rPr>
          <w:bCs/>
          <w:b/>
        </w:rPr>
        <w:t xml:space="preserve">156 M US$ à 411 M US$</w:t>
      </w:r>
      <w:r>
        <w:t xml:space="preserve"> </w:t>
      </w:r>
      <w:r>
        <w:t xml:space="preserve">[1] [V].</w:t>
      </w:r>
    </w:p>
    <w:p>
      <w:pPr>
        <w:numPr>
          <w:ilvl w:val="1"/>
          <w:numId w:val="1361"/>
        </w:numPr>
        <w:pStyle w:val="Compact"/>
      </w:pPr>
      <w:r>
        <w:t xml:space="preserve">Objectif gouvernemental de 80 % de production locale d’énergie primaire d’ici 2028 [1] [V].</w:t>
      </w:r>
    </w:p>
    <w:bookmarkEnd w:id="383"/>
    <w:bookmarkStart w:id="385" w:name="réformes-promises-cœur-de-lanalyse-19"/>
    <w:p>
      <w:pPr>
        <w:pStyle w:val="Heading3"/>
      </w:pPr>
      <w:r>
        <w:t xml:space="preserve">3. Réformes promises (cœur de l’analyse)</w:t>
      </w:r>
    </w:p>
    <w:bookmarkStart w:id="384" w:name="tarifs-et-subventions-23"/>
    <w:p>
      <w:pPr>
        <w:pStyle w:val="Heading4"/>
      </w:pPr>
      <w:r>
        <w:t xml:space="preserve">3.1 Tarifs et subventions</w:t>
      </w:r>
    </w:p>
    <w:p>
      <w:pPr>
        <w:numPr>
          <w:ilvl w:val="0"/>
          <w:numId w:val="1362"/>
        </w:numPr>
        <w:pStyle w:val="Compact"/>
      </w:pPr>
      <w:r>
        <w:t xml:space="preserve">Contexte décrit par le pacte : tarifs fixés par l’ECB selon une méthode</w:t>
      </w:r>
      <w:r>
        <w:t xml:space="preserve"> </w:t>
      </w:r>
      <w:r>
        <w:rPr>
          <w:bCs/>
          <w:b/>
        </w:rPr>
        <w:t xml:space="preserve">coût + marge (cost-plus)</w:t>
      </w:r>
      <w:r>
        <w:t xml:space="preserve"> </w:t>
      </w:r>
      <w:r>
        <w:t xml:space="preserve">avec rendement régulé sur les actifs, censée refléter le</w:t>
      </w:r>
      <w:r>
        <w:t xml:space="preserve"> </w:t>
      </w:r>
      <w:r>
        <w:rPr>
          <w:bCs/>
          <w:b/>
        </w:rPr>
        <w:t xml:space="preserve">coût marginal de long terme</w:t>
      </w:r>
      <w:r>
        <w:t xml:space="preserve"> </w:t>
      </w:r>
      <w:r>
        <w:t xml:space="preserve">; tarif moyen NamPower</w:t>
      </w:r>
      <w:r>
        <w:t xml:space="preserve"> </w:t>
      </w:r>
      <w:r>
        <w:rPr>
          <w:bCs/>
          <w:b/>
        </w:rPr>
        <w:t xml:space="preserve">0,117 US$/kWh</w:t>
      </w:r>
      <w:r>
        <w:t xml:space="preserve"> </w:t>
      </w:r>
      <w:r>
        <w:t xml:space="preserve">contre un coût de</w:t>
      </w:r>
      <w:r>
        <w:t xml:space="preserve"> </w:t>
      </w:r>
      <w:r>
        <w:rPr>
          <w:bCs/>
          <w:b/>
        </w:rPr>
        <w:t xml:space="preserve">0,113 US$/kWh (2024)</w:t>
      </w:r>
      <w:r>
        <w:t xml:space="preserve"> </w:t>
      </w:r>
      <w:r>
        <w:t xml:space="preserve">[1] [V]. Indicateur « Utilities achieving at least 100 percent operational cost recovery » : base 2024 =</w:t>
      </w:r>
      <w:r>
        <w:t xml:space="preserve"> </w:t>
      </w:r>
      <w:r>
        <w:rPr>
          <w:bCs/>
          <w:b/>
        </w:rPr>
        <w:t xml:space="preserve">No</w:t>
      </w:r>
      <w:r>
        <w:t xml:space="preserve"> </w:t>
      </w:r>
      <w:r>
        <w:t xml:space="preserve">(malgré ces chiffres) [1] [V].</w:t>
      </w:r>
    </w:p>
    <w:p>
      <w:pPr>
        <w:numPr>
          <w:ilvl w:val="0"/>
          <w:numId w:val="1362"/>
        </w:numPr>
        <w:pStyle w:val="Compact"/>
      </w:pPr>
      <w:r>
        <w:rPr>
          <w:bCs/>
          <w:b/>
        </w:rPr>
        <w:t xml:space="preserve">Régime de régulation incitative pluriannuelle (PBR)</w:t>
      </w:r>
      <w:r>
        <w:t xml:space="preserve"> </w:t>
      </w:r>
      <w:r>
        <w:t xml:space="preserve">avec périodes de contrôle des prix pluriannuelles d’ici</w:t>
      </w:r>
      <w:r>
        <w:t xml:space="preserve"> </w:t>
      </w:r>
      <w:r>
        <w:rPr>
          <w:bCs/>
          <w:b/>
        </w:rPr>
        <w:t xml:space="preserve">2026/2027</w:t>
      </w:r>
      <w:r>
        <w:t xml:space="preserve"> </w:t>
      </w:r>
      <w:r>
        <w:t xml:space="preserve">[1] [V].</w:t>
      </w:r>
    </w:p>
    <w:p>
      <w:pPr>
        <w:numPr>
          <w:ilvl w:val="0"/>
          <w:numId w:val="1362"/>
        </w:numPr>
        <w:pStyle w:val="Compact"/>
      </w:pPr>
      <w:r>
        <w:rPr>
          <w:bCs/>
          <w:b/>
        </w:rPr>
        <w:t xml:space="preserve">Stratégie de financement des investissements publics</w:t>
      </w:r>
      <w:r>
        <w:t xml:space="preserve"> </w:t>
      </w:r>
      <w:r>
        <w:t xml:space="preserve">(d’ici 2026) pour</w:t>
      </w:r>
      <w:r>
        <w:t xml:space="preserve"> </w:t>
      </w:r>
      <w:r>
        <w:rPr>
          <w:bCs/>
          <w:b/>
        </w:rPr>
        <w:t xml:space="preserve">minimiser l’impact tarifaire</w:t>
      </w:r>
      <w:r>
        <w:t xml:space="preserve"> </w:t>
      </w:r>
      <w:r>
        <w:t xml:space="preserve">des nouvelles lignes, renforcements et réhabilitations — c’est-à-dire financer les réseaux hors tarif [1] [V].</w:t>
      </w:r>
    </w:p>
    <w:p>
      <w:pPr>
        <w:numPr>
          <w:ilvl w:val="0"/>
          <w:numId w:val="1362"/>
        </w:numPr>
        <w:pStyle w:val="Compact"/>
      </w:pPr>
      <w:r>
        <w:rPr>
          <w:bCs/>
          <w:b/>
        </w:rPr>
        <w:t xml:space="preserve">Diagnostic de la soutenabilité financière des distributeurs</w:t>
      </w:r>
      <w:r>
        <w:t xml:space="preserve"> </w:t>
      </w:r>
      <w:r>
        <w:t xml:space="preserve">pour un modèle d’électrification viable [1] [V].</w:t>
      </w:r>
    </w:p>
    <w:p>
      <w:pPr>
        <w:numPr>
          <w:ilvl w:val="0"/>
          <w:numId w:val="1362"/>
        </w:numPr>
        <w:pStyle w:val="Compact"/>
      </w:pPr>
      <w:r>
        <w:t xml:space="preserve">Abordabilité : « modèle d’affaires d’électrification durable aligné sur l’abordabilité des ménages » ; co-financement et incitations pour ménages pauvres (raccordement, câblage intérieur) ; options évoquées : intégration dans le tarif, subventions publiques, financement des consommateurs [1] [V].</w:t>
      </w:r>
    </w:p>
    <w:p>
      <w:pPr>
        <w:numPr>
          <w:ilvl w:val="0"/>
          <w:numId w:val="1362"/>
        </w:numPr>
        <w:pStyle w:val="Compact"/>
      </w:pPr>
      <w:r>
        <w:rPr>
          <w:bCs/>
          <w:b/>
        </w:rPr>
        <w:t xml:space="preserve">Fonds national d’électrification (NELFP)</w:t>
      </w:r>
      <w:r>
        <w:t xml:space="preserve"> </w:t>
      </w:r>
      <w:r>
        <w:t xml:space="preserve">à bâtir et mettre en œuvre d’ici 2026 (prélèvements, budget, IFD) « pour garantir l’abordabilité tarifaire » [1] [V].</w:t>
      </w:r>
    </w:p>
    <w:p>
      <w:pPr>
        <w:numPr>
          <w:ilvl w:val="0"/>
          <w:numId w:val="1362"/>
        </w:numPr>
        <w:pStyle w:val="Compact"/>
      </w:pPr>
      <w:r>
        <w:t xml:space="preserve">Exonérations fiscales « intelligentes » (limitées dans le temps et pro-pauvres) de droits et TVA sur équipements hors réseau certifiés [1] [V].</w:t>
      </w:r>
    </w:p>
    <w:p>
      <w:pPr>
        <w:numPr>
          <w:ilvl w:val="0"/>
          <w:numId w:val="1362"/>
        </w:numPr>
        <w:pStyle w:val="Compact"/>
      </w:pPr>
      <w:r>
        <w:t xml:space="preserve">Montant total des subventions :</w:t>
      </w:r>
      <w:r>
        <w:t xml:space="preserve"> </w:t>
      </w:r>
      <w:r>
        <w:rPr>
          <w:bCs/>
          <w:b/>
        </w:rPr>
        <w:t xml:space="preserve">« N/A »</w:t>
      </w:r>
      <w:r>
        <w:t xml:space="preserve"> </w:t>
      </w:r>
      <w:r>
        <w:t xml:space="preserve">[1] [V].</w:t>
      </w:r>
      <w:r>
        <w:t xml:space="preserve"> </w:t>
      </w:r>
      <w:r>
        <w:t xml:space="preserve">#### 3.2 Opérateur (redressement, contrats de performance, pertes, recouvrement, compteurs)</w:t>
      </w:r>
    </w:p>
    <w:p>
      <w:pPr>
        <w:numPr>
          <w:ilvl w:val="0"/>
          <w:numId w:val="1362"/>
        </w:numPr>
        <w:pStyle w:val="Compact"/>
      </w:pPr>
      <w:r>
        <w:t xml:space="preserve">NamPower :</w:t>
      </w:r>
      <w:r>
        <w:t xml:space="preserve"> </w:t>
      </w:r>
      <w:r>
        <w:rPr>
          <w:bCs/>
          <w:b/>
        </w:rPr>
        <w:t xml:space="preserve">bénéfice net de 76 M US$ (2024)</w:t>
      </w:r>
      <w:r>
        <w:t xml:space="preserve"> </w:t>
      </w:r>
      <w:r>
        <w:t xml:space="preserve">après une</w:t>
      </w:r>
      <w:r>
        <w:t xml:space="preserve"> </w:t>
      </w:r>
      <w:r>
        <w:rPr>
          <w:bCs/>
          <w:b/>
        </w:rPr>
        <w:t xml:space="preserve">perte de 48 M US$ (2023)</w:t>
      </w:r>
      <w:r>
        <w:t xml:space="preserve"> </w:t>
      </w:r>
      <w:r>
        <w:t xml:space="preserve">(rapport annuel 2024) ; pression financière liée aux importations et au change ; « pertes de crédit attendues élevées et dette » [1] [V].</w:t>
      </w:r>
    </w:p>
    <w:p>
      <w:pPr>
        <w:numPr>
          <w:ilvl w:val="0"/>
          <w:numId w:val="1362"/>
        </w:numPr>
        <w:pStyle w:val="Compact"/>
      </w:pPr>
      <w:r>
        <w:t xml:space="preserve">Pertes AT&amp;C NamPower :</w:t>
      </w:r>
      <w:r>
        <w:t xml:space="preserve"> </w:t>
      </w:r>
      <w:r>
        <w:rPr>
          <w:bCs/>
          <w:b/>
        </w:rPr>
        <w:t xml:space="preserve">11,1 %</w:t>
      </w:r>
      <w:r>
        <w:t xml:space="preserve"> </w:t>
      </w:r>
      <w:r>
        <w:t xml:space="preserve">[1] [V] ; pas de cible de réduction [?].</w:t>
      </w:r>
    </w:p>
    <w:p>
      <w:pPr>
        <w:numPr>
          <w:ilvl w:val="0"/>
          <w:numId w:val="1362"/>
        </w:numPr>
        <w:pStyle w:val="Compact"/>
      </w:pPr>
      <w:r>
        <w:t xml:space="preserve">Qualité de service : système</w:t>
      </w:r>
      <w:r>
        <w:t xml:space="preserve"> </w:t>
      </w:r>
      <w:r>
        <w:rPr>
          <w:bCs/>
          <w:b/>
        </w:rPr>
        <w:t xml:space="preserve">E-QOSSS / gestion des pannes (OMS)</w:t>
      </w:r>
      <w:r>
        <w:t xml:space="preserve"> </w:t>
      </w:r>
      <w:r>
        <w:t xml:space="preserve">d’ici</w:t>
      </w:r>
      <w:r>
        <w:t xml:space="preserve"> </w:t>
      </w:r>
      <w:r>
        <w:rPr>
          <w:bCs/>
          <w:b/>
        </w:rPr>
        <w:t xml:space="preserve">2027</w:t>
      </w:r>
      <w:r>
        <w:t xml:space="preserve"> </w:t>
      </w:r>
      <w:r>
        <w:t xml:space="preserve">; procédures de supervision par l’ECB de la performance opérationnelle et financière de NamPower et des distributeurs [1] [V].</w:t>
      </w:r>
    </w:p>
    <w:p>
      <w:pPr>
        <w:numPr>
          <w:ilvl w:val="0"/>
          <w:numId w:val="1362"/>
        </w:numPr>
        <w:pStyle w:val="Compact"/>
      </w:pPr>
      <w:r>
        <w:t xml:space="preserve">Digitalisation des distributeurs : SCADA, compteurs intelligents, OMS ; compteurs à prépaiement évoqués comme levier de recouvrement [1] [V].</w:t>
      </w:r>
    </w:p>
    <w:p>
      <w:pPr>
        <w:numPr>
          <w:ilvl w:val="0"/>
          <w:numId w:val="1362"/>
        </w:numPr>
        <w:pStyle w:val="Compact"/>
      </w:pPr>
      <w:r>
        <w:t xml:space="preserve">Soutien intégré aux distributeurs (planification, modélisation financière) d’ici 2026 [1] [V].</w:t>
      </w:r>
    </w:p>
    <w:p>
      <w:pPr>
        <w:numPr>
          <w:ilvl w:val="0"/>
          <w:numId w:val="1362"/>
        </w:numPr>
        <w:pStyle w:val="Compact"/>
      </w:pPr>
      <w:r>
        <w:t xml:space="preserve">États financiers : soumission en temps voulu par tous les REDs selon les IFRS [1] [V].</w:t>
      </w:r>
    </w:p>
    <w:p>
      <w:pPr>
        <w:numPr>
          <w:ilvl w:val="0"/>
          <w:numId w:val="1362"/>
        </w:numPr>
        <w:pStyle w:val="Compact"/>
      </w:pPr>
      <w:r>
        <w:t xml:space="preserve">Délestage :</w:t>
      </w:r>
      <w:r>
        <w:t xml:space="preserve"> </w:t>
      </w:r>
      <w:r>
        <w:rPr>
          <w:bCs/>
          <w:b/>
        </w:rPr>
        <w:t xml:space="preserve">0 MWh</w:t>
      </w:r>
      <w:r>
        <w:t xml:space="preserve"> </w:t>
      </w:r>
      <w:r>
        <w:t xml:space="preserve">(annexe I) [1] [V].</w:t>
      </w:r>
      <w:r>
        <w:t xml:space="preserve"> </w:t>
      </w:r>
      <w:r>
        <w:t xml:space="preserve">#### 3.3 Régulation et gouvernance</w:t>
      </w:r>
    </w:p>
    <w:p>
      <w:pPr>
        <w:numPr>
          <w:ilvl w:val="0"/>
          <w:numId w:val="1362"/>
        </w:numPr>
        <w:pStyle w:val="Compact"/>
      </w:pPr>
      <w:r>
        <w:rPr>
          <w:bCs/>
          <w:b/>
        </w:rPr>
        <w:t xml:space="preserve">NIRP</w:t>
      </w:r>
      <w:r>
        <w:t xml:space="preserve"> </w:t>
      </w:r>
      <w:r>
        <w:t xml:space="preserve">(plan intégré au moindre coût) mis à jour et approuvé d’ici</w:t>
      </w:r>
      <w:r>
        <w:t xml:space="preserve"> </w:t>
      </w:r>
      <w:r>
        <w:rPr>
          <w:bCs/>
          <w:b/>
        </w:rPr>
        <w:t xml:space="preserve">2026</w:t>
      </w:r>
      <w:r>
        <w:t xml:space="preserve">, puis tous les 2-3 ans (« tous les trois ans » dans le plan d’action) sous la direction de la Planification du MIME [1] [V].</w:t>
      </w:r>
    </w:p>
    <w:p>
      <w:pPr>
        <w:numPr>
          <w:ilvl w:val="0"/>
          <w:numId w:val="1362"/>
        </w:numPr>
        <w:pStyle w:val="Compact"/>
      </w:pPr>
      <w:r>
        <w:t xml:space="preserve">Analyse économique du</w:t>
      </w:r>
      <w:r>
        <w:t xml:space="preserve"> </w:t>
      </w:r>
      <w:r>
        <w:rPr>
          <w:bCs/>
          <w:b/>
        </w:rPr>
        <w:t xml:space="preserve">gaz naturel</w:t>
      </w:r>
      <w:r>
        <w:t xml:space="preserve"> </w:t>
      </w:r>
      <w:r>
        <w:t xml:space="preserve">comme base pour stabiliser le réseau (découvertes offshore du bassin d’Orange) [1] [V].</w:t>
      </w:r>
    </w:p>
    <w:p>
      <w:pPr>
        <w:numPr>
          <w:ilvl w:val="0"/>
          <w:numId w:val="1362"/>
        </w:numPr>
        <w:pStyle w:val="Compact"/>
      </w:pPr>
      <w:r>
        <w:t xml:space="preserve">Stratégie nationale d’électrification mise à jour avec les plans directeurs des distributeurs (2026) ; PIU au MIME ; unité dédiée à l’accès (2026) ; suivi avec l’Agence statistique (NSA) [1] [V].</w:t>
      </w:r>
    </w:p>
    <w:p>
      <w:pPr>
        <w:numPr>
          <w:ilvl w:val="0"/>
          <w:numId w:val="1362"/>
        </w:numPr>
        <w:pStyle w:val="Compact"/>
      </w:pPr>
      <w:r>
        <w:t xml:space="preserve">Coordination MIME-NamPower-ECB pour licences et permis [1] [V].</w:t>
      </w:r>
      <w:r>
        <w:t xml:space="preserve"> </w:t>
      </w:r>
      <w:r>
        <w:t xml:space="preserve">#### 3.4 Participation du privé (producteurs indépendants, concessions, hors réseau)</w:t>
      </w:r>
    </w:p>
    <w:p>
      <w:pPr>
        <w:numPr>
          <w:ilvl w:val="0"/>
          <w:numId w:val="1362"/>
        </w:numPr>
        <w:pStyle w:val="Compact"/>
      </w:pPr>
      <w:r>
        <w:rPr>
          <w:bCs/>
          <w:b/>
        </w:rPr>
        <w:t xml:space="preserve">Diagnostic des goulets d’étranglement</w:t>
      </w:r>
      <w:r>
        <w:t xml:space="preserve"> </w:t>
      </w:r>
      <w:r>
        <w:t xml:space="preserve">des achats concurrentiels (production) et mesures correctives [1] [V].</w:t>
      </w:r>
    </w:p>
    <w:p>
      <w:pPr>
        <w:numPr>
          <w:ilvl w:val="0"/>
          <w:numId w:val="1362"/>
        </w:numPr>
        <w:pStyle w:val="Compact"/>
      </w:pPr>
      <w:r>
        <w:t xml:space="preserve">Évaluer le cadre contractuel des achats IPP de NamPower et des REDs, revoir le rôle de l’État dans les transactions IPP et</w:t>
      </w:r>
      <w:r>
        <w:t xml:space="preserve"> </w:t>
      </w:r>
      <w:r>
        <w:rPr>
          <w:bCs/>
          <w:b/>
        </w:rPr>
        <w:t xml:space="preserve">clarifier le régime d’exportation</w:t>
      </w:r>
      <w:r>
        <w:t xml:space="preserve"> </w:t>
      </w:r>
      <w:r>
        <w:t xml:space="preserve">(2025) [1] [V].</w:t>
      </w:r>
    </w:p>
    <w:p>
      <w:pPr>
        <w:numPr>
          <w:ilvl w:val="0"/>
          <w:numId w:val="1362"/>
        </w:numPr>
        <w:pStyle w:val="Compact"/>
      </w:pPr>
      <w:r>
        <w:rPr>
          <w:bCs/>
          <w:b/>
        </w:rPr>
        <w:t xml:space="preserve">Évaluation du modèle MSB</w:t>
      </w:r>
      <w:r>
        <w:t xml:space="preserve"> </w:t>
      </w:r>
      <w:r>
        <w:t xml:space="preserve">: 30 clients « contestables » autorisés à acheter jusqu’à 30 % de leurs besoins auprès d’IPP (juin 2024), peu l’utilisent [1] [V].</w:t>
      </w:r>
    </w:p>
    <w:p>
      <w:pPr>
        <w:numPr>
          <w:ilvl w:val="0"/>
          <w:numId w:val="1362"/>
        </w:numPr>
        <w:pStyle w:val="Compact"/>
      </w:pPr>
      <w:r>
        <w:t xml:space="preserve">Achats IPP de</w:t>
      </w:r>
      <w:r>
        <w:t xml:space="preserve"> </w:t>
      </w:r>
      <w:r>
        <w:rPr>
          <w:bCs/>
          <w:b/>
        </w:rPr>
        <w:t xml:space="preserve">390 M US$</w:t>
      </w:r>
      <w:r>
        <w:t xml:space="preserve"> </w:t>
      </w:r>
      <w:r>
        <w:t xml:space="preserve">d’ici 2030 en production RE (hors Baynes) [1] [V].</w:t>
      </w:r>
    </w:p>
    <w:p>
      <w:pPr>
        <w:numPr>
          <w:ilvl w:val="0"/>
          <w:numId w:val="1362"/>
        </w:numPr>
        <w:pStyle w:val="Compact"/>
      </w:pPr>
      <w:r>
        <w:rPr>
          <w:bCs/>
          <w:b/>
        </w:rPr>
        <w:t xml:space="preserve">Transporteurs indépendants (IPT)</w:t>
      </w:r>
      <w:r>
        <w:t xml:space="preserve"> </w:t>
      </w:r>
      <w:r>
        <w:t xml:space="preserve">pour IPP et mines : étude de cas d’usage [1] [V]. Pas de privé dans le transport actuellement [1] [V].</w:t>
      </w:r>
    </w:p>
    <w:p>
      <w:pPr>
        <w:numPr>
          <w:ilvl w:val="0"/>
          <w:numId w:val="1362"/>
        </w:numPr>
        <w:pStyle w:val="Compact"/>
      </w:pPr>
      <w:r>
        <w:rPr>
          <w:bCs/>
          <w:b/>
        </w:rPr>
        <w:t xml:space="preserve">BESS</w:t>
      </w:r>
      <w:r>
        <w:t xml:space="preserve"> </w:t>
      </w:r>
      <w:r>
        <w:t xml:space="preserve">: préparation réglementaire, licences et modèle public/privé (2025) [1] [V].</w:t>
      </w:r>
    </w:p>
    <w:p>
      <w:pPr>
        <w:numPr>
          <w:ilvl w:val="0"/>
          <w:numId w:val="1362"/>
        </w:numPr>
        <w:pStyle w:val="Compact"/>
      </w:pPr>
      <w:r>
        <w:t xml:space="preserve">Cadre carbone [1] [V].</w:t>
      </w:r>
      <w:r>
        <w:t xml:space="preserve"> </w:t>
      </w:r>
      <w:r>
        <w:t xml:space="preserve">#### 3.5 Intégration régionale (pools énergétiques, interconnexions)</w:t>
      </w:r>
    </w:p>
    <w:p>
      <w:pPr>
        <w:numPr>
          <w:ilvl w:val="0"/>
          <w:numId w:val="1362"/>
        </w:numPr>
        <w:pStyle w:val="Compact"/>
      </w:pPr>
      <w:r>
        <w:t xml:space="preserve">Adoption de la nouvelle</w:t>
      </w:r>
      <w:r>
        <w:t xml:space="preserve"> </w:t>
      </w:r>
      <w:r>
        <w:rPr>
          <w:bCs/>
          <w:b/>
        </w:rPr>
        <w:t xml:space="preserve">méthodologie de tarification du transport du SAPP d’ici 2027</w:t>
      </w:r>
      <w:r>
        <w:t xml:space="preserve"> </w:t>
      </w:r>
      <w:r>
        <w:t xml:space="preserve">[1] [V].</w:t>
      </w:r>
    </w:p>
    <w:p>
      <w:pPr>
        <w:numPr>
          <w:ilvl w:val="0"/>
          <w:numId w:val="1362"/>
        </w:numPr>
        <w:pStyle w:val="Compact"/>
      </w:pPr>
      <w:r>
        <w:rPr>
          <w:bCs/>
          <w:b/>
        </w:rPr>
        <w:t xml:space="preserve">ANNA</w:t>
      </w:r>
      <w:r>
        <w:t xml:space="preserve"> </w:t>
      </w:r>
      <w:r>
        <w:t xml:space="preserve">(Angola-Namibie, 400 kV) : modèle d’affaires et financement, mise en service côté namibien en</w:t>
      </w:r>
      <w:r>
        <w:t xml:space="preserve"> </w:t>
      </w:r>
      <w:r>
        <w:rPr>
          <w:bCs/>
          <w:b/>
        </w:rPr>
        <w:t xml:space="preserve">2029</w:t>
      </w:r>
      <w:r>
        <w:t xml:space="preserve"> </w:t>
      </w:r>
      <w:r>
        <w:t xml:space="preserve">[1] [V].</w:t>
      </w:r>
    </w:p>
    <w:p>
      <w:pPr>
        <w:numPr>
          <w:ilvl w:val="0"/>
          <w:numId w:val="1362"/>
        </w:numPr>
        <w:pStyle w:val="Compact"/>
      </w:pPr>
      <w:r>
        <w:rPr>
          <w:bCs/>
          <w:b/>
        </w:rPr>
        <w:t xml:space="preserve">ZIZABONA</w:t>
      </w:r>
      <w:r>
        <w:t xml:space="preserve"> </w:t>
      </w:r>
      <w:r>
        <w:t xml:space="preserve">: mise en service côté namibien en</w:t>
      </w:r>
      <w:r>
        <w:t xml:space="preserve"> </w:t>
      </w:r>
      <w:r>
        <w:rPr>
          <w:bCs/>
          <w:b/>
        </w:rPr>
        <w:t xml:space="preserve">2027</w:t>
      </w:r>
      <w:r>
        <w:t xml:space="preserve"> </w:t>
      </w:r>
      <w:r>
        <w:t xml:space="preserve">dans la déclaration,</w:t>
      </w:r>
      <w:r>
        <w:t xml:space="preserve"> </w:t>
      </w:r>
      <w:r>
        <w:rPr>
          <w:bCs/>
          <w:b/>
        </w:rPr>
        <w:t xml:space="preserve">2029</w:t>
      </w:r>
      <w:r>
        <w:t xml:space="preserve"> </w:t>
      </w:r>
      <w:r>
        <w:t xml:space="preserve">dans le plan d’action (étude de faisabilité à achever) [1] [V] — incohérence.</w:t>
      </w:r>
    </w:p>
    <w:p>
      <w:pPr>
        <w:numPr>
          <w:ilvl w:val="0"/>
          <w:numId w:val="1362"/>
        </w:numPr>
        <w:pStyle w:val="Compact"/>
      </w:pPr>
      <w:r>
        <w:rPr>
          <w:bCs/>
          <w:b/>
        </w:rPr>
        <w:t xml:space="preserve">BONA</w:t>
      </w:r>
      <w:r>
        <w:t xml:space="preserve"> </w:t>
      </w:r>
      <w:r>
        <w:t xml:space="preserve">(Botswana-Namibie) : préfaisabilité d’ici 2027 [1] [V].</w:t>
      </w:r>
    </w:p>
    <w:p>
      <w:pPr>
        <w:numPr>
          <w:ilvl w:val="0"/>
          <w:numId w:val="1362"/>
        </w:numPr>
        <w:pStyle w:val="Compact"/>
      </w:pPr>
      <w:r>
        <w:t xml:space="preserve">Plan d’action régional et stratégie BESS (2026) ; harmonisation des licences d’export [1] [V].</w:t>
      </w:r>
      <w:r>
        <w:t xml:space="preserve"> </w:t>
      </w:r>
      <w:r>
        <w:t xml:space="preserve">#### 3.6 Autres (fiscalité, foncier, local content)</w:t>
      </w:r>
    </w:p>
    <w:p>
      <w:pPr>
        <w:numPr>
          <w:ilvl w:val="0"/>
          <w:numId w:val="1362"/>
        </w:numPr>
        <w:pStyle w:val="Compact"/>
      </w:pPr>
      <w:r>
        <w:t xml:space="preserve">Emplois (6 000 directs et indirects cités), formation (TVET, NTA, UNAM, NUST), contenu local, inclusion des femmes (annexes IV-V) [1] [V].</w:t>
      </w:r>
    </w:p>
    <w:p>
      <w:pPr>
        <w:numPr>
          <w:ilvl w:val="0"/>
          <w:numId w:val="1362"/>
        </w:numPr>
        <w:pStyle w:val="Compact"/>
      </w:pPr>
      <w:r>
        <w:t xml:space="preserve">Industrialisation verte / hydrogène vert ; économie du pétrole et du gaz offshore [1] [V].</w:t>
      </w:r>
    </w:p>
    <w:bookmarkEnd w:id="384"/>
    <w:bookmarkEnd w:id="385"/>
    <w:bookmarkStart w:id="386" w:name="financement-23"/>
    <w:p>
      <w:pPr>
        <w:pStyle w:val="Heading3"/>
      </w:pPr>
      <w:r>
        <w:t xml:space="preserve">4. Financement</w:t>
      </w:r>
    </w:p>
    <w:p>
      <w:pPr>
        <w:numPr>
          <w:ilvl w:val="0"/>
          <w:numId w:val="1363"/>
        </w:numPr>
        <w:pStyle w:val="Compact"/>
      </w:pPr>
      <w:r>
        <w:t xml:space="preserve">Besoin total :</w:t>
      </w:r>
      <w:r>
        <w:t xml:space="preserve"> </w:t>
      </w:r>
      <w:r>
        <w:rPr>
          <w:bCs/>
          <w:b/>
        </w:rPr>
        <w:t xml:space="preserve">1 764 M US$</w:t>
      </w:r>
      <w:r>
        <w:t xml:space="preserve"> </w:t>
      </w:r>
      <w:r>
        <w:t xml:space="preserve">(public 1 353 M ; privé 411 M) [1] [V] :</w:t>
      </w:r>
    </w:p>
    <w:p>
      <w:pPr>
        <w:numPr>
          <w:ilvl w:val="1"/>
          <w:numId w:val="1364"/>
        </w:numPr>
        <w:pStyle w:val="Compact"/>
      </w:pPr>
      <w:r>
        <w:t xml:space="preserve">Production 751 M (privé 390) ; transport ≥ 66 kV 447 M ; distribution 60 M ; réhabilitation distribution 76 M ; raccordements réseau 357 M ; hors réseau 35 M (privé 21) ; cuisson propre 18 M ; AT 20 M [1] [V].</w:t>
      </w:r>
    </w:p>
    <w:p>
      <w:pPr>
        <w:numPr>
          <w:ilvl w:val="1"/>
          <w:numId w:val="1364"/>
        </w:numPr>
        <w:pStyle w:val="Compact"/>
      </w:pPr>
      <w:r>
        <w:rPr>
          <w:bCs/>
          <w:b/>
        </w:rPr>
        <w:t xml:space="preserve">Financement acquis : 718 M US$</w:t>
      </w:r>
      <w:r>
        <w:t xml:space="preserve"> </w:t>
      </w:r>
      <w:r>
        <w:t xml:space="preserve">(public 562, privé 156) ;</w:t>
      </w:r>
      <w:r>
        <w:t xml:space="preserve"> </w:t>
      </w:r>
      <w:r>
        <w:rPr>
          <w:bCs/>
          <w:b/>
        </w:rPr>
        <w:t xml:space="preserve">déficit : 1 056 M US$</w:t>
      </w:r>
      <w:r>
        <w:t xml:space="preserve"> </w:t>
      </w:r>
      <w:r>
        <w:t xml:space="preserve">(public 791, privé 255) [1] [V].</w:t>
      </w:r>
    </w:p>
    <w:p>
      <w:pPr>
        <w:numPr>
          <w:ilvl w:val="1"/>
          <w:numId w:val="1364"/>
        </w:numPr>
        <w:pStyle w:val="Compact"/>
      </w:pPr>
      <w:r>
        <w:rPr>
          <w:bCs/>
          <w:b/>
        </w:rPr>
        <w:t xml:space="preserve">Hors pacte : Baynes Hydro</w:t>
      </w:r>
      <w:r>
        <w:t xml:space="preserve">, ~</w:t>
      </w:r>
      <w:r>
        <w:rPr>
          <w:bCs/>
          <w:b/>
        </w:rPr>
        <w:t xml:space="preserve">1,6 Md US$</w:t>
      </w:r>
      <w:r>
        <w:t xml:space="preserve"> </w:t>
      </w:r>
      <w:r>
        <w:t xml:space="preserve">(financement public potentiel) [1] [V].</w:t>
      </w:r>
    </w:p>
    <w:p>
      <w:pPr>
        <w:numPr>
          <w:ilvl w:val="0"/>
          <w:numId w:val="1363"/>
        </w:numPr>
        <w:pStyle w:val="Compact"/>
      </w:pPr>
      <w:r>
        <w:t xml:space="preserve">Engagements cités [1] [V] :</w:t>
      </w:r>
    </w:p>
    <w:p>
      <w:pPr>
        <w:numPr>
          <w:ilvl w:val="1"/>
          <w:numId w:val="1365"/>
        </w:numPr>
        <w:pStyle w:val="Compact"/>
      </w:pPr>
      <w:r>
        <w:rPr>
          <w:bCs/>
          <w:b/>
        </w:rPr>
        <w:t xml:space="preserve">Banque mondiale — TEES</w:t>
      </w:r>
      <w:r>
        <w:t xml:space="preserve"> </w:t>
      </w:r>
      <w:r>
        <w:t xml:space="preserve">(Transmission Expansion and Energy Storage, 2024-2029) :</w:t>
      </w:r>
      <w:r>
        <w:t xml:space="preserve"> </w:t>
      </w:r>
      <w:r>
        <w:rPr>
          <w:bCs/>
          <w:b/>
        </w:rPr>
        <w:t xml:space="preserve">100 M US$ prêt BIRD</w:t>
      </w:r>
      <w:r>
        <w:t xml:space="preserve"> </w:t>
      </w:r>
      <w:r>
        <w:t xml:space="preserve">+ 38,5 M US$ fonds fiduciaire + 10 M US$ contrepartie ; ligne 400 kV Kokerboom-Auas, BESS Lithops 45 MW/90 MWh, renforcement des capacités.</w:t>
      </w:r>
    </w:p>
    <w:p>
      <w:pPr>
        <w:numPr>
          <w:ilvl w:val="1"/>
          <w:numId w:val="1365"/>
        </w:numPr>
        <w:pStyle w:val="Compact"/>
      </w:pPr>
      <w:r>
        <w:t xml:space="preserve">KfW : BESS Omburu (22 M US$ don + 5,4 M contrepartie) ; PV Rosh Pinah 100 MW (montant « xx » dans le texte).</w:t>
      </w:r>
    </w:p>
    <w:p>
      <w:pPr>
        <w:numPr>
          <w:ilvl w:val="1"/>
          <w:numId w:val="1365"/>
        </w:numPr>
        <w:pStyle w:val="Compact"/>
      </w:pPr>
      <w:r>
        <w:t xml:space="preserve">AFD : biomasse Otjikoto 40 MW (27,7 M US$ don + 21,6 M GRN). Ligne de « 111 M US$ loan » non attribuée clairement dans le texte extrait.</w:t>
      </w:r>
    </w:p>
    <w:p>
      <w:pPr>
        <w:numPr>
          <w:ilvl w:val="1"/>
          <w:numId w:val="1365"/>
        </w:numPr>
        <w:pStyle w:val="Compact"/>
      </w:pPr>
      <w:r>
        <w:rPr>
          <w:bCs/>
          <w:b/>
        </w:rPr>
        <w:t xml:space="preserve">BAD</w:t>
      </w:r>
      <w:r>
        <w:t xml:space="preserve"> </w:t>
      </w:r>
      <w:r>
        <w:t xml:space="preserve">: aucun engagement chiffré trouvé dans le pacte [?].</w:t>
      </w:r>
    </w:p>
    <w:bookmarkEnd w:id="386"/>
    <w:bookmarkStart w:id="387" w:name="calendrier-et-suivi-23"/>
    <w:p>
      <w:pPr>
        <w:pStyle w:val="Heading3"/>
      </w:pPr>
      <w:r>
        <w:t xml:space="preserve">5. Calendrier et suivi</w:t>
      </w:r>
    </w:p>
    <w:p>
      <w:pPr>
        <w:numPr>
          <w:ilvl w:val="0"/>
          <w:numId w:val="1366"/>
        </w:numPr>
        <w:pStyle w:val="Compact"/>
      </w:pPr>
      <w:r>
        <w:t xml:space="preserve">Jalons [1] [V] : 2025 — évaluation du cadre IPP/export, préparation réglementaire BESS ;</w:t>
      </w:r>
      <w:r>
        <w:t xml:space="preserve"> </w:t>
      </w:r>
      <w:r>
        <w:rPr>
          <w:bCs/>
          <w:b/>
        </w:rPr>
        <w:t xml:space="preserve">2026</w:t>
      </w:r>
      <w:r>
        <w:t xml:space="preserve"> </w:t>
      </w:r>
      <w:r>
        <w:t xml:space="preserve">— NIRP, SNE, NELFP, pilote hors réseau/cuisson et RBF, stratégie de financement, stratégie BESS, unité d’accès ;</w:t>
      </w:r>
      <w:r>
        <w:t xml:space="preserve"> </w:t>
      </w:r>
      <w:r>
        <w:rPr>
          <w:bCs/>
          <w:b/>
        </w:rPr>
        <w:t xml:space="preserve">2026/2027</w:t>
      </w:r>
      <w:r>
        <w:t xml:space="preserve"> </w:t>
      </w:r>
      <w:r>
        <w:t xml:space="preserve">— régime PBR ; 2027 — E-QOSSS/OMS, tarification SAPP, BONA, (ZIZABONA) ; 2029 — ANNA ; 2030 — 70 % d’accès ; 2040 — universel.</w:t>
      </w:r>
    </w:p>
    <w:p>
      <w:pPr>
        <w:numPr>
          <w:ilvl w:val="0"/>
          <w:numId w:val="1366"/>
        </w:numPr>
        <w:pStyle w:val="Compact"/>
      </w:pPr>
      <w:r>
        <w:t xml:space="preserve">Suivi :</w:t>
      </w:r>
      <w:r>
        <w:t xml:space="preserve"> </w:t>
      </w:r>
      <w:r>
        <w:rPr>
          <w:bCs/>
          <w:b/>
        </w:rPr>
        <w:t xml:space="preserve">PIU</w:t>
      </w:r>
      <w:r>
        <w:t xml:space="preserve"> </w:t>
      </w:r>
      <w:r>
        <w:t xml:space="preserve">au MIME (2025-2030), collecte annuelle de données avec la NSA, plateforme numérique publique [1] [V]. Aucun rapport d’avancement publié [2] [V].</w:t>
      </w:r>
    </w:p>
    <w:bookmarkEnd w:id="387"/>
    <w:bookmarkStart w:id="388" w:name="lecture-critique-19"/>
    <w:p>
      <w:pPr>
        <w:pStyle w:val="Heading3"/>
      </w:pPr>
      <w:r>
        <w:t xml:space="preserve">6. Lecture critique</w:t>
      </w:r>
    </w:p>
    <w:p>
      <w:pPr>
        <w:numPr>
          <w:ilvl w:val="0"/>
          <w:numId w:val="1367"/>
        </w:numPr>
        <w:pStyle w:val="Compact"/>
      </w:pPr>
      <w:r>
        <w:t xml:space="preserve">Réalisme des cibles : la Namibie fixe une cible</w:t>
      </w:r>
      <w:r>
        <w:t xml:space="preserve"> </w:t>
      </w:r>
      <w:r>
        <w:rPr>
          <w:bCs/>
          <w:b/>
        </w:rPr>
        <w:t xml:space="preserve">modeste (70 %)</w:t>
      </w:r>
      <w:r>
        <w:t xml:space="preserve"> </w:t>
      </w:r>
      <w:r>
        <w:t xml:space="preserve">mais part d’un rythme quasi nul (+0,7 point/an) et d’une croissance démographique d’environ 3 %/an ; passer à +2,7 points/an, soit « quatre fois » le rythme, est exigeant [1] [E]. Les nouveaux raccordements réseau (1 221 en 2022 ; 29 968 en 2023) [1] montrent une forte volatilité ; 175 000 en ~6 ans supposent environ 29 000/an, proche du niveau de 2023 [E]. La cible RE (70 %) dépend de la sécurisation de la production solaire/éolienne et ne règle pas la</w:t>
      </w:r>
      <w:r>
        <w:t xml:space="preserve"> </w:t>
      </w:r>
      <w:r>
        <w:rPr>
          <w:bCs/>
          <w:b/>
        </w:rPr>
        <w:t xml:space="preserve">faiblesse de la capacité ferme (140 MW pour 673 MW de pointe)</w:t>
      </w:r>
      <w:r>
        <w:t xml:space="preserve"> </w:t>
      </w:r>
      <w:r>
        <w:t xml:space="preserve">[1] [E].</w:t>
      </w:r>
    </w:p>
    <w:p>
      <w:pPr>
        <w:numPr>
          <w:ilvl w:val="0"/>
          <w:numId w:val="1367"/>
        </w:numPr>
        <w:pStyle w:val="Compact"/>
      </w:pPr>
      <w:r>
        <w:t xml:space="preserve">Engagements tarifaires : la Namibie est le seul pays du lot où le pacte présente les tarifs comme</w:t>
      </w:r>
      <w:r>
        <w:t xml:space="preserve"> </w:t>
      </w:r>
      <w:r>
        <w:rPr>
          <w:bCs/>
          <w:b/>
        </w:rPr>
        <w:t xml:space="preserve">déjà reflétant les coûts</w:t>
      </w:r>
      <w:r>
        <w:t xml:space="preserve"> </w:t>
      </w:r>
      <w:r>
        <w:t xml:space="preserve">— le problème posé est l’</w:t>
      </w:r>
      <w:r>
        <w:rPr>
          <w:bCs/>
          <w:b/>
        </w:rPr>
        <w:t xml:space="preserve">abordabilité</w:t>
      </w:r>
      <w:r>
        <w:t xml:space="preserve">, non le recouvrement [1] [E]. Les engagements portent sur la</w:t>
      </w:r>
      <w:r>
        <w:t xml:space="preserve"> </w:t>
      </w:r>
      <w:r>
        <w:rPr>
          <w:bCs/>
          <w:b/>
        </w:rPr>
        <w:t xml:space="preserve">méthode</w:t>
      </w:r>
      <w:r>
        <w:t xml:space="preserve"> </w:t>
      </w:r>
      <w:r>
        <w:t xml:space="preserve">(passage du cost-plus au PBR en 2026/27) et sur le</w:t>
      </w:r>
      <w:r>
        <w:t xml:space="preserve"> </w:t>
      </w:r>
      <w:r>
        <w:rPr>
          <w:bCs/>
          <w:b/>
        </w:rPr>
        <w:t xml:space="preserve">financement hors tarif</w:t>
      </w:r>
      <w:r>
        <w:t xml:space="preserve"> </w:t>
      </w:r>
      <w:r>
        <w:t xml:space="preserve">des réseaux (stratégie de financement, NELFP) ; aucun niveau tarifaire, tarif social ni montant de subvention n’est chiffré [1] [E]. Contradiction à éclaircir : tarif 0,117 &gt; coût 0,113 US$/kWh, mais indicateur de recouvrement des coûts à « No » [1] [E] (probablement en raison de la situation des distributeurs).</w:t>
      </w:r>
    </w:p>
    <w:p>
      <w:pPr>
        <w:numPr>
          <w:ilvl w:val="0"/>
          <w:numId w:val="1367"/>
        </w:numPr>
        <w:pStyle w:val="Compact"/>
      </w:pPr>
      <w:r>
        <w:t xml:space="preserve">Risques principaux : dépendance aux importations (Afrique du Sud, Zambie, Zimbabwe) et au change ; sécheresses (Ruacana) ; santé financière hétérogène des REDs et collectivités (information LV limitée) ; Baynes (1,6 Md US$) hors enveloppe ; arbitrage avec le gaz offshore [1] [E].</w:t>
      </w:r>
    </w:p>
    <w:p>
      <w:pPr>
        <w:numPr>
          <w:ilvl w:val="0"/>
          <w:numId w:val="1367"/>
        </w:numPr>
        <w:pStyle w:val="Compact"/>
      </w:pPr>
      <w:r>
        <w:t xml:space="preserve">Points à approfondir : phase 2 — comptes des REDs et de la City of Windhoek, arriérés des collectivités envers NamPower, pertes de crédit attendues de NamPower ; phase 3 — méthodologie ECB, conception du PBR, comparaison régionale du tarif, mécanismes de tarif social (lifeline) éventuels [E].</w:t>
      </w:r>
    </w:p>
    <w:bookmarkEnd w:id="388"/>
    <w:bookmarkStart w:id="389" w:name="inconnus-données-non-trouvées-23"/>
    <w:p>
      <w:pPr>
        <w:pStyle w:val="Heading3"/>
      </w:pPr>
      <w:r>
        <w:t xml:space="preserve">7. Inconnus / données non trouvées</w:t>
      </w:r>
    </w:p>
    <w:p>
      <w:pPr>
        <w:numPr>
          <w:ilvl w:val="0"/>
          <w:numId w:val="1368"/>
        </w:numPr>
        <w:pStyle w:val="Compact"/>
      </w:pPr>
      <w:r>
        <w:t xml:space="preserve">[?] Date et signataire du pacte.</w:t>
      </w:r>
    </w:p>
    <w:p>
      <w:pPr>
        <w:numPr>
          <w:ilvl w:val="0"/>
          <w:numId w:val="1368"/>
        </w:numPr>
        <w:pStyle w:val="Compact"/>
      </w:pPr>
      <w:r>
        <w:t xml:space="preserve">[?] Montants BAD (aucun cité).</w:t>
      </w:r>
    </w:p>
    <w:p>
      <w:pPr>
        <w:numPr>
          <w:ilvl w:val="0"/>
          <w:numId w:val="1368"/>
        </w:numPr>
        <w:pStyle w:val="Compact"/>
      </w:pPr>
      <w:r>
        <w:t xml:space="preserve">[?] Montant total des subventions (« N/A »).</w:t>
      </w:r>
    </w:p>
    <w:p>
      <w:pPr>
        <w:numPr>
          <w:ilvl w:val="0"/>
          <w:numId w:val="1368"/>
        </w:numPr>
        <w:pStyle w:val="Compact"/>
      </w:pPr>
      <w:r>
        <w:t xml:space="preserve">[?] Nombre de compteurs à prépaiement (« N/A ») ; arriérés/créances (« N/A »).</w:t>
      </w:r>
    </w:p>
    <w:p>
      <w:pPr>
        <w:numPr>
          <w:ilvl w:val="0"/>
          <w:numId w:val="1368"/>
        </w:numPr>
        <w:pStyle w:val="Compact"/>
      </w:pPr>
      <w:r>
        <w:t xml:space="preserve">[?] Cible chiffrée de réduction des pertes.</w:t>
      </w:r>
    </w:p>
    <w:p>
      <w:pPr>
        <w:numPr>
          <w:ilvl w:val="0"/>
          <w:numId w:val="1368"/>
        </w:numPr>
        <w:pStyle w:val="Compact"/>
      </w:pPr>
      <w:r>
        <w:t xml:space="preserve">[?] Montant du prêt KfW pour Rosh Pinah (« US$ xx million » dans le texte).</w:t>
      </w:r>
    </w:p>
    <w:p>
      <w:pPr>
        <w:numPr>
          <w:ilvl w:val="0"/>
          <w:numId w:val="1368"/>
        </w:numPr>
        <w:pStyle w:val="Compact"/>
      </w:pPr>
      <w:r>
        <w:t xml:space="preserve">[?] Rapport d’avancement (non publié à oct. 2026).</w:t>
      </w:r>
    </w:p>
    <w:bookmarkEnd w:id="389"/>
    <w:bookmarkStart w:id="390" w:name="sources-24"/>
    <w:p>
      <w:pPr>
        <w:pStyle w:val="Heading3"/>
      </w:pPr>
      <w:r>
        <w:t xml:space="preserve">Sources</w:t>
      </w:r>
    </w:p>
    <w:p>
      <w:pPr>
        <w:pStyle w:val="FirstParagraph"/>
      </w:pPr>
      <w:r>
        <w:t xml:space="preserve">[1] Gouvernement de la République de Namibie, « National Energy Compact for Namibia », s.d. (listé « Dec 2025 » par la BM), 48 p., anglais. https://www.worldbank.org/content/dam/theworldbankgroupasset/document/2026/m300-energy-compacts/Namibia-National-Energy-Compact-Mission-300.pdf (consulté le 18/10/2026).</w:t>
      </w:r>
      <w:r>
        <w:t xml:space="preserve"> </w:t>
      </w:r>
      <w:r>
        <w:t xml:space="preserve">[2] Banque mondiale, « National Energy Compacts ». https://www.worldbank.org/ext/en/energizingafrica/national-energy-compacts (consulté le 18/10/2026).</w:t>
      </w:r>
    </w:p>
    <w:p>
      <w:r>
        <w:br w:type="page"/>
      </w:r>
    </w:p>
    <w:bookmarkEnd w:id="390"/>
    <w:bookmarkEnd w:id="391"/>
    <w:bookmarkStart w:id="407" w:name="fiche-pacte-national-de-lénergie-niger"/>
    <w:p>
      <w:pPr>
        <w:pStyle w:val="Heading2"/>
      </w:pPr>
      <w:r>
        <w:t xml:space="preserve">Fiche pacte national de l’énergie — Niger</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392" w:name="métadonnées-24"/>
    <w:p>
      <w:pPr>
        <w:pStyle w:val="Heading3"/>
      </w:pPr>
      <w:r>
        <w:t xml:space="preserve">0. Métadonnées</w:t>
      </w:r>
    </w:p>
    <w:p>
      <w:pPr>
        <w:numPr>
          <w:ilvl w:val="0"/>
          <w:numId w:val="1369"/>
        </w:numPr>
        <w:pStyle w:val="Compact"/>
      </w:pPr>
      <w:r>
        <w:rPr>
          <w:bCs/>
          <w:b/>
        </w:rPr>
        <w:t xml:space="preserve">Cohorte / date de présentation</w:t>
      </w:r>
      <w:r>
        <w:t xml:space="preserve"> </w:t>
      </w:r>
      <w:r>
        <w:t xml:space="preserve">: janvier 2025, au Sommet africain de l’énergie de Dar es Salaam, dans la première cohorte de 12 pays [2] [V].</w:t>
      </w:r>
    </w:p>
    <w:p>
      <w:pPr>
        <w:numPr>
          <w:ilvl w:val="0"/>
          <w:numId w:val="1369"/>
        </w:numPr>
        <w:pStyle w:val="Compact"/>
      </w:pPr>
      <w:r>
        <w:rPr>
          <w:bCs/>
          <w:b/>
        </w:rPr>
        <w:t xml:space="preserve">Document consulté</w:t>
      </w:r>
      <w:r>
        <w:t xml:space="preserve"> </w:t>
      </w:r>
      <w:r>
        <w:t xml:space="preserve">: « Compact Énergétique National », République du Niger, daté « Décembre 2024 » ; titre interne du fichier : « Pacte Energétique Niger vf 05.12.24 ». Document en français, 27 pages [1]. Consulté aussi : « Mission 300 Compact Progress Report — Niger, Q1 2026 » (EN) [2].</w:t>
      </w:r>
    </w:p>
    <w:p>
      <w:pPr>
        <w:numPr>
          <w:ilvl w:val="0"/>
          <w:numId w:val="1369"/>
        </w:numPr>
        <w:pStyle w:val="Compact"/>
      </w:pPr>
      <w:r>
        <w:rPr>
          <w:bCs/>
          <w:b/>
        </w:rPr>
        <w:t xml:space="preserve">Accès au texte intégral</w:t>
      </w:r>
      <w:r>
        <w:t xml:space="preserve"> </w:t>
      </w:r>
      <w:r>
        <w:t xml:space="preserve">:</w:t>
      </w:r>
      <w:r>
        <w:t xml:space="preserve"> </w:t>
      </w:r>
      <w:r>
        <w:rPr>
          <w:bCs/>
          <w:b/>
        </w:rPr>
        <w:t xml:space="preserve">oui</w:t>
      </w:r>
      <w:r>
        <w:t xml:space="preserve">.</w:t>
      </w:r>
    </w:p>
    <w:p>
      <w:pPr>
        <w:numPr>
          <w:ilvl w:val="0"/>
          <w:numId w:val="1369"/>
        </w:numPr>
        <w:pStyle w:val="Compact"/>
      </w:pPr>
      <w:r>
        <w:rPr>
          <w:bCs/>
          <w:b/>
        </w:rPr>
        <w:t xml:space="preserve">Contexte politique</w:t>
      </w:r>
      <w:r>
        <w:t xml:space="preserve"> </w:t>
      </w:r>
      <w:r>
        <w:t xml:space="preserve">: le pays est dirigé par le CNSP depuis le 26/07/2023. Il a quitté la CEDEAO et forme avec le Mali et le Burkina Faso la Confédération AES [1, §1] [V].</w:t>
      </w:r>
    </w:p>
    <w:p>
      <w:pPr>
        <w:numPr>
          <w:ilvl w:val="0"/>
          <w:numId w:val="1369"/>
        </w:numPr>
        <w:pStyle w:val="Compact"/>
      </w:pPr>
      <w:r>
        <w:rPr>
          <w:bCs/>
          <w:b/>
        </w:rPr>
        <w:t xml:space="preserve">Opérateur</w:t>
      </w:r>
      <w:r>
        <w:t xml:space="preserve"> </w:t>
      </w:r>
      <w:r>
        <w:t xml:space="preserve">: NIGELEC (Société nationale d’électricité). Son monopole a pris fin avec le Code de l’électricité de 2016 (loi n° 2016-05) [1, §2] [V].</w:t>
      </w:r>
    </w:p>
    <w:p>
      <w:pPr>
        <w:numPr>
          <w:ilvl w:val="1"/>
          <w:numId w:val="1370"/>
        </w:numPr>
        <w:pStyle w:val="Compact"/>
      </w:pPr>
      <w:r>
        <w:t xml:space="preserve">IPP unique : IWA, 111 MW de diesel (Goudel 89 MW, Zinder 22 MW), contrat de 2019 [1] [V].</w:t>
      </w:r>
    </w:p>
    <w:p>
      <w:pPr>
        <w:numPr>
          <w:ilvl w:val="1"/>
          <w:numId w:val="1370"/>
        </w:numPr>
        <w:pStyle w:val="Compact"/>
      </w:pPr>
      <w:r>
        <w:t xml:space="preserve">SONICHAR : centrale à charbon de 36 MW [1] [V].</w:t>
      </w:r>
    </w:p>
    <w:p>
      <w:pPr>
        <w:numPr>
          <w:ilvl w:val="1"/>
          <w:numId w:val="1370"/>
        </w:numPr>
        <w:pStyle w:val="Compact"/>
      </w:pPr>
      <w:r>
        <w:t xml:space="preserve">ANPER (électrification rurale) et ANERSOL (solaire) [1] [V].</w:t>
      </w:r>
    </w:p>
    <w:p>
      <w:pPr>
        <w:numPr>
          <w:ilvl w:val="0"/>
          <w:numId w:val="1369"/>
        </w:numPr>
        <w:pStyle w:val="Compact"/>
      </w:pPr>
      <w:r>
        <w:rPr>
          <w:bCs/>
          <w:b/>
        </w:rPr>
        <w:t xml:space="preserve">Régulateur</w:t>
      </w:r>
      <w:r>
        <w:t xml:space="preserve"> </w:t>
      </w:r>
      <w:r>
        <w:t xml:space="preserve">: ARSE (Autorité de régulation du secteur de l’énergie), créée en décembre 2015 et rattachée au Cabinet du Premier ministre [1, §2] [V].</w:t>
      </w:r>
    </w:p>
    <w:bookmarkEnd w:id="392"/>
    <w:bookmarkStart w:id="393" w:name="situation-de-départ-selon-le-pacte-24"/>
    <w:p>
      <w:pPr>
        <w:pStyle w:val="Heading3"/>
      </w:pPr>
      <w:r>
        <w:t xml:space="preserve">1. Situation de départ (selon le pacte)</w:t>
      </w:r>
    </w:p>
    <w:p>
      <w:pPr>
        <w:numPr>
          <w:ilvl w:val="0"/>
          <w:numId w:val="1371"/>
        </w:numPr>
        <w:pStyle w:val="Compact"/>
      </w:pPr>
      <w:r>
        <w:rPr>
          <w:bCs/>
          <w:b/>
        </w:rPr>
        <w:t xml:space="preserve">Taux d’accès</w:t>
      </w:r>
      <w:r>
        <w:t xml:space="preserve"> </w:t>
      </w:r>
      <w:r>
        <w:t xml:space="preserve">:</w:t>
      </w:r>
    </w:p>
    <w:p>
      <w:pPr>
        <w:numPr>
          <w:ilvl w:val="1"/>
          <w:numId w:val="1372"/>
        </w:numPr>
        <w:pStyle w:val="Compact"/>
      </w:pPr>
      <w:r>
        <w:t xml:space="preserve">19,5 % en 2019 (15,8 % par le réseau, 3,7 % hors-réseau) ;</w:t>
      </w:r>
    </w:p>
    <w:p>
      <w:pPr>
        <w:numPr>
          <w:ilvl w:val="1"/>
          <w:numId w:val="1372"/>
        </w:numPr>
        <w:pStyle w:val="Compact"/>
      </w:pPr>
      <w:r>
        <w:t xml:space="preserve">20,84 % en 2022 (SIE-Niger) [1, §3] [V].</w:t>
      </w:r>
    </w:p>
    <w:p>
      <w:pPr>
        <w:numPr>
          <w:ilvl w:val="1"/>
          <w:numId w:val="1372"/>
        </w:numPr>
        <w:pStyle w:val="Compact"/>
      </w:pPr>
      <w:r>
        <w:t xml:space="preserve">Selon l’enquête MTF de 2020 : 5,3 % en milieu rural ; 32 % des ménages raccordés dans les localités électrifiées ; 50 % (Zinder) à 86 % (Niamey) dans les capitales régionales [1, note 2] [V].</w:t>
      </w:r>
    </w:p>
    <w:p>
      <w:pPr>
        <w:numPr>
          <w:ilvl w:val="0"/>
          <w:numId w:val="1371"/>
        </w:numPr>
        <w:pStyle w:val="Compact"/>
      </w:pPr>
      <w:r>
        <w:rPr>
          <w:bCs/>
          <w:b/>
        </w:rPr>
        <w:t xml:space="preserve">Population</w:t>
      </w:r>
      <w:r>
        <w:t xml:space="preserve"> </w:t>
      </w:r>
      <w:r>
        <w:t xml:space="preserve">: 26,2 M en 2022 ; 36 M projetés en 2030, avec une croissance de 3,9 % par an [1, §1] [V]. Le nombre de personnes sans accès n’est pas chiffré directement → [?].</w:t>
      </w:r>
    </w:p>
    <w:p>
      <w:pPr>
        <w:numPr>
          <w:ilvl w:val="0"/>
          <w:numId w:val="1371"/>
        </w:numPr>
        <w:pStyle w:val="Compact"/>
      </w:pPr>
      <w:r>
        <w:rPr>
          <w:bCs/>
          <w:b/>
        </w:rPr>
        <w:t xml:space="preserve">Capacité et mix</w:t>
      </w:r>
      <w:r>
        <w:t xml:space="preserve"> </w:t>
      </w:r>
      <w:r>
        <w:t xml:space="preserve">:</w:t>
      </w:r>
    </w:p>
    <w:p>
      <w:pPr>
        <w:numPr>
          <w:ilvl w:val="1"/>
          <w:numId w:val="1373"/>
        </w:numPr>
        <w:pStyle w:val="Compact"/>
      </w:pPr>
      <w:r>
        <w:t xml:space="preserve">capacité de</w:t>
      </w:r>
      <w:r>
        <w:t xml:space="preserve"> </w:t>
      </w:r>
      <w:r>
        <w:rPr>
          <w:bCs/>
          <w:b/>
        </w:rPr>
        <w:t xml:space="preserve">317 MW en 2023</w:t>
      </w:r>
      <w:r>
        <w:t xml:space="preserve">, hors miniers [1, §4] [V]. L’annexe donne 352 MW installés, dont 210 MW disponibles (88 % thermique, 12 % renouvelable) [1, Ann. 7] [V] : incohérence interne à signaler.</w:t>
      </w:r>
    </w:p>
    <w:p>
      <w:pPr>
        <w:numPr>
          <w:ilvl w:val="1"/>
          <w:numId w:val="1373"/>
        </w:numPr>
        <w:pStyle w:val="Compact"/>
      </w:pPr>
      <w:r>
        <w:t xml:space="preserve">Approvisionnement 2022 :</w:t>
      </w:r>
      <w:r>
        <w:t xml:space="preserve"> </w:t>
      </w:r>
      <w:r>
        <w:rPr>
          <w:bCs/>
          <w:b/>
        </w:rPr>
        <w:t xml:space="preserve">71 % d’importations</w:t>
      </w:r>
      <w:r>
        <w:t xml:space="preserve"> </w:t>
      </w:r>
      <w:r>
        <w:t xml:space="preserve">depuis le Nigéria (hydro), 23 % de production locale diesel (dont 13 % IPP), moins de 1 % de solaire [1, §4] [V].</w:t>
      </w:r>
    </w:p>
    <w:p>
      <w:pPr>
        <w:numPr>
          <w:ilvl w:val="1"/>
          <w:numId w:val="1373"/>
        </w:numPr>
        <w:pStyle w:val="Compact"/>
      </w:pPr>
      <w:r>
        <w:t xml:space="preserve">Importations : 1 163 632 MWh en 2022, puis</w:t>
      </w:r>
      <w:r>
        <w:t xml:space="preserve"> </w:t>
      </w:r>
      <w:r>
        <w:rPr>
          <w:bCs/>
          <w:b/>
        </w:rPr>
        <w:t xml:space="preserve">684 859 MWh en 2023, soit -42 %</w:t>
      </w:r>
      <w:r>
        <w:t xml:space="preserve">, après la suspension de l’approvisionnement nigérian liée aux sanctions [1, Ann. 7] [V].</w:t>
      </w:r>
    </w:p>
    <w:p>
      <w:pPr>
        <w:numPr>
          <w:ilvl w:val="1"/>
          <w:numId w:val="1373"/>
        </w:numPr>
        <w:pStyle w:val="Compact"/>
      </w:pPr>
      <w:r>
        <w:t xml:space="preserve">Production locale 2023 : 852 452 MWh, dont 97 % thermique [1, Ann. 7] [V].</w:t>
      </w:r>
    </w:p>
    <w:p>
      <w:pPr>
        <w:numPr>
          <w:ilvl w:val="1"/>
          <w:numId w:val="1373"/>
        </w:numPr>
        <w:pStyle w:val="Compact"/>
      </w:pPr>
      <w:r>
        <w:t xml:space="preserve">Solaire installé : 43 MWc en 2023 [1, §4] [V]. Pointe nationale 2023 : 327 MW [1, Ann. 7] [V].</w:t>
      </w:r>
    </w:p>
    <w:p>
      <w:pPr>
        <w:numPr>
          <w:ilvl w:val="0"/>
          <w:numId w:val="1371"/>
        </w:numPr>
        <w:pStyle w:val="Compact"/>
      </w:pPr>
      <w:r>
        <w:rPr>
          <w:bCs/>
          <w:b/>
        </w:rPr>
        <w:t xml:space="preserve">Cuisson propre</w:t>
      </w:r>
      <w:r>
        <w:t xml:space="preserve"> </w:t>
      </w:r>
      <w:r>
        <w:t xml:space="preserve">:</w:t>
      </w:r>
    </w:p>
    <w:p>
      <w:pPr>
        <w:numPr>
          <w:ilvl w:val="1"/>
          <w:numId w:val="1374"/>
        </w:numPr>
        <w:pStyle w:val="Compact"/>
      </w:pPr>
      <w:r>
        <w:t xml:space="preserve">94 % des ménages cuisinent à la biomasse ; foyer trois pierres pour 87 % des ménages ; GPL 4,6 % au niveau national (19,9 % en ville) [1, §8 et Pilier III] [V] ;</w:t>
      </w:r>
    </w:p>
    <w:p>
      <w:pPr>
        <w:numPr>
          <w:ilvl w:val="1"/>
          <w:numId w:val="1374"/>
        </w:numPr>
        <w:pStyle w:val="Compact"/>
      </w:pPr>
      <w:r>
        <w:t xml:space="preserve">taux d’accès à la cuisson propre : « environ 6 % en 2023 » [1, §3] [V].</w:t>
      </w:r>
    </w:p>
    <w:bookmarkEnd w:id="393"/>
    <w:bookmarkStart w:id="394" w:name="cibles-2030-23"/>
    <w:p>
      <w:pPr>
        <w:pStyle w:val="Heading3"/>
      </w:pPr>
      <w:r>
        <w:t xml:space="preserve">2. Cibles 2030</w:t>
      </w:r>
    </w:p>
    <w:p>
      <w:pPr>
        <w:numPr>
          <w:ilvl w:val="0"/>
          <w:numId w:val="1375"/>
        </w:numPr>
        <w:pStyle w:val="Compact"/>
      </w:pPr>
      <w:r>
        <w:rPr>
          <w:bCs/>
          <w:b/>
        </w:rPr>
        <w:t xml:space="preserve">Accès électricité</w:t>
      </w:r>
      <w:r>
        <w:t xml:space="preserve"> </w:t>
      </w:r>
      <w:r>
        <w:t xml:space="preserve">:</w:t>
      </w:r>
      <w:r>
        <w:t xml:space="preserve"> </w:t>
      </w:r>
      <w:r>
        <w:rPr>
          <w:bCs/>
          <w:b/>
        </w:rPr>
        <w:t xml:space="preserve">60 % en 2030</w:t>
      </w:r>
      <w:r>
        <w:t xml:space="preserve">, conformément au PDAE et à la SNAE, et non 100 % [1, §3 et Décl. §1] [V].</w:t>
      </w:r>
    </w:p>
    <w:p>
      <w:pPr>
        <w:numPr>
          <w:ilvl w:val="1"/>
          <w:numId w:val="1376"/>
        </w:numPr>
        <w:pStyle w:val="Compact"/>
      </w:pPr>
      <w:r>
        <w:t xml:space="preserve">Il faut</w:t>
      </w:r>
      <w:r>
        <w:t xml:space="preserve"> </w:t>
      </w:r>
      <w:r>
        <w:rPr>
          <w:bCs/>
          <w:b/>
        </w:rPr>
        <w:t xml:space="preserve">plus de 2 millions de ménages à raccorder</w:t>
      </w:r>
      <w:r>
        <w:t xml:space="preserve"> </w:t>
      </w:r>
      <w:r>
        <w:t xml:space="preserve">(2 009 945 branchements de gap) pour environ</w:t>
      </w:r>
      <w:r>
        <w:t xml:space="preserve"> </w:t>
      </w:r>
      <w:r>
        <w:rPr>
          <w:bCs/>
          <w:b/>
        </w:rPr>
        <w:t xml:space="preserve">758-760 M USD</w:t>
      </w:r>
      <w:r>
        <w:t xml:space="preserve"> </w:t>
      </w:r>
      <w:r>
        <w:t xml:space="preserve">[1, §3] [V].</w:t>
      </w:r>
    </w:p>
    <w:p>
      <w:pPr>
        <w:numPr>
          <w:ilvl w:val="1"/>
          <w:numId w:val="1376"/>
        </w:numPr>
        <w:pStyle w:val="Compact"/>
      </w:pPr>
      <w:r>
        <w:t xml:space="preserve">Ventilation de l’objectif : réseau 43,40 %, mini-réseaux hybrides 2,40 %, kits solaires 14,60 % [1, §3] [V].</w:t>
      </w:r>
    </w:p>
    <w:p>
      <w:pPr>
        <w:numPr>
          <w:ilvl w:val="1"/>
          <w:numId w:val="1376"/>
        </w:numPr>
        <w:pStyle w:val="Compact"/>
      </w:pPr>
      <w:r>
        <w:t xml:space="preserve">Rythme visé : 14 % par an sur 2023-2030, contre 5 % sur 2017-2021 [1, §3] [V].</w:t>
      </w:r>
    </w:p>
    <w:p>
      <w:pPr>
        <w:numPr>
          <w:ilvl w:val="1"/>
          <w:numId w:val="1376"/>
        </w:numPr>
        <w:pStyle w:val="Compact"/>
      </w:pPr>
      <w:r>
        <w:t xml:space="preserve">Horizon 2035 : au moins 80 % d’accès (PDAE) [1] [V].</w:t>
      </w:r>
    </w:p>
    <w:p>
      <w:pPr>
        <w:numPr>
          <w:ilvl w:val="0"/>
          <w:numId w:val="1375"/>
        </w:numPr>
        <w:pStyle w:val="Compact"/>
      </w:pPr>
      <w:r>
        <w:rPr>
          <w:bCs/>
          <w:b/>
        </w:rPr>
        <w:t xml:space="preserve">Renouvelables</w:t>
      </w:r>
      <w:r>
        <w:t xml:space="preserve"> </w:t>
      </w:r>
      <w:r>
        <w:t xml:space="preserve">:</w:t>
      </w:r>
      <w:r>
        <w:t xml:space="preserve"> </w:t>
      </w:r>
      <w:r>
        <w:rPr>
          <w:bCs/>
          <w:b/>
        </w:rPr>
        <w:t xml:space="preserve">30 % du mix (en énergie) en 2030</w:t>
      </w:r>
      <w:r>
        <w:t xml:space="preserve">, contre 5 % aujourd’hui (solaire PV) [1, §3] [V].</w:t>
      </w:r>
    </w:p>
    <w:p>
      <w:pPr>
        <w:numPr>
          <w:ilvl w:val="0"/>
          <w:numId w:val="1375"/>
        </w:numPr>
        <w:pStyle w:val="Compact"/>
      </w:pPr>
      <w:r>
        <w:rPr>
          <w:bCs/>
          <w:b/>
        </w:rPr>
        <w:t xml:space="preserve">Cuisson propre</w:t>
      </w:r>
      <w:r>
        <w:t xml:space="preserve"> </w:t>
      </w:r>
      <w:r>
        <w:t xml:space="preserve">:</w:t>
      </w:r>
      <w:r>
        <w:t xml:space="preserve"> </w:t>
      </w:r>
      <w:r>
        <w:rPr>
          <w:bCs/>
          <w:b/>
        </w:rPr>
        <w:t xml:space="preserve">12 % en 2030</w:t>
      </w:r>
      <w:r>
        <w:t xml:space="preserve">, au rythme de +1 point par an [1, §3] [V].</w:t>
      </w:r>
    </w:p>
    <w:p>
      <w:pPr>
        <w:numPr>
          <w:ilvl w:val="0"/>
          <w:numId w:val="1375"/>
        </w:numPr>
        <w:pStyle w:val="Compact"/>
      </w:pPr>
      <w:r>
        <w:rPr>
          <w:bCs/>
          <w:b/>
        </w:rPr>
        <w:t xml:space="preserve">Capitaux privés</w:t>
      </w:r>
      <w:r>
        <w:t xml:space="preserve"> </w:t>
      </w:r>
      <w:r>
        <w:t xml:space="preserve">:</w:t>
      </w:r>
      <w:r>
        <w:t xml:space="preserve"> </w:t>
      </w:r>
      <w:r>
        <w:rPr>
          <w:bCs/>
          <w:b/>
        </w:rPr>
        <w:t xml:space="preserve">527 M USD</w:t>
      </w:r>
      <w:r>
        <w:t xml:space="preserve">, dont 435 M USD pour la production renouvelable et 92 M USD pour les kits solaires [1, §3 et note 8] [V]. Projets visés : Bangoula 70 MWc avec stockage (92 M USD, 2027) ; Zabori 80 MWc (104 M USD, 2030) ; Tarka éolien, phase de 148 MW (239 M USD, 2030) [1, §3] [V].</w:t>
      </w:r>
    </w:p>
    <w:p>
      <w:pPr>
        <w:numPr>
          <w:ilvl w:val="0"/>
          <w:numId w:val="1375"/>
        </w:numPr>
        <w:pStyle w:val="Compact"/>
      </w:pPr>
      <w:r>
        <w:rPr>
          <w:bCs/>
          <w:b/>
        </w:rPr>
        <w:t xml:space="preserve">Autres</w:t>
      </w:r>
      <w:r>
        <w:t xml:space="preserve"> </w:t>
      </w:r>
      <w:r>
        <w:t xml:space="preserve">: plus de 300 MW de PV supplémentaires et</w:t>
      </w:r>
      <w:r>
        <w:t xml:space="preserve"> </w:t>
      </w:r>
      <w:r>
        <w:rPr>
          <w:bCs/>
          <w:b/>
        </w:rPr>
        <w:t xml:space="preserve">700 MW de thermique</w:t>
      </w:r>
      <w:r>
        <w:t xml:space="preserve"> </w:t>
      </w:r>
      <w:r>
        <w:t xml:space="preserve">d’ici 2030 [1, §3 et Ann. 9] [V] :</w:t>
      </w:r>
    </w:p>
    <w:p>
      <w:pPr>
        <w:numPr>
          <w:ilvl w:val="1"/>
          <w:numId w:val="1377"/>
        </w:numPr>
        <w:pStyle w:val="Compact"/>
      </w:pPr>
      <w:r>
        <w:t xml:space="preserve">charbon Salkadamna, phase de 200 MW (542,4 M USD) ;</w:t>
      </w:r>
    </w:p>
    <w:p>
      <w:pPr>
        <w:numPr>
          <w:ilvl w:val="1"/>
          <w:numId w:val="1377"/>
        </w:numPr>
        <w:pStyle w:val="Compact"/>
      </w:pPr>
      <w:r>
        <w:t xml:space="preserve">centrale à gaz de 240 MW ;</w:t>
      </w:r>
    </w:p>
    <w:p>
      <w:pPr>
        <w:numPr>
          <w:ilvl w:val="1"/>
          <w:numId w:val="1377"/>
        </w:numPr>
        <w:pStyle w:val="Compact"/>
      </w:pPr>
      <w:r>
        <w:t xml:space="preserve">diesel 120 MW ;</w:t>
      </w:r>
    </w:p>
    <w:p>
      <w:pPr>
        <w:numPr>
          <w:ilvl w:val="1"/>
          <w:numId w:val="1377"/>
        </w:numPr>
        <w:pStyle w:val="Compact"/>
      </w:pPr>
      <w:r>
        <w:t xml:space="preserve">centrale au brut de 90 MW ;</w:t>
      </w:r>
    </w:p>
    <w:p>
      <w:pPr>
        <w:numPr>
          <w:ilvl w:val="1"/>
          <w:numId w:val="1377"/>
        </w:numPr>
        <w:pStyle w:val="Compact"/>
      </w:pPr>
      <w:r>
        <w:t xml:space="preserve">SONICHAR 50 MW.</w:t>
      </w:r>
    </w:p>
    <w:bookmarkEnd w:id="394"/>
    <w:bookmarkStart w:id="401" w:name="réformes-promises-4"/>
    <w:p>
      <w:pPr>
        <w:pStyle w:val="Heading3"/>
      </w:pPr>
      <w:r>
        <w:t xml:space="preserve">3. Réformes promises</w:t>
      </w:r>
    </w:p>
    <w:bookmarkStart w:id="395" w:name="tarifs-et-subventions-24"/>
    <w:p>
      <w:pPr>
        <w:pStyle w:val="Heading4"/>
      </w:pPr>
      <w:r>
        <w:t xml:space="preserve">3.1 Tarifs et subventions</w:t>
      </w:r>
    </w:p>
    <w:p>
      <w:pPr>
        <w:numPr>
          <w:ilvl w:val="0"/>
          <w:numId w:val="1378"/>
        </w:numPr>
        <w:pStyle w:val="Compact"/>
      </w:pPr>
      <w:r>
        <w:rPr>
          <w:bCs/>
          <w:b/>
        </w:rPr>
        <w:t xml:space="preserve">Engagement central</w:t>
      </w:r>
      <w:r>
        <w:t xml:space="preserve"> </w:t>
      </w:r>
      <w:r>
        <w:t xml:space="preserve">: adopter</w:t>
      </w:r>
      <w:r>
        <w:t xml:space="preserve"> </w:t>
      </w:r>
      <w:r>
        <w:rPr>
          <w:bCs/>
          <w:b/>
        </w:rPr>
        <w:t xml:space="preserve">en 2025</w:t>
      </w:r>
      <w:r>
        <w:t xml:space="preserve"> </w:t>
      </w:r>
      <w:r>
        <w:t xml:space="preserve">un « plan d’amélioration de la viabilité financière de la NIGELEC ». Ce plan combinerait gains d’efficacité et mécanismes de financement, soit le «</w:t>
      </w:r>
      <w:r>
        <w:t xml:space="preserve"> </w:t>
      </w:r>
      <w:r>
        <w:rPr>
          <w:bCs/>
          <w:b/>
        </w:rPr>
        <w:t xml:space="preserve">rétablissement des tarifs qui assurent la couverture des coûts et/ou subvention gouvernementale</w:t>
      </w:r>
      <w:r>
        <w:t xml:space="preserve"> </w:t>
      </w:r>
      <w:r>
        <w:t xml:space="preserve">». Objectifs : (i) réduire les pertes ; (ii) maintenir un niveau d’endettement plus soutenable [1, Décl. §5] [V].</w:t>
      </w:r>
    </w:p>
    <w:p>
      <w:pPr>
        <w:numPr>
          <w:ilvl w:val="0"/>
          <w:numId w:val="1378"/>
        </w:numPr>
        <w:pStyle w:val="Compact"/>
      </w:pPr>
      <w:r>
        <w:rPr>
          <w:bCs/>
          <w:b/>
        </w:rPr>
        <w:t xml:space="preserve">Diagnostic</w:t>
      </w:r>
      <w:r>
        <w:t xml:space="preserve"> </w:t>
      </w:r>
      <w:r>
        <w:t xml:space="preserve">:</w:t>
      </w:r>
    </w:p>
    <w:p>
      <w:pPr>
        <w:numPr>
          <w:ilvl w:val="1"/>
          <w:numId w:val="1379"/>
        </w:numPr>
        <w:pStyle w:val="Compact"/>
      </w:pPr>
      <w:r>
        <w:t xml:space="preserve">une méthodologie tarifaire fondée sur la couverture des coûts, avec tranche sociale, existe depuis 2018 [1, §7] [V] ;</w:t>
      </w:r>
    </w:p>
    <w:p>
      <w:pPr>
        <w:numPr>
          <w:ilvl w:val="1"/>
          <w:numId w:val="1379"/>
        </w:numPr>
        <w:pStyle w:val="Compact"/>
      </w:pPr>
      <w:r>
        <w:rPr>
          <w:bCs/>
          <w:b/>
        </w:rPr>
        <w:t xml:space="preserve">aucun ajustement tarifaire depuis 2022</w:t>
      </w:r>
      <w:r>
        <w:t xml:space="preserve"> </w:t>
      </w:r>
      <w:r>
        <w:t xml:space="preserve">: la hausse issue de l’étude tarifaire de l’ARSE « n’est pas appliquée » [1, Plan d’action Pilier V] [V] ;</w:t>
      </w:r>
    </w:p>
    <w:p>
      <w:pPr>
        <w:numPr>
          <w:ilvl w:val="1"/>
          <w:numId w:val="1379"/>
        </w:numPr>
        <w:pStyle w:val="Compact"/>
      </w:pPr>
      <w:r>
        <w:t xml:space="preserve">pertes de la NIGELEC de</w:t>
      </w:r>
      <w:r>
        <w:t xml:space="preserve"> </w:t>
      </w:r>
      <w:r>
        <w:rPr>
          <w:bCs/>
          <w:b/>
        </w:rPr>
        <w:t xml:space="preserve">15 Md FCFA (environ 25 M USD), dont 13 Md en 2023</w:t>
      </w:r>
      <w:r>
        <w:t xml:space="preserve">, compensées par l’État [1, Pilier V] [V].</w:t>
      </w:r>
    </w:p>
    <w:p>
      <w:pPr>
        <w:numPr>
          <w:ilvl w:val="0"/>
          <w:numId w:val="1378"/>
        </w:numPr>
        <w:pStyle w:val="Compact"/>
      </w:pPr>
      <w:r>
        <w:rPr>
          <w:bCs/>
          <w:b/>
        </w:rPr>
        <w:t xml:space="preserve">Subventions</w:t>
      </w:r>
      <w:r>
        <w:t xml:space="preserve"> </w:t>
      </w:r>
      <w:r>
        <w:t xml:space="preserve">:</w:t>
      </w:r>
    </w:p>
    <w:p>
      <w:pPr>
        <w:numPr>
          <w:ilvl w:val="1"/>
          <w:numId w:val="1380"/>
        </w:numPr>
        <w:pStyle w:val="Compact"/>
      </w:pPr>
      <w:r>
        <w:t xml:space="preserve">indirectes (exonérations fiscales sur les intrants) : environ</w:t>
      </w:r>
      <w:r>
        <w:t xml:space="preserve"> </w:t>
      </w:r>
      <w:r>
        <w:rPr>
          <w:bCs/>
          <w:b/>
        </w:rPr>
        <w:t xml:space="preserve">0,3 % du PIB en 2022</w:t>
      </w:r>
      <w:r>
        <w:t xml:space="preserve">, soit 39 Md XOF ou environ 65 M USD, pouvant atteindre 75 Md XOF (environ 125 M USD, 0,5 % du PIB) en 2027 [1, §7, citant une mission AT de la Banque mondiale de juin 2023] [V] ;</w:t>
      </w:r>
    </w:p>
    <w:p>
      <w:pPr>
        <w:numPr>
          <w:ilvl w:val="1"/>
          <w:numId w:val="1380"/>
        </w:numPr>
        <w:pStyle w:val="Compact"/>
      </w:pPr>
      <w:r>
        <w:t xml:space="preserve">subvention de l’État :</w:t>
      </w:r>
      <w:r>
        <w:t xml:space="preserve"> </w:t>
      </w:r>
      <w:r>
        <w:rPr>
          <w:bCs/>
          <w:b/>
        </w:rPr>
        <w:t xml:space="preserve">20,63 M USD (2023)</w:t>
      </w:r>
      <w:r>
        <w:t xml:space="preserve"> </w:t>
      </w:r>
      <w:r>
        <w:t xml:space="preserve">et 35,74 M USD (prévision 2024) [1, Ann. 7] [V] ;</w:t>
      </w:r>
    </w:p>
    <w:p>
      <w:pPr>
        <w:numPr>
          <w:ilvl w:val="1"/>
          <w:numId w:val="1380"/>
        </w:numPr>
        <w:pStyle w:val="Compact"/>
      </w:pPr>
      <w:r>
        <w:t xml:space="preserve">subvention à l’IPP pour la hausse du carburant : 6,94 Md XOF (environ 11,57 M USD) [1, §7] [V].</w:t>
      </w:r>
    </w:p>
    <w:p>
      <w:pPr>
        <w:numPr>
          <w:ilvl w:val="0"/>
          <w:numId w:val="1378"/>
        </w:numPr>
        <w:pStyle w:val="Compact"/>
      </w:pPr>
      <w:r>
        <w:t xml:space="preserve">Coût moyen du kWh thermique : 0,14 USD (2023) ; kWh importé : 0,062 USD [1, Ann. 7] [V].</w:t>
      </w:r>
    </w:p>
    <w:p>
      <w:pPr>
        <w:numPr>
          <w:ilvl w:val="0"/>
          <w:numId w:val="1378"/>
        </w:numPr>
        <w:pStyle w:val="Compact"/>
      </w:pPr>
      <w:r>
        <w:t xml:space="preserve">Le pacte ne fixe</w:t>
      </w:r>
      <w:r>
        <w:t xml:space="preserve"> </w:t>
      </w:r>
      <w:r>
        <w:rPr>
          <w:bCs/>
          <w:b/>
        </w:rPr>
        <w:t xml:space="preserve">ni date ni niveau de hausse tarifaire</w:t>
      </w:r>
      <w:r>
        <w:t xml:space="preserve"> </w:t>
      </w:r>
      <w:r>
        <w:t xml:space="preserve">; l’alternative « et/ou subvention » laisse l’option ouverte [1] [V].</w:t>
      </w:r>
    </w:p>
    <w:p>
      <w:pPr>
        <w:numPr>
          <w:ilvl w:val="0"/>
          <w:numId w:val="1378"/>
        </w:numPr>
        <w:pStyle w:val="Compact"/>
      </w:pPr>
      <w:r>
        <w:t xml:space="preserve">Selon le rapport d’avancement, l’action « Mettre en place un mécanisme de financement pour améliorer la viabilité financière de la NIGELEC » a pour échéance le</w:t>
      </w:r>
      <w:r>
        <w:t xml:space="preserve"> </w:t>
      </w:r>
      <w:r>
        <w:rPr>
          <w:bCs/>
          <w:b/>
        </w:rPr>
        <w:t xml:space="preserve">31/12/2026</w:t>
      </w:r>
      <w:r>
        <w:t xml:space="preserve"> </w:t>
      </w:r>
      <w:r>
        <w:t xml:space="preserve">et le statut « In Progress – On Track » [2] [V].</w:t>
      </w:r>
    </w:p>
    <w:bookmarkEnd w:id="395"/>
    <w:bookmarkStart w:id="396" w:name="opérateur-4"/>
    <w:p>
      <w:pPr>
        <w:pStyle w:val="Heading4"/>
      </w:pPr>
      <w:r>
        <w:t xml:space="preserve">3.2 Opérateur</w:t>
      </w:r>
    </w:p>
    <w:p>
      <w:pPr>
        <w:numPr>
          <w:ilvl w:val="0"/>
          <w:numId w:val="1381"/>
        </w:numPr>
        <w:pStyle w:val="Compact"/>
      </w:pPr>
      <w:r>
        <w:t xml:space="preserve">Pertes 2023 :</w:t>
      </w:r>
      <w:r>
        <w:t xml:space="preserve"> </w:t>
      </w:r>
      <w:r>
        <w:rPr>
          <w:bCs/>
          <w:b/>
        </w:rPr>
        <w:t xml:space="preserve">transport 10,27 %, distribution 11 %</w:t>
      </w:r>
      <w:r>
        <w:t xml:space="preserve">. Les pertes commerciales ne sont pas disponibles [1, Ann. 7] [V].</w:t>
      </w:r>
    </w:p>
    <w:p>
      <w:pPr>
        <w:numPr>
          <w:ilvl w:val="0"/>
          <w:numId w:val="1381"/>
        </w:numPr>
        <w:pStyle w:val="Compact"/>
      </w:pPr>
      <w:r>
        <w:t xml:space="preserve">Résultat net : 1 530 678 kFCFA en 2022 (2,429 M USD) et</w:t>
      </w:r>
      <w:r>
        <w:t xml:space="preserve"> </w:t>
      </w:r>
      <w:r>
        <w:rPr>
          <w:bCs/>
          <w:b/>
        </w:rPr>
        <w:t xml:space="preserve">1 364 516 kFCFA en 2023 (2,165 M USD)</w:t>
      </w:r>
      <w:r>
        <w:t xml:space="preserve"> </w:t>
      </w:r>
      <w:r>
        <w:t xml:space="preserve">[1, Ann. 7] [V]. Ce résultat positif contraste avec les « pertes » compensées : il s’entend probablement après subvention [E].</w:t>
      </w:r>
    </w:p>
    <w:p>
      <w:pPr>
        <w:numPr>
          <w:ilvl w:val="0"/>
          <w:numId w:val="1381"/>
        </w:numPr>
        <w:pStyle w:val="Compact"/>
      </w:pPr>
      <w:r>
        <w:t xml:space="preserve">Ventes 2023 : 1 226 475 MWh, soit 189,32 M USD [1, Ann. 7] [V].</w:t>
      </w:r>
    </w:p>
    <w:p>
      <w:pPr>
        <w:numPr>
          <w:ilvl w:val="0"/>
          <w:numId w:val="1381"/>
        </w:numPr>
        <w:pStyle w:val="Compact"/>
      </w:pPr>
      <w:r>
        <w:t xml:space="preserve">Dette totale à court terme :</w:t>
      </w:r>
      <w:r>
        <w:t xml:space="preserve"> </w:t>
      </w:r>
      <w:r>
        <w:rPr>
          <w:bCs/>
          <w:b/>
        </w:rPr>
        <w:t xml:space="preserve">170,129 M USD fin 2023</w:t>
      </w:r>
      <w:r>
        <w:t xml:space="preserve">. Impayés fin 2023 : 37,747 M USD dus par l’État et 3,601 M USD par d’autres sociétés [1, Ann. 7] [V].</w:t>
      </w:r>
    </w:p>
    <w:p>
      <w:pPr>
        <w:numPr>
          <w:ilvl w:val="0"/>
          <w:numId w:val="1381"/>
        </w:numPr>
        <w:pStyle w:val="Compact"/>
      </w:pPr>
      <w:r>
        <w:t xml:space="preserve">Clients : 765 640 en 2023, contre 210 000 en 2010 [1, §3] [V]. Clients avec compteur : 777 755, dont</w:t>
      </w:r>
      <w:r>
        <w:t xml:space="preserve"> </w:t>
      </w:r>
      <w:r>
        <w:rPr>
          <w:bCs/>
          <w:b/>
        </w:rPr>
        <w:t xml:space="preserve">389 738 prépayés</w:t>
      </w:r>
      <w:r>
        <w:t xml:space="preserve"> </w:t>
      </w:r>
      <w:r>
        <w:t xml:space="preserve">(au 13/11/2024) [1, Ann. 7] [V].</w:t>
      </w:r>
    </w:p>
    <w:p>
      <w:pPr>
        <w:numPr>
          <w:ilvl w:val="0"/>
          <w:numId w:val="1381"/>
        </w:numPr>
        <w:pStyle w:val="Compact"/>
      </w:pPr>
      <w:r>
        <w:t xml:space="preserve">Branchements NIGELEC : 10 455 en 2022 (rupture de compteurs), 116 448 en 2023, 62 384 en 2024 (au 17/11) [1, Ann. 7] [V]. En 2025 : 49 194 nouvelles connexions [2] [V].</w:t>
      </w:r>
    </w:p>
    <w:p>
      <w:pPr>
        <w:numPr>
          <w:ilvl w:val="0"/>
          <w:numId w:val="1381"/>
        </w:numPr>
        <w:pStyle w:val="Compact"/>
      </w:pPr>
      <w:r>
        <w:t xml:space="preserve">Les états financiers audités ne sont</w:t>
      </w:r>
      <w:r>
        <w:t xml:space="preserve"> </w:t>
      </w:r>
      <w:r>
        <w:rPr>
          <w:bCs/>
          <w:b/>
        </w:rPr>
        <w:t xml:space="preserve">pas publiés</w:t>
      </w:r>
      <w:r>
        <w:t xml:space="preserve"> </w:t>
      </w:r>
      <w:r>
        <w:t xml:space="preserve">; publication « à envisager, dès 2026 » [1, Plan d’action] [V]. L’action prioritaire correspondante (échéance 31/12/2025) est</w:t>
      </w:r>
      <w:r>
        <w:t xml:space="preserve"> </w:t>
      </w:r>
      <w:r>
        <w:rPr>
          <w:bCs/>
          <w:b/>
        </w:rPr>
        <w:t xml:space="preserve">« Delayed »</w:t>
      </w:r>
      <w:r>
        <w:t xml:space="preserve"> </w:t>
      </w:r>
      <w:r>
        <w:t xml:space="preserve">[2] [V].</w:t>
      </w:r>
    </w:p>
    <w:p>
      <w:pPr>
        <w:numPr>
          <w:ilvl w:val="0"/>
          <w:numId w:val="1381"/>
        </w:numPr>
        <w:pStyle w:val="Compact"/>
      </w:pPr>
      <w:r>
        <w:t xml:space="preserve">Plan de restructuration du capital : « Aucun » [1, Ann. 7] [V].</w:t>
      </w:r>
    </w:p>
    <w:bookmarkEnd w:id="396"/>
    <w:bookmarkStart w:id="397" w:name="régulation-et-gouvernance-15"/>
    <w:p>
      <w:pPr>
        <w:pStyle w:val="Heading4"/>
      </w:pPr>
      <w:r>
        <w:t xml:space="preserve">3.3 Régulation et gouvernance</w:t>
      </w:r>
    </w:p>
    <w:p>
      <w:pPr>
        <w:numPr>
          <w:ilvl w:val="0"/>
          <w:numId w:val="1382"/>
        </w:numPr>
        <w:pStyle w:val="Compact"/>
      </w:pPr>
      <w:r>
        <w:rPr>
          <w:bCs/>
          <w:b/>
        </w:rPr>
        <w:t xml:space="preserve">Nouveau code de l’électricité</w:t>
      </w:r>
      <w:r>
        <w:t xml:space="preserve"> </w:t>
      </w:r>
      <w:r>
        <w:t xml:space="preserve">et décrets à adopter en 2025, en particulier pour les mini-réseaux et les kits solaires. Le processus est en attente « depuis juin 2023 » [1, §2 et Décl. §2] [V].</w:t>
      </w:r>
    </w:p>
    <w:p>
      <w:pPr>
        <w:numPr>
          <w:ilvl w:val="0"/>
          <w:numId w:val="1382"/>
        </w:numPr>
        <w:pStyle w:val="Compact"/>
      </w:pPr>
      <w:r>
        <w:t xml:space="preserve">Plan de production à moindre coût (PPMC) à adopter en 2025 [1, Décl. §3] [V]. Le rapport d’avancement mentionne aussi une action « NEP » (révision de la politique énergétique)</w:t>
      </w:r>
      <w:r>
        <w:t xml:space="preserve"> </w:t>
      </w:r>
      <w:r>
        <w:rPr>
          <w:bCs/>
          <w:b/>
        </w:rPr>
        <w:t xml:space="preserve">« Delayed »</w:t>
      </w:r>
      <w:r>
        <w:t xml:space="preserve"> </w:t>
      </w:r>
      <w:r>
        <w:t xml:space="preserve">[2] [V].</w:t>
      </w:r>
    </w:p>
    <w:p>
      <w:pPr>
        <w:numPr>
          <w:ilvl w:val="0"/>
          <w:numId w:val="1382"/>
        </w:numPr>
        <w:pStyle w:val="Compact"/>
      </w:pPr>
      <w:r>
        <w:t xml:space="preserve">Mise à jour de la SNAE et de la phase 2 du PDAE (2026-2030) en 2025 [1] [V]. Statut</w:t>
      </w:r>
      <w:r>
        <w:t xml:space="preserve"> </w:t>
      </w:r>
      <w:r>
        <w:rPr>
          <w:bCs/>
          <w:b/>
        </w:rPr>
        <w:t xml:space="preserve">« Delayed »</w:t>
      </w:r>
      <w:r>
        <w:t xml:space="preserve"> </w:t>
      </w:r>
      <w:r>
        <w:t xml:space="preserve">[2] [V].</w:t>
      </w:r>
    </w:p>
    <w:p>
      <w:pPr>
        <w:numPr>
          <w:ilvl w:val="0"/>
          <w:numId w:val="1382"/>
        </w:numPr>
        <w:pStyle w:val="Compact"/>
      </w:pPr>
      <w:r>
        <w:t xml:space="preserve">Comité interministériel de pilotage de haut niveau ; renforcement du SIE-Niger [1, Décl. §6] [V].</w:t>
      </w:r>
    </w:p>
    <w:p>
      <w:pPr>
        <w:numPr>
          <w:ilvl w:val="0"/>
          <w:numId w:val="1382"/>
        </w:numPr>
        <w:pStyle w:val="Compact"/>
      </w:pPr>
      <w:r>
        <w:t xml:space="preserve">Centre national de dispatching : action ajoutée, échéance 31/12/2026 [2] [V].</w:t>
      </w:r>
    </w:p>
    <w:bookmarkEnd w:id="397"/>
    <w:bookmarkStart w:id="398" w:name="participation-du-privé-4"/>
    <w:p>
      <w:pPr>
        <w:pStyle w:val="Heading4"/>
      </w:pPr>
      <w:r>
        <w:t xml:space="preserve">3.4 Participation du privé</w:t>
      </w:r>
    </w:p>
    <w:p>
      <w:pPr>
        <w:numPr>
          <w:ilvl w:val="0"/>
          <w:numId w:val="1383"/>
        </w:numPr>
        <w:pStyle w:val="Compact"/>
      </w:pPr>
      <w:r>
        <w:t xml:space="preserve">Conseiller en transactions pour le parc solaire de 150 MW développé par le privé ; demande d’instruments de rehaussement de crédit et de réduction des risques auprès des partenaires [1, Décl. §3] [V].</w:t>
      </w:r>
    </w:p>
    <w:p>
      <w:pPr>
        <w:numPr>
          <w:ilvl w:val="0"/>
          <w:numId w:val="1383"/>
        </w:numPr>
        <w:pStyle w:val="Compact"/>
      </w:pPr>
      <w:r>
        <w:t xml:space="preserve">IPP Scaling Solar Gorou Banda : 50 MWc, financé par IFC/IDA (5 M USD IDA, 35 M USD privés), mise en service visée en 2026 [1] [V].</w:t>
      </w:r>
    </w:p>
    <w:p>
      <w:pPr>
        <w:numPr>
          <w:ilvl w:val="0"/>
          <w:numId w:val="1383"/>
        </w:numPr>
        <w:pStyle w:val="Compact"/>
      </w:pPr>
      <w:r>
        <w:t xml:space="preserve">Réglementation des mini-réseaux privés (dont tarifs) liée au nouveau code [1] [V]. Statut</w:t>
      </w:r>
      <w:r>
        <w:t xml:space="preserve"> </w:t>
      </w:r>
      <w:r>
        <w:rPr>
          <w:bCs/>
          <w:b/>
        </w:rPr>
        <w:t xml:space="preserve">« Delayed »</w:t>
      </w:r>
      <w:r>
        <w:t xml:space="preserve"> </w:t>
      </w:r>
      <w:r>
        <w:t xml:space="preserve">[2] [V].</w:t>
      </w:r>
    </w:p>
    <w:p>
      <w:pPr>
        <w:numPr>
          <w:ilvl w:val="0"/>
          <w:numId w:val="1383"/>
        </w:numPr>
        <w:pStyle w:val="Compact"/>
      </w:pPr>
      <w:r>
        <w:t xml:space="preserve">Le pacte reconnaît que « la participation du secteur privé est limitée par l’inadéquation entre le coût de production et le prix de vente du kWh » [1, Plan d’action] [V].</w:t>
      </w:r>
    </w:p>
    <w:p>
      <w:pPr>
        <w:numPr>
          <w:ilvl w:val="0"/>
          <w:numId w:val="1383"/>
        </w:numPr>
        <w:pStyle w:val="Compact"/>
      </w:pPr>
      <w:r>
        <w:t xml:space="preserve">Subventions hors-réseau et cuisson propre via le projet HASKE de la Banque mondiale (2022-2027) [1] [V].</w:t>
      </w:r>
    </w:p>
    <w:p>
      <w:pPr>
        <w:numPr>
          <w:ilvl w:val="0"/>
          <w:numId w:val="1383"/>
        </w:numPr>
        <w:pStyle w:val="Compact"/>
      </w:pPr>
      <w:r>
        <w:rPr>
          <w:bCs/>
          <w:b/>
        </w:rPr>
        <w:t xml:space="preserve">Contenu local</w:t>
      </w:r>
      <w:r>
        <w:t xml:space="preserve"> </w:t>
      </w:r>
      <w:r>
        <w:t xml:space="preserve">explicite : unités de fabrication de transformateurs, câbles, panneaux, batteries et foyers (horizon 2026-2028, budget « à déterminer ») [1, §5] [V].</w:t>
      </w:r>
    </w:p>
    <w:bookmarkEnd w:id="398"/>
    <w:bookmarkStart w:id="399" w:name="intégration-régionale-4"/>
    <w:p>
      <w:pPr>
        <w:pStyle w:val="Heading4"/>
      </w:pPr>
      <w:r>
        <w:t xml:space="preserve">3.5 Intégration régionale</w:t>
      </w:r>
    </w:p>
    <w:p>
      <w:pPr>
        <w:numPr>
          <w:ilvl w:val="0"/>
          <w:numId w:val="1384"/>
        </w:numPr>
        <w:pStyle w:val="Compact"/>
      </w:pPr>
      <w:r>
        <w:t xml:space="preserve">Tarification harmonisée du transport WAPP à adopter en 2025, après validation par l’ARREC [1, Décl. §4] [V].</w:t>
      </w:r>
    </w:p>
    <w:p>
      <w:pPr>
        <w:numPr>
          <w:ilvl w:val="0"/>
          <w:numId w:val="1384"/>
        </w:numPr>
        <w:pStyle w:val="Compact"/>
      </w:pPr>
      <w:r>
        <w:t xml:space="preserve">Dorsale Nord 330 kV Nigéria–Niger–Bénin–Burkina, avec 420 km au Niger : mise en service prévue en 2026 selon le pacte, échéance repoussée au 31/12/2027 dans le rapport [1 ; 2] [V].</w:t>
      </w:r>
    </w:p>
    <w:p>
      <w:pPr>
        <w:numPr>
          <w:ilvl w:val="0"/>
          <w:numId w:val="1384"/>
        </w:numPr>
        <w:pStyle w:val="Compact"/>
      </w:pPr>
      <w:r>
        <w:t xml:space="preserve">Dorsale trans-sahélienne Desert-to-Power [1] [V].</w:t>
      </w:r>
    </w:p>
    <w:p>
      <w:pPr>
        <w:numPr>
          <w:ilvl w:val="0"/>
          <w:numId w:val="1384"/>
        </w:numPr>
        <w:pStyle w:val="Compact"/>
      </w:pPr>
      <w:r>
        <w:t xml:space="preserve">Les prix d’importation sont négociés entre la NIGELEC et Mainstream (Nigéria) [1] [V].</w:t>
      </w:r>
    </w:p>
    <w:bookmarkEnd w:id="399"/>
    <w:bookmarkStart w:id="400" w:name="autres-4"/>
    <w:p>
      <w:pPr>
        <w:pStyle w:val="Heading4"/>
      </w:pPr>
      <w:r>
        <w:t xml:space="preserve">3.6 Autres</w:t>
      </w:r>
    </w:p>
    <w:p>
      <w:pPr>
        <w:numPr>
          <w:ilvl w:val="0"/>
          <w:numId w:val="1385"/>
        </w:numPr>
        <w:pStyle w:val="Compact"/>
      </w:pPr>
      <w:r>
        <w:t xml:space="preserve">Briquettes de charbon minéral, filière GPL (63 centres de remplissage), cuiseurs solaires [1, §3 et Ann. 9] [V].</w:t>
      </w:r>
    </w:p>
    <w:p>
      <w:pPr>
        <w:numPr>
          <w:ilvl w:val="0"/>
          <w:numId w:val="1385"/>
        </w:numPr>
        <w:pStyle w:val="Compact"/>
      </w:pPr>
      <w:r>
        <w:t xml:space="preserve">Programme électronucléaire (SMR) à long terme [1] [V].</w:t>
      </w:r>
    </w:p>
    <w:p>
      <w:pPr>
        <w:numPr>
          <w:ilvl w:val="0"/>
          <w:numId w:val="1385"/>
        </w:numPr>
        <w:pStyle w:val="Compact"/>
      </w:pPr>
      <w:r>
        <w:t xml:space="preserve">Les contraintes sécuritaires sont citées comme obstacle majeur [1] [V].</w:t>
      </w:r>
    </w:p>
    <w:bookmarkEnd w:id="400"/>
    <w:bookmarkEnd w:id="401"/>
    <w:bookmarkStart w:id="402" w:name="financement-24"/>
    <w:p>
      <w:pPr>
        <w:pStyle w:val="Heading3"/>
      </w:pPr>
      <w:r>
        <w:t xml:space="preserve">4. Financement</w:t>
      </w:r>
    </w:p>
    <w:p>
      <w:pPr>
        <w:numPr>
          <w:ilvl w:val="0"/>
          <w:numId w:val="1386"/>
        </w:numPr>
        <w:pStyle w:val="Compact"/>
      </w:pPr>
      <w:r>
        <w:rPr>
          <w:bCs/>
          <w:b/>
        </w:rPr>
        <w:t xml:space="preserve">Besoin total</w:t>
      </w:r>
      <w:r>
        <w:t xml:space="preserve"> </w:t>
      </w:r>
      <w:r>
        <w:t xml:space="preserve">: le pacte ne présente</w:t>
      </w:r>
      <w:r>
        <w:t xml:space="preserve"> </w:t>
      </w:r>
      <w:r>
        <w:rPr>
          <w:bCs/>
          <w:b/>
        </w:rPr>
        <w:t xml:space="preserve">pas de tableau consolidé public/privé</w:t>
      </w:r>
      <w:r>
        <w:t xml:space="preserve">. Chiffres disponibles [1, Ann. 7] [V] :</w:t>
      </w:r>
    </w:p>
    <w:p>
      <w:pPr>
        <w:numPr>
          <w:ilvl w:val="1"/>
          <w:numId w:val="1387"/>
        </w:numPr>
        <w:pStyle w:val="Compact"/>
      </w:pPr>
      <w:r>
        <w:t xml:space="preserve">accès, kits compris : 760 M USD ;</w:t>
      </w:r>
    </w:p>
    <w:p>
      <w:pPr>
        <w:numPr>
          <w:ilvl w:val="1"/>
          <w:numId w:val="1387"/>
        </w:numPr>
        <w:pStyle w:val="Compact"/>
      </w:pPr>
      <w:r>
        <w:t xml:space="preserve">production EnR : 435 M USD ;</w:t>
      </w:r>
    </w:p>
    <w:p>
      <w:pPr>
        <w:numPr>
          <w:ilvl w:val="1"/>
          <w:numId w:val="1387"/>
        </w:numPr>
        <w:pStyle w:val="Compact"/>
      </w:pPr>
      <w:r>
        <w:t xml:space="preserve">disponible en 2024 : 50 M USD (PV de Gorou Banda) ;</w:t>
      </w:r>
    </w:p>
    <w:p>
      <w:pPr>
        <w:numPr>
          <w:ilvl w:val="1"/>
          <w:numId w:val="1387"/>
        </w:numPr>
        <w:pStyle w:val="Compact"/>
      </w:pPr>
      <w:r>
        <w:t xml:space="preserve">« gap à rechercher » : 485 M USD.</w:t>
      </w:r>
    </w:p>
    <w:p>
      <w:pPr>
        <w:numPr>
          <w:ilvl w:val="0"/>
          <w:numId w:val="1386"/>
        </w:numPr>
        <w:pStyle w:val="Compact"/>
      </w:pPr>
      <w:r>
        <w:t xml:space="preserve">L’annexe 9 chiffre aussi les projets de production : EnR 668 MW pour 803 M USD ; thermique 700 MW pour 1 432 M USD [1, Ann. 9] [V].</w:t>
      </w:r>
    </w:p>
    <w:p>
      <w:pPr>
        <w:numPr>
          <w:ilvl w:val="0"/>
          <w:numId w:val="1386"/>
        </w:numPr>
        <w:pStyle w:val="Compact"/>
      </w:pPr>
      <w:r>
        <w:rPr>
          <w:bCs/>
          <w:b/>
        </w:rPr>
        <w:t xml:space="preserve">Engagements cités</w:t>
      </w:r>
      <w:r>
        <w:t xml:space="preserve"> </w:t>
      </w:r>
      <w:r>
        <w:t xml:space="preserve">[1, §4] [V] :</w:t>
      </w:r>
    </w:p>
    <w:p>
      <w:pPr>
        <w:numPr>
          <w:ilvl w:val="1"/>
          <w:numId w:val="1388"/>
        </w:numPr>
        <w:pStyle w:val="Compact"/>
      </w:pPr>
      <w:r>
        <w:t xml:space="preserve">Banque mondiale : NELACEP (135 M USD) ; NESAP (49,89 M USD) ;</w:t>
      </w:r>
      <w:r>
        <w:t xml:space="preserve"> </w:t>
      </w:r>
      <w:r>
        <w:rPr>
          <w:bCs/>
          <w:b/>
        </w:rPr>
        <w:t xml:space="preserve">HASKE (102 M EUR + 84,67 M DTS, environ 317 M USD ; 2,5 M de personnes visées pour l’électricité et 3,3 M pour la cuisson)</w:t>
      </w:r>
      <w:r>
        <w:t xml:space="preserve"> </w:t>
      </w:r>
      <w:r>
        <w:t xml:space="preserve">; BEST (105 M USD) ;</w:t>
      </w:r>
    </w:p>
    <w:p>
      <w:pPr>
        <w:numPr>
          <w:ilvl w:val="1"/>
          <w:numId w:val="1388"/>
        </w:numPr>
        <w:pStyle w:val="Compact"/>
      </w:pPr>
      <w:r>
        <w:t xml:space="preserve">Kandadji : 1,25 Md USD, plusieurs bailleurs ;</w:t>
      </w:r>
    </w:p>
    <w:p>
      <w:pPr>
        <w:numPr>
          <w:ilvl w:val="1"/>
          <w:numId w:val="1388"/>
        </w:numPr>
        <w:pStyle w:val="Compact"/>
      </w:pPr>
      <w:r>
        <w:t xml:space="preserve">BAD : PEPERN (58,92 M UC) ; Dorsale Nord (62,50 M UC) ; RANA (99,16 M UC) ;</w:t>
      </w:r>
    </w:p>
    <w:p>
      <w:pPr>
        <w:numPr>
          <w:ilvl w:val="1"/>
          <w:numId w:val="1388"/>
        </w:numPr>
        <w:pStyle w:val="Compact"/>
      </w:pPr>
      <w:r>
        <w:t xml:space="preserve">AFD : PREDAC (76,58 M EUR) ;</w:t>
      </w:r>
    </w:p>
    <w:p>
      <w:pPr>
        <w:numPr>
          <w:ilvl w:val="1"/>
          <w:numId w:val="1388"/>
        </w:numPr>
        <w:pStyle w:val="Compact"/>
      </w:pPr>
      <w:r>
        <w:t xml:space="preserve">autres : BIDC, BID, BOAD, AICS, UEMOA.</w:t>
      </w:r>
    </w:p>
    <w:bookmarkEnd w:id="402"/>
    <w:bookmarkStart w:id="403" w:name="calendrier-et-suivi-24"/>
    <w:p>
      <w:pPr>
        <w:pStyle w:val="Heading3"/>
      </w:pPr>
      <w:r>
        <w:t xml:space="preserve">5. Calendrier et suivi</w:t>
      </w:r>
    </w:p>
    <w:p>
      <w:pPr>
        <w:numPr>
          <w:ilvl w:val="0"/>
          <w:numId w:val="1389"/>
        </w:numPr>
        <w:pStyle w:val="Compact"/>
      </w:pPr>
      <w:r>
        <w:t xml:space="preserve">Jalons 2025 : nouveau code, PPMC, tarification WAPP, plan de viabilité de la NIGELEC, enquête MTF, mise à jour de la SNAE et du PDAE [1, Décl.] [V].</w:t>
      </w:r>
    </w:p>
    <w:p>
      <w:pPr>
        <w:numPr>
          <w:ilvl w:val="0"/>
          <w:numId w:val="1389"/>
        </w:numPr>
        <w:pStyle w:val="Compact"/>
      </w:pPr>
      <w:r>
        <w:t xml:space="preserve">Publication des états financiers audités en 2026 [1] [V].</w:t>
      </w:r>
    </w:p>
    <w:p>
      <w:pPr>
        <w:numPr>
          <w:ilvl w:val="0"/>
          <w:numId w:val="1389"/>
        </w:numPr>
        <w:pStyle w:val="Compact"/>
      </w:pPr>
      <w:r>
        <w:rPr>
          <w:bCs/>
          <w:b/>
        </w:rPr>
        <w:t xml:space="preserve">Bilan de mars 2026</w:t>
      </w:r>
      <w:r>
        <w:t xml:space="preserve"> </w:t>
      </w:r>
      <w:r>
        <w:t xml:space="preserve">: 21 actions, dont 10 prioritaires.</w:t>
      </w:r>
      <w:r>
        <w:t xml:space="preserve"> </w:t>
      </w:r>
      <w:r>
        <w:rPr>
          <w:bCs/>
          <w:b/>
        </w:rPr>
        <w:t xml:space="preserve">5 achevées, 7 en cours, 9 en retard (dont 4 prioritaires)</w:t>
      </w:r>
      <w:r>
        <w:t xml:space="preserve"> </w:t>
      </w:r>
      <w:r>
        <w:t xml:space="preserve">[2] [V].</w:t>
      </w:r>
    </w:p>
    <w:p>
      <w:pPr>
        <w:numPr>
          <w:ilvl w:val="0"/>
          <w:numId w:val="1389"/>
        </w:numPr>
        <w:pStyle w:val="Compact"/>
      </w:pPr>
      <w:r>
        <w:t xml:space="preserve">Indicateurs 2025 [2] [V] : 49 194 connexions ; renouvelables à 7,64 % ;</w:t>
      </w:r>
      <w:r>
        <w:t xml:space="preserve"> </w:t>
      </w:r>
      <w:r>
        <w:rPr>
          <w:bCs/>
          <w:b/>
        </w:rPr>
        <w:t xml:space="preserve">capitaux privés mobilisés : 0</w:t>
      </w:r>
      <w:r>
        <w:t xml:space="preserve"> </w:t>
      </w:r>
      <w:r>
        <w:t xml:space="preserve">; pas de donnée sur la cuisson propre.</w:t>
      </w:r>
    </w:p>
    <w:bookmarkEnd w:id="403"/>
    <w:bookmarkStart w:id="404" w:name="lecture-critique-analyse-de-lauteur-4"/>
    <w:p>
      <w:pPr>
        <w:pStyle w:val="Heading3"/>
      </w:pPr>
      <w:r>
        <w:t xml:space="preserve">6. Lecture critique (analyse de l’auteur)</w:t>
      </w:r>
    </w:p>
    <w:p>
      <w:pPr>
        <w:numPr>
          <w:ilvl w:val="0"/>
          <w:numId w:val="1390"/>
        </w:numPr>
        <w:pStyle w:val="Compact"/>
      </w:pPr>
      <w:r>
        <w:rPr>
          <w:bCs/>
          <w:b/>
        </w:rPr>
        <w:t xml:space="preserve">Réalisme</w:t>
      </w:r>
      <w:r>
        <w:t xml:space="preserve"> </w:t>
      </w:r>
      <w:r>
        <w:t xml:space="preserve">: la cible de 60 % (et non 100 %) est plus modeste mais reste très exigeante. Elle suppose environ 2 M de branchements, soit plus de 280 000 par an. Or la NIGELEC a réalisé 116 448 branchements en 2023, 62 384 en 2024 (partiel) et 49 194 en 2025 [1 ; 2].</w:t>
      </w:r>
      <w:r>
        <w:t xml:space="preserve"> </w:t>
      </w:r>
      <w:r>
        <w:rPr>
          <w:bCs/>
          <w:b/>
        </w:rPr>
        <w:t xml:space="preserve">L’écart est d’un facteur 4 à 6</w:t>
      </w:r>
      <w:r>
        <w:t xml:space="preserve"> </w:t>
      </w:r>
      <w:r>
        <w:t xml:space="preserve">[E].</w:t>
      </w:r>
    </w:p>
    <w:p>
      <w:pPr>
        <w:numPr>
          <w:ilvl w:val="0"/>
          <w:numId w:val="1390"/>
        </w:numPr>
        <w:pStyle w:val="Compact"/>
      </w:pPr>
      <w:r>
        <w:t xml:space="preserve">La cible de 30 % de renouvelables coexiste avec un programme thermique de 700 MW, dont du charbon [E].</w:t>
      </w:r>
    </w:p>
    <w:p>
      <w:pPr>
        <w:numPr>
          <w:ilvl w:val="0"/>
          <w:numId w:val="1390"/>
        </w:numPr>
        <w:pStyle w:val="Compact"/>
      </w:pPr>
      <w:r>
        <w:rPr>
          <w:bCs/>
          <w:b/>
        </w:rPr>
        <w:t xml:space="preserve">Engagements tarifaires</w:t>
      </w:r>
      <w:r>
        <w:t xml:space="preserve"> </w:t>
      </w:r>
      <w:r>
        <w:t xml:space="preserve">:</w:t>
      </w:r>
      <w:r>
        <w:t xml:space="preserve"> </w:t>
      </w:r>
      <w:r>
        <w:rPr>
          <w:bCs/>
          <w:b/>
        </w:rPr>
        <w:t xml:space="preserve">vagues et réversibles</w:t>
      </w:r>
      <w:r>
        <w:t xml:space="preserve">. La formule « tarifs et/ou subvention » ne lie pas l’État à une hausse. Le pacte constate que la hausse calculée par l’ARSE n’est pas appliquée, sans s’engager à l’appliquer.</w:t>
      </w:r>
    </w:p>
    <w:p>
      <w:pPr>
        <w:numPr>
          <w:ilvl w:val="0"/>
          <w:numId w:val="1390"/>
        </w:numPr>
        <w:pStyle w:val="Compact"/>
      </w:pPr>
      <w:r>
        <w:rPr>
          <w:bCs/>
          <w:b/>
        </w:rPr>
        <w:t xml:space="preserve">Risques</w:t>
      </w:r>
      <w:r>
        <w:t xml:space="preserve"> </w:t>
      </w:r>
      <w:r>
        <w:t xml:space="preserve">:</w:t>
      </w:r>
    </w:p>
    <w:p>
      <w:pPr>
        <w:numPr>
          <w:ilvl w:val="1"/>
          <w:numId w:val="1391"/>
        </w:numPr>
        <w:pStyle w:val="Compact"/>
      </w:pPr>
      <w:r>
        <w:t xml:space="preserve">dépendance au Nigéria (71 % des approvisionnements) et rupture de 2023 ;</w:t>
      </w:r>
    </w:p>
    <w:p>
      <w:pPr>
        <w:numPr>
          <w:ilvl w:val="1"/>
          <w:numId w:val="1391"/>
        </w:numPr>
        <w:pStyle w:val="Compact"/>
      </w:pPr>
      <w:r>
        <w:t xml:space="preserve">sanctions et sortie de la CEDEAO, alors que l’intégration WAPP/ARREC passe par la CEDEAO (tension institutionnelle non traitée par le pacte) [E] ;</w:t>
      </w:r>
    </w:p>
    <w:p>
      <w:pPr>
        <w:numPr>
          <w:ilvl w:val="1"/>
          <w:numId w:val="1391"/>
        </w:numPr>
        <w:pStyle w:val="Compact"/>
      </w:pPr>
      <w:r>
        <w:t xml:space="preserve">sécurité ;</w:t>
      </w:r>
    </w:p>
    <w:p>
      <w:pPr>
        <w:numPr>
          <w:ilvl w:val="1"/>
          <w:numId w:val="1391"/>
        </w:numPr>
        <w:pStyle w:val="Compact"/>
      </w:pPr>
      <w:r>
        <w:t xml:space="preserve">finances publiques contraintes ;</w:t>
      </w:r>
    </w:p>
    <w:p>
      <w:pPr>
        <w:numPr>
          <w:ilvl w:val="1"/>
          <w:numId w:val="1391"/>
        </w:numPr>
        <w:pStyle w:val="Compact"/>
      </w:pPr>
      <w:r>
        <w:t xml:space="preserve">mobilisation privée nulle à fin 2025.</w:t>
      </w:r>
    </w:p>
    <w:p>
      <w:pPr>
        <w:numPr>
          <w:ilvl w:val="0"/>
          <w:numId w:val="1390"/>
        </w:numPr>
        <w:pStyle w:val="Compact"/>
      </w:pPr>
      <w:r>
        <w:rPr>
          <w:bCs/>
          <w:b/>
        </w:rPr>
        <w:t xml:space="preserve">Phase 2 (opérateur)</w:t>
      </w:r>
      <w:r>
        <w:t xml:space="preserve"> </w:t>
      </w:r>
      <w:r>
        <w:t xml:space="preserve">: contenu du plan de viabilité de la NIGELEC ; comptes audités ; convention de concession ; contrat IWA (coût du kWh IPP diesel).</w:t>
      </w:r>
    </w:p>
    <w:p>
      <w:pPr>
        <w:numPr>
          <w:ilvl w:val="0"/>
          <w:numId w:val="1390"/>
        </w:numPr>
        <w:pStyle w:val="Compact"/>
      </w:pPr>
      <w:r>
        <w:rPr>
          <w:bCs/>
          <w:b/>
        </w:rPr>
        <w:t xml:space="preserve">Phase 3 (tarifs)</w:t>
      </w:r>
      <w:r>
        <w:t xml:space="preserve"> </w:t>
      </w:r>
      <w:r>
        <w:t xml:space="preserve">: grille tarifaire ARSE 2018 ; étude tarifaire non appliquée (écart de hausse) ; subventions indirectes (exonérations) face aux subventions directes.</w:t>
      </w:r>
    </w:p>
    <w:bookmarkEnd w:id="404"/>
    <w:bookmarkStart w:id="405" w:name="inconnus-données-non-trouvées-24"/>
    <w:p>
      <w:pPr>
        <w:pStyle w:val="Heading3"/>
      </w:pPr>
      <w:r>
        <w:t xml:space="preserve">7. Inconnus / données non trouvées</w:t>
      </w:r>
    </w:p>
    <w:p>
      <w:pPr>
        <w:numPr>
          <w:ilvl w:val="0"/>
          <w:numId w:val="1392"/>
        </w:numPr>
        <w:pStyle w:val="Compact"/>
      </w:pPr>
      <w:r>
        <w:t xml:space="preserve">Nombre de personnes sans accès [?].</w:t>
      </w:r>
    </w:p>
    <w:p>
      <w:pPr>
        <w:numPr>
          <w:ilvl w:val="0"/>
          <w:numId w:val="1392"/>
        </w:numPr>
        <w:pStyle w:val="Compact"/>
      </w:pPr>
      <w:r>
        <w:t xml:space="preserve">Pertes commerciales et ATC&amp;C [?].</w:t>
      </w:r>
    </w:p>
    <w:p>
      <w:pPr>
        <w:numPr>
          <w:ilvl w:val="0"/>
          <w:numId w:val="1392"/>
        </w:numPr>
        <w:pStyle w:val="Compact"/>
      </w:pPr>
      <w:r>
        <w:t xml:space="preserve">Niveau de hausse tarifaire recommandé par l’ARSE [?].</w:t>
      </w:r>
    </w:p>
    <w:p>
      <w:pPr>
        <w:numPr>
          <w:ilvl w:val="0"/>
          <w:numId w:val="1392"/>
        </w:numPr>
        <w:pStyle w:val="Compact"/>
      </w:pPr>
      <w:r>
        <w:t xml:space="preserve">Besoin de financement total consolidé public/privé [?].</w:t>
      </w:r>
    </w:p>
    <w:p>
      <w:pPr>
        <w:numPr>
          <w:ilvl w:val="0"/>
          <w:numId w:val="1392"/>
        </w:numPr>
        <w:pStyle w:val="Compact"/>
      </w:pPr>
      <w:r>
        <w:t xml:space="preserve">Adoption effective du nouveau code de l’électricité [?].</w:t>
      </w:r>
    </w:p>
    <w:p>
      <w:pPr>
        <w:numPr>
          <w:ilvl w:val="0"/>
          <w:numId w:val="1392"/>
        </w:numPr>
        <w:pStyle w:val="Compact"/>
      </w:pPr>
      <w:r>
        <w:t xml:space="preserve">Revenus par type de client (« enquête en cours ») [?].</w:t>
      </w:r>
    </w:p>
    <w:bookmarkEnd w:id="405"/>
    <w:bookmarkStart w:id="406" w:name="sources-25"/>
    <w:p>
      <w:pPr>
        <w:pStyle w:val="Heading3"/>
      </w:pPr>
      <w:r>
        <w:t xml:space="preserve">Sources</w:t>
      </w:r>
    </w:p>
    <w:p>
      <w:pPr>
        <w:pStyle w:val="FirstParagraph"/>
      </w:pPr>
      <w:r>
        <w:t xml:space="preserve">[1] République du Niger, « Compact Énergétique National », décembre 2024, 27 p. (FR). https://www.worldbank.org/content/dam/theworldbankgroupasset/document/2026/m300-energy-compacts/Niger-M300-AES-Compact.pdf (lien depuis https://www.worldbank.org/ext/en/energizingafrica/national-energy-compacts, consulté le 18/10/2026).</w:t>
      </w:r>
      <w:r>
        <w:t xml:space="preserve"> </w:t>
      </w:r>
      <w:r>
        <w:t xml:space="preserve">[2] Mission 300, « Compact Progress Report — Niger, Q1 2026 » (EN). https://www.worldbank.org/content/dam/theworldbankgroupasset/document/2026/m300-energy-compacts/progress-reports/niger_mission-300_compact-progress-report_q12026.pdf</w:t>
      </w:r>
    </w:p>
    <w:p>
      <w:r>
        <w:br w:type="page"/>
      </w:r>
    </w:p>
    <w:bookmarkEnd w:id="406"/>
    <w:bookmarkEnd w:id="407"/>
    <w:bookmarkStart w:id="423" w:name="fiche-pacte-national-de-lénergie-nigeria"/>
    <w:p>
      <w:pPr>
        <w:pStyle w:val="Heading2"/>
      </w:pPr>
      <w:r>
        <w:t xml:space="preserve">Fiche pacte national de l’énergie — Nigeria</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408" w:name="métadonnées-25"/>
    <w:p>
      <w:pPr>
        <w:pStyle w:val="Heading3"/>
      </w:pPr>
      <w:r>
        <w:t xml:space="preserve">0. Métadonnées</w:t>
      </w:r>
    </w:p>
    <w:p>
      <w:pPr>
        <w:numPr>
          <w:ilvl w:val="0"/>
          <w:numId w:val="1393"/>
        </w:numPr>
        <w:pStyle w:val="Compact"/>
      </w:pPr>
      <w:r>
        <w:t xml:space="preserve">Cohorte / date de présentation : première cohorte (12 pays), présenté en janvier 2025 au Sommet africain de l’énergie de Dar es Salaam [2] [V] ; la page Banque mondiale indique aussi « January 2025 » [3] [V].</w:t>
      </w:r>
    </w:p>
    <w:p>
      <w:pPr>
        <w:numPr>
          <w:ilvl w:val="0"/>
          <w:numId w:val="1393"/>
        </w:numPr>
        <w:pStyle w:val="Compact"/>
      </w:pPr>
      <w:r>
        <w:t xml:space="preserve">Document du pacte consulté : « National Energy Compact for the Federal Republic of Nigeria », 26 p., anglais, non daté sur la couverture (données de référence 2022-2024) [1]. URL : https://www.worldbank.org/content/dam/theworldbankgroupasset/document/2026/m300-energy-compacts/Nigeria-M300-AES-Compact.pdf</w:t>
      </w:r>
    </w:p>
    <w:p>
      <w:pPr>
        <w:numPr>
          <w:ilvl w:val="0"/>
          <w:numId w:val="1393"/>
        </w:numPr>
        <w:pStyle w:val="Compact"/>
      </w:pPr>
      <w:r>
        <w:t xml:space="preserve">Accès au texte intégral :</w:t>
      </w:r>
      <w:r>
        <w:t xml:space="preserve"> </w:t>
      </w:r>
      <w:r>
        <w:rPr>
          <w:bCs/>
          <w:b/>
        </w:rPr>
        <w:t xml:space="preserve">oui</w:t>
      </w:r>
      <w:r>
        <w:t xml:space="preserve"> </w:t>
      </w:r>
      <w:r>
        <w:t xml:space="preserve">(PDF téléchargé et extrait). Complété par le rapport d’avancement officiel Q1 2026 [2].</w:t>
      </w:r>
    </w:p>
    <w:p>
      <w:pPr>
        <w:numPr>
          <w:ilvl w:val="0"/>
          <w:numId w:val="1393"/>
        </w:numPr>
        <w:pStyle w:val="Compact"/>
      </w:pPr>
      <w:r>
        <w:t xml:space="preserve">Opérateur(s) national(aux) d’électricité : secteur dégroupé et largement privé — 6 GENCOs privées, 11 DISCOs privées, Transmission Company of Nigeria (TCN, publique), NBET (négociant de gros public, ne signe plus de nouveaux contrats depuis l’Electricity Act 2023) ; Rural Electrification Agency (REA) pour l’électrification hors réseau [1] [V].</w:t>
      </w:r>
    </w:p>
    <w:p>
      <w:pPr>
        <w:numPr>
          <w:ilvl w:val="0"/>
          <w:numId w:val="1393"/>
        </w:numPr>
        <w:pStyle w:val="Compact"/>
      </w:pPr>
      <w:r>
        <w:t xml:space="preserve">Régulateur : Nigerian Electricity Regulatory Commission (NERC) ; transfert progressif de la régulation de la distribution aux régulateurs des États (au moins 7 États : Edo, Enugu, Ekiti, Ondo, Oyo, Kogi, Imo) en vertu de l’Electricity Act 2023 [1] [V].</w:t>
      </w:r>
    </w:p>
    <w:bookmarkEnd w:id="408"/>
    <w:bookmarkStart w:id="409" w:name="situation-de-départ-selon-le-pacte-25"/>
    <w:p>
      <w:pPr>
        <w:pStyle w:val="Heading3"/>
      </w:pPr>
      <w:r>
        <w:t xml:space="preserve">1. Situation de départ (selon le pacte)</w:t>
      </w:r>
    </w:p>
    <w:p>
      <w:pPr>
        <w:numPr>
          <w:ilvl w:val="0"/>
          <w:numId w:val="1394"/>
        </w:numPr>
        <w:pStyle w:val="Compact"/>
      </w:pPr>
      <w:r>
        <w:t xml:space="preserve">Taux d’accès national : 61 % en 2022, soit plus de 86 millions de personnes sans accès [1] [V]. Taux urbain / rural : [?] non donné dans le pacte.</w:t>
      </w:r>
    </w:p>
    <w:p>
      <w:pPr>
        <w:numPr>
          <w:ilvl w:val="0"/>
          <w:numId w:val="1394"/>
        </w:numPr>
        <w:pStyle w:val="Compact"/>
      </w:pPr>
      <w:r>
        <w:t xml:space="preserve">Population sans accès : &gt; 86 millions (2022) [1] [V].</w:t>
      </w:r>
    </w:p>
    <w:p>
      <w:pPr>
        <w:numPr>
          <w:ilvl w:val="0"/>
          <w:numId w:val="1394"/>
        </w:numPr>
        <w:pStyle w:val="Compact"/>
      </w:pPr>
      <w:r>
        <w:t xml:space="preserve">Capacité installée, mix de production : ~12 GW installés raccordés au réseau, dont environ 40 % effectivement utilisés [1] [V] ; 79 % thermique, le reste hydro [1] [V] ; part renouvelable (hydro) 22 % [1] [V]. Production des groupes électrogènes estimée à 10 fois celle du réseau (~4 GW) [1] [V, estimation citée par le pacte].</w:t>
      </w:r>
    </w:p>
    <w:p>
      <w:pPr>
        <w:numPr>
          <w:ilvl w:val="0"/>
          <w:numId w:val="1394"/>
        </w:numPr>
        <w:pStyle w:val="Compact"/>
      </w:pPr>
      <w:r>
        <w:t xml:space="preserve">Pertes : pertes ATC&amp;C moyennes « about 42% » (21 % techniques et commerciales, 26 % de recouvrement) dans la section 2.1, mais « an average of 47 percent » dans la section 2.2 [1] [V — incohérence interne du document].</w:t>
      </w:r>
    </w:p>
    <w:p>
      <w:pPr>
        <w:numPr>
          <w:ilvl w:val="0"/>
          <w:numId w:val="1394"/>
        </w:numPr>
        <w:pStyle w:val="Compact"/>
      </w:pPr>
      <w:r>
        <w:t xml:space="preserve">Accès à la cuisson propre : plus de 160 millions de personnes sans accès en 2022 [1] [V] ; taux d’accès 26 % (progression de 3,2 %/an 2017-2022) [1] [V]. Le tableau de bord du pacte et le rapport d’avancement retiennent une base de 22 % [1][2] [V].</w:t>
      </w:r>
    </w:p>
    <w:p>
      <w:pPr>
        <w:numPr>
          <w:ilvl w:val="0"/>
          <w:numId w:val="1394"/>
        </w:numPr>
        <w:pStyle w:val="Compact"/>
      </w:pPr>
      <w:r>
        <w:t xml:space="preserve">Finances du secteur : déficit tarifaire passé de 581 Md NGN (1,6 Md USD) en 2019 à 166 Md NGN (410 M USD) en 2022, remonté à 650 Md NGN en 2023 (contre 192 Md prévus), attendu à 2 200 Md NGN en 2024 ; 80 % des subventions bénéficient au quintile le plus riche [1] [V].</w:t>
      </w:r>
    </w:p>
    <w:bookmarkEnd w:id="409"/>
    <w:bookmarkStart w:id="410" w:name="cibles-2030-24"/>
    <w:p>
      <w:pPr>
        <w:pStyle w:val="Heading3"/>
      </w:pPr>
      <w:r>
        <w:t xml:space="preserve">2. Cibles 2030</w:t>
      </w:r>
    </w:p>
    <w:p>
      <w:pPr>
        <w:numPr>
          <w:ilvl w:val="0"/>
          <w:numId w:val="1395"/>
        </w:numPr>
        <w:pStyle w:val="Compact"/>
      </w:pPr>
      <w:r>
        <w:t xml:space="preserve">Accès électricité : accès universel en 2030 ; rythme d’accès porté à 9 %/an contre 5 %/an (2017-2021) [1] [V] (le préambule indique « from 4 percent to 9 percent » [1] [V — incohérence interne]). Seules les connexions directes sont comptées [1] [V]. Le pacte estime que les énergies renouvelables distribuées (DRE) sont la voie à moindre coût pour plus de 60 millions de Nigérians (mini-réseaux en zones denses éloignées du réseau, solaire autonome en zones rurales dispersées) [1] [V]. Pas de ventilation chiffrée réseau / hors réseau du nombre de raccordements [?]. Le rapport d’avancement fixe une cible de 236,7 millions de personnes avec accès en 2030 [2] [V].</w:t>
      </w:r>
    </w:p>
    <w:p>
      <w:pPr>
        <w:numPr>
          <w:ilvl w:val="0"/>
          <w:numId w:val="1395"/>
        </w:numPr>
        <w:pStyle w:val="Compact"/>
      </w:pPr>
      <w:r>
        <w:t xml:space="preserve">Part des renouvelables : de 22 % (hydro) à 50 % (hydro inclus) en 2030 [1] [V].</w:t>
      </w:r>
      <w:r>
        <w:t xml:space="preserve"> </w:t>
      </w:r>
      <w:r>
        <w:rPr>
          <w:bCs/>
          <w:b/>
        </w:rPr>
        <w:t xml:space="preserve">Attention</w:t>
      </w:r>
      <w:r>
        <w:t xml:space="preserve"> </w:t>
      </w:r>
      <w:r>
        <w:t xml:space="preserve">: le rapport d’avancement Q1 2026 affiche une cible 2030 de 75 % [2] [V] — écart non expliqué avec le pacte.</w:t>
      </w:r>
    </w:p>
    <w:p>
      <w:pPr>
        <w:numPr>
          <w:ilvl w:val="0"/>
          <w:numId w:val="1395"/>
        </w:numPr>
        <w:pStyle w:val="Compact"/>
      </w:pPr>
      <w:r>
        <w:t xml:space="preserve">Cuisson propre : accès universel en 2030, 227 millions de personnes ; rythme porté de 22 % à 25 %/an [1] [V].</w:t>
      </w:r>
    </w:p>
    <w:p>
      <w:pPr>
        <w:numPr>
          <w:ilvl w:val="0"/>
          <w:numId w:val="1395"/>
        </w:numPr>
        <w:pStyle w:val="Compact"/>
      </w:pPr>
      <w:r>
        <w:t xml:space="preserve">Autres cibles chiffrées : mobiliser au moins 15,5 Md USD de capitaux privés (sur 23,2 Md USD nécessaires pour le dernier kilomètre) [1] [V] ; 7 millions de compteurs (1,5 M en 2025, 4 M en 2026, 1,5 M en 2027) [1] [V] ; 30 % puis 75 % de l’énergie échangée par contrats bilatéraux en 2026 et 2027 [1] [V] ; 100 M USD de capital long terme en monnaie locale déployé dans les DRE d’ici 2026 [1] [V].</w:t>
      </w:r>
    </w:p>
    <w:bookmarkEnd w:id="410"/>
    <w:bookmarkStart w:id="417" w:name="réformes-promises-cœur-de-lanalyse-20"/>
    <w:p>
      <w:pPr>
        <w:pStyle w:val="Heading3"/>
      </w:pPr>
      <w:r>
        <w:t xml:space="preserve">3. Réformes promises (cœur de l’analyse)</w:t>
      </w:r>
    </w:p>
    <w:bookmarkStart w:id="411" w:name="tarifs-et-subventions-25"/>
    <w:p>
      <w:pPr>
        <w:pStyle w:val="Heading4"/>
      </w:pPr>
      <w:r>
        <w:t xml:space="preserve">3.1 Tarifs et subventions</w:t>
      </w:r>
    </w:p>
    <w:p>
      <w:pPr>
        <w:numPr>
          <w:ilvl w:val="0"/>
          <w:numId w:val="1396"/>
        </w:numPr>
        <w:pStyle w:val="Compact"/>
      </w:pPr>
      <w:r>
        <w:t xml:space="preserve">Aller vers un système tarifaire « full cost reflective » comprenant une subvention limitée et uniforme pour tous les clients dès 2025, tant que le déficit de comptage n’est pas comblé : subvention mensuelle uniforme par client ou subvention des 50 premiers kWh par mois [1] [V].</w:t>
      </w:r>
    </w:p>
    <w:p>
      <w:pPr>
        <w:numPr>
          <w:ilvl w:val="0"/>
          <w:numId w:val="1396"/>
        </w:numPr>
        <w:pStyle w:val="Compact"/>
      </w:pPr>
      <w:r>
        <w:t xml:space="preserve">Tarif pleinement reflet des coûts avec tarif social pour les consommateurs vulnérables « not later than 2027 » [1] [V].</w:t>
      </w:r>
    </w:p>
    <w:p>
      <w:pPr>
        <w:numPr>
          <w:ilvl w:val="0"/>
          <w:numId w:val="1396"/>
        </w:numPr>
        <w:pStyle w:val="Compact"/>
      </w:pPr>
      <w:r>
        <w:t xml:space="preserve">Ajustements tarifaires périodiques (trimestriels) selon les paramètres macroéconomiques, avec trajectoire vers la couverture des coûts [1] [V].</w:t>
      </w:r>
    </w:p>
    <w:p>
      <w:pPr>
        <w:numPr>
          <w:ilvl w:val="0"/>
          <w:numId w:val="1396"/>
        </w:numPr>
        <w:pStyle w:val="Compact"/>
      </w:pPr>
      <w:r>
        <w:t xml:space="preserve">Plan de financement continu des subventions liées aux tarifs non reflet des coûts [1] [V].</w:t>
      </w:r>
    </w:p>
    <w:p>
      <w:pPr>
        <w:numPr>
          <w:ilvl w:val="0"/>
          <w:numId w:val="1396"/>
        </w:numPr>
        <w:pStyle w:val="Compact"/>
      </w:pPr>
      <w:r>
        <w:t xml:space="preserve">Inscription au budget 2025 d’un schéma de résolution de la dette du secteur (arriérés de l’État fédéral envers GENCOs et DISCOs) [1] [V] — déclaré « Completed » (échéance 30/06/2026) dans le rapport d’avancement [2] [V].</w:t>
      </w:r>
    </w:p>
    <w:p>
      <w:pPr>
        <w:numPr>
          <w:ilvl w:val="0"/>
          <w:numId w:val="1396"/>
        </w:numPr>
        <w:pStyle w:val="Compact"/>
      </w:pPr>
      <w:r>
        <w:t xml:space="preserve">Réglementation tarifaire des mini-réseaux mise à jour, harmonisation entre États et ajustements automatiques sur les coûts macro [1] [V].</w:t>
      </w:r>
    </w:p>
    <w:p>
      <w:pPr>
        <w:numPr>
          <w:ilvl w:val="0"/>
          <w:numId w:val="1396"/>
        </w:numPr>
        <w:pStyle w:val="Compact"/>
      </w:pPr>
      <w:r>
        <w:t xml:space="preserve">Statut 2026 : la commercialisation avec passage progressif aux tarifs reflet des coûts et subvention ciblée est « In Progress – Minor Delays » [2] [V].</w:t>
      </w:r>
    </w:p>
    <w:bookmarkEnd w:id="411"/>
    <w:bookmarkStart w:id="412" w:name="X7a7d593e7f694577a85066500ddd05331b85c13"/>
    <w:p>
      <w:pPr>
        <w:pStyle w:val="Heading4"/>
      </w:pPr>
      <w:r>
        <w:t xml:space="preserve">3.2 Opérateur (redressement, contrats de performance, pertes, recouvrement, compteurs)</w:t>
      </w:r>
    </w:p>
    <w:p>
      <w:pPr>
        <w:numPr>
          <w:ilvl w:val="0"/>
          <w:numId w:val="1397"/>
        </w:numPr>
        <w:pStyle w:val="Compact"/>
      </w:pPr>
      <w:r>
        <w:t xml:space="preserve">Combler le déficit de 7 millions de compteurs (2024-2027) ; mise à jour du Metering Code par NERC ; plan de comptage approuvé en 2024 via SGDL, actualisé chaque année [1] [V].</w:t>
      </w:r>
    </w:p>
    <w:p>
      <w:pPr>
        <w:numPr>
          <w:ilvl w:val="0"/>
          <w:numId w:val="1397"/>
        </w:numPr>
        <w:pStyle w:val="Compact"/>
      </w:pPr>
      <w:r>
        <w:t xml:space="preserve">Systèmes d’information de gestion (commercial, gestion des coupures) déployés par toutes les DISCOs d’ici 2027 [1] [V].</w:t>
      </w:r>
    </w:p>
    <w:p>
      <w:pPr>
        <w:numPr>
          <w:ilvl w:val="0"/>
          <w:numId w:val="1397"/>
        </w:numPr>
        <w:pStyle w:val="Compact"/>
      </w:pPr>
      <w:r>
        <w:t xml:space="preserve">Mise en œuvre des Performance Improvement Plans (PIP) des DISCOs, avec financement d’amorçage (programme DISREP) ; priorité aux pertes commerciales et au recouvrement avec des « aggressive targets » (non chiffrées) [1] [V].</w:t>
      </w:r>
    </w:p>
    <w:p>
      <w:pPr>
        <w:numPr>
          <w:ilvl w:val="0"/>
          <w:numId w:val="1397"/>
        </w:numPr>
        <w:pStyle w:val="Compact"/>
      </w:pPr>
      <w:r>
        <w:t xml:space="preserve">« Firm regulatory intervention » d’ici fin 2025 sur les DISCOs ne respectant pas leurs obligations de licence (paiement intégral aux fournisseurs et à TCN, PIP) ; pénalités et approches de type affermage pour les DISCOs en zones à risque ; stratégie pour les DISCOs privatisées en difficulté (2025) [1] [V]. Le pacte rappelle que le non-paiement du Minimum Remittance Order est un motif de révocation de licence [1] [V].</w:t>
      </w:r>
    </w:p>
    <w:p>
      <w:pPr>
        <w:numPr>
          <w:ilvl w:val="0"/>
          <w:numId w:val="1397"/>
        </w:numPr>
        <w:pStyle w:val="Compact"/>
      </w:pPr>
      <w:r>
        <w:t xml:space="preserve">TCN : feuille de route de dégroupage en opérateur système indépendant (ISO) et prestataires de transport (TSP), approuvée par NERC d’ici 2025 ; nouveau MYTO 2024-2026 pour TCN ; PIP de TCN sur 5 ans [1] [V]. Le PIP 2024-26 de TCN, approuvé en décembre 2023, prévoit 300 M USD de CAPEX financés par le tarif et 1,8 Md USD hors tarif [1] [V].</w:t>
      </w:r>
    </w:p>
    <w:p>
      <w:pPr>
        <w:numPr>
          <w:ilvl w:val="0"/>
          <w:numId w:val="1397"/>
        </w:numPr>
        <w:pStyle w:val="Compact"/>
      </w:pPr>
      <w:r>
        <w:t xml:space="preserve">États financiers audités des services publics : déjà publiés (« Yes ») [1] [V]. Couverture à 100 % des coûts opérationnels : non atteinte (« No ») [1] [V].</w:t>
      </w:r>
    </w:p>
    <w:bookmarkEnd w:id="412"/>
    <w:bookmarkStart w:id="413" w:name="régulation-et-gouvernance-16"/>
    <w:p>
      <w:pPr>
        <w:pStyle w:val="Heading4"/>
      </w:pPr>
      <w:r>
        <w:t xml:space="preserve">3.3 Régulation et gouvernance</w:t>
      </w:r>
    </w:p>
    <w:p>
      <w:pPr>
        <w:numPr>
          <w:ilvl w:val="0"/>
          <w:numId w:val="1398"/>
        </w:numPr>
        <w:pStyle w:val="Compact"/>
      </w:pPr>
      <w:r>
        <w:t xml:space="preserve">Politique nationale intégrée de l’électricité et plan stratégique (NIEP-SIP) en 2025 ; clarification des rôles fédéral / États [1] [V] — SIP « Completed » [2] [V].</w:t>
      </w:r>
    </w:p>
    <w:p>
      <w:pPr>
        <w:numPr>
          <w:ilvl w:val="0"/>
          <w:numId w:val="1398"/>
        </w:numPr>
        <w:pStyle w:val="Compact"/>
      </w:pPr>
      <w:r>
        <w:t xml:space="preserve">Planification au moindre coût : LCPDP approuvé par le régulateur d’ici 2026, IRP institutionnalisé d’ici 2027 ; IRP par État [1] [V]. Nouveau plan IRP intégrant le plan d’expansion du transport : « Delayed » [2] [V].</w:t>
      </w:r>
    </w:p>
    <w:p>
      <w:pPr>
        <w:numPr>
          <w:ilvl w:val="0"/>
          <w:numId w:val="1398"/>
        </w:numPr>
        <w:pStyle w:val="Compact"/>
      </w:pPr>
      <w:r>
        <w:t xml:space="preserve">Stratégie nationale d’électrification (NESIP) en 2025 [1] [V] — « Delayed » [2] [V].</w:t>
      </w:r>
    </w:p>
    <w:p>
      <w:pPr>
        <w:numPr>
          <w:ilvl w:val="0"/>
          <w:numId w:val="1398"/>
        </w:numPr>
        <w:pStyle w:val="Compact"/>
      </w:pPr>
      <w:r>
        <w:t xml:space="preserve">Plan d’action genre (2024) [1] [V] — « Delayed » [2] [V].</w:t>
      </w:r>
    </w:p>
    <w:p>
      <w:pPr>
        <w:numPr>
          <w:ilvl w:val="0"/>
          <w:numId w:val="1398"/>
        </w:numPr>
        <w:pStyle w:val="Compact"/>
      </w:pPr>
      <w:r>
        <w:t xml:space="preserve">Plan directeur hydroélectrique d’ici 2027 ; cadre PPP pour la grande hydro (BPE, ICRC) d’ici 2028 ; Gas Master Plan et politique de torchage [1] [V].</w:t>
      </w:r>
    </w:p>
    <w:p>
      <w:pPr>
        <w:numPr>
          <w:ilvl w:val="0"/>
          <w:numId w:val="1398"/>
        </w:numPr>
        <w:pStyle w:val="Compact"/>
      </w:pPr>
      <w:r>
        <w:t xml:space="preserve">Suivi MTF étendu à tout le pays (Q2 2025 – Q2 2026) ; plateforme de données S&amp;E d’ici Q1 2025 [1] [V].</w:t>
      </w:r>
    </w:p>
    <w:bookmarkEnd w:id="413"/>
    <w:bookmarkStart w:id="414" w:name="X2c29577c50d69a65b9b3bade41d2bcd73f1c097"/>
    <w:p>
      <w:pPr>
        <w:pStyle w:val="Heading4"/>
      </w:pPr>
      <w:r>
        <w:t xml:space="preserve">3.4 Participation du privé (producteurs indépendants, concessions, hors réseau)</w:t>
      </w:r>
    </w:p>
    <w:p>
      <w:pPr>
        <w:numPr>
          <w:ilvl w:val="0"/>
          <w:numId w:val="1399"/>
        </w:numPr>
        <w:pStyle w:val="Compact"/>
      </w:pPr>
      <w:r>
        <w:t xml:space="preserve">Transition vers un marché concurrentiel : contrats bilatéraux GENCOs-DISCOs, novation des PPA de NBET, premières enchères pour nouvelle capacité [1] [V].</w:t>
      </w:r>
    </w:p>
    <w:p>
      <w:pPr>
        <w:numPr>
          <w:ilvl w:val="0"/>
          <w:numId w:val="1399"/>
        </w:numPr>
        <w:pStyle w:val="Compact"/>
      </w:pPr>
      <w:r>
        <w:t xml:space="preserve">Facilité de préparation et de financement de projets d’ici 2025 [1] [V].</w:t>
      </w:r>
    </w:p>
    <w:p>
      <w:pPr>
        <w:numPr>
          <w:ilvl w:val="0"/>
          <w:numId w:val="1399"/>
        </w:numPr>
        <w:pStyle w:val="Compact"/>
      </w:pPr>
      <w:r>
        <w:t xml:space="preserve">Mini-réseaux : relèvement du seuil de licence au-delà de 1 MW (« Completed » selon [2]), traitement groupé des demandes, politique de net billing (« In Progress – On track » [2]), contrats tripartites consommateurs / développeurs / DISCOs [1][2] [V].</w:t>
      </w:r>
    </w:p>
    <w:p>
      <w:pPr>
        <w:numPr>
          <w:ilvl w:val="0"/>
          <w:numId w:val="1399"/>
        </w:numPr>
        <w:pStyle w:val="Compact"/>
      </w:pPr>
      <w:r>
        <w:t xml:space="preserve">Projet DARES (Banque mondiale, 750 M USD) : 16,2 millions de personnes visées en nouvel accès, 465 MW [1] [V].</w:t>
      </w:r>
    </w:p>
    <w:p>
      <w:pPr>
        <w:numPr>
          <w:ilvl w:val="0"/>
          <w:numId w:val="1399"/>
        </w:numPr>
        <w:pStyle w:val="Compact"/>
      </w:pPr>
      <w:r>
        <w:t xml:space="preserve">Contenu local : normes et opportunités de fabrication nationale (compteurs, câbles, panneaux) [1] [V].</w:t>
      </w:r>
    </w:p>
    <w:bookmarkEnd w:id="414"/>
    <w:bookmarkStart w:id="415" w:name="Xaac15e983e2c69d195caa034923632da8c35654"/>
    <w:p>
      <w:pPr>
        <w:pStyle w:val="Heading4"/>
      </w:pPr>
      <w:r>
        <w:t xml:space="preserve">3.5 Intégration régionale (pools énergétiques, interconnexions)</w:t>
      </w:r>
    </w:p>
    <w:p>
      <w:pPr>
        <w:numPr>
          <w:ilvl w:val="0"/>
          <w:numId w:val="1400"/>
        </w:numPr>
        <w:pStyle w:val="Compact"/>
      </w:pPr>
      <w:r>
        <w:t xml:space="preserve">Synchronisation avec le réseau WAPP (« In Progress – On track », échéance 31/03/2026) [1][2] [V] ; adoption d’un modèle de tarification du transport (2025) ; Plan directeur CEDEAO 2019-2033 (28 projets, 22 932 km de lignes HT) [1] [V].</w:t>
      </w:r>
    </w:p>
    <w:p>
      <w:pPr>
        <w:numPr>
          <w:ilvl w:val="0"/>
          <w:numId w:val="1400"/>
        </w:numPr>
        <w:pStyle w:val="Compact"/>
      </w:pPr>
      <w:r>
        <w:t xml:space="preserve">Exportations actuelles : 180 MW vers le Niger, 200 MW échangés avec le Bénin (260 MW contractés) [1] [V].</w:t>
      </w:r>
    </w:p>
    <w:bookmarkEnd w:id="415"/>
    <w:bookmarkStart w:id="416" w:name="Xbf438addcbea84d49b398b81e8bcf6b3b839aed"/>
    <w:p>
      <w:pPr>
        <w:pStyle w:val="Heading4"/>
      </w:pPr>
      <w:r>
        <w:t xml:space="preserve">3.6 Autres (fiscalité, foncier, local content)</w:t>
      </w:r>
    </w:p>
    <w:p>
      <w:pPr>
        <w:numPr>
          <w:ilvl w:val="0"/>
          <w:numId w:val="1401"/>
        </w:numPr>
        <w:pStyle w:val="Compact"/>
      </w:pPr>
      <w:r>
        <w:t xml:space="preserve">Le pacte cite les droits d’importation élevés et les procédures douanières longues comme frein aux DRE, sans engagement chiffré de défiscalisation [1] [V].</w:t>
      </w:r>
    </w:p>
    <w:p>
      <w:pPr>
        <w:numPr>
          <w:ilvl w:val="0"/>
          <w:numId w:val="1401"/>
        </w:numPr>
        <w:pStyle w:val="Compact"/>
      </w:pPr>
      <w:r>
        <w:t xml:space="preserve">Projet d’« Académie africaine des énergies renouvelables » [1] [V].</w:t>
      </w:r>
    </w:p>
    <w:bookmarkEnd w:id="416"/>
    <w:bookmarkEnd w:id="417"/>
    <w:bookmarkStart w:id="418" w:name="financement-25"/>
    <w:p>
      <w:pPr>
        <w:pStyle w:val="Heading3"/>
      </w:pPr>
      <w:r>
        <w:t xml:space="preserve">4. Financement</w:t>
      </w:r>
    </w:p>
    <w:p>
      <w:pPr>
        <w:numPr>
          <w:ilvl w:val="0"/>
          <w:numId w:val="1402"/>
        </w:numPr>
        <w:pStyle w:val="Compact"/>
      </w:pPr>
      <w:r>
        <w:t xml:space="preserve">Besoin total : le texte parle de 23,2 Md USD pour le dernier kilomètre dont 15,5 Md USD privés [1] [V]. Le tableau des besoins 2030 totalise 32,7 Md USD : public 17,2 Md (production 3,0 ; transport 5,3 ; distribution 3,4 ; hors réseau 4,3 ; cuisson 1,2) ; privé 15,5 Md (distribution 5,1 ; hors réseau 10,5 ; autres « TBD ») [1] [V]. Les deux totaux ne sont pas réconciliés dans le document.</w:t>
      </w:r>
    </w:p>
    <w:p>
      <w:pPr>
        <w:numPr>
          <w:ilvl w:val="0"/>
          <w:numId w:val="1402"/>
        </w:numPr>
        <w:pStyle w:val="Compact"/>
      </w:pPr>
      <w:r>
        <w:t xml:space="preserve">Engagements cités (annexe I) : Banque mondiale — PSRO 1,5 Md USD ; DISREP 500 M USD ; projet transport 486 M USD ; NEP 350 M USD ; DARES 750 M USD ; ASA 5 M USD. BAD — NEP 200 M USD ; plan d’expansion du transport phase 1, 252 M USD. USAID — NPSP 109 M USD ; Empower Nigeria 75 M USD (+ montant privé illisible dans l’extraction, « $1.1 billion from private sector ») [1] [V]. UE — Solar for Health (en conception) [1] [V].</w:t>
      </w:r>
    </w:p>
    <w:bookmarkEnd w:id="418"/>
    <w:bookmarkStart w:id="419" w:name="calendrier-et-suivi-25"/>
    <w:p>
      <w:pPr>
        <w:pStyle w:val="Heading3"/>
      </w:pPr>
      <w:r>
        <w:t xml:space="preserve">5. Calendrier et suivi</w:t>
      </w:r>
    </w:p>
    <w:p>
      <w:pPr>
        <w:numPr>
          <w:ilvl w:val="0"/>
          <w:numId w:val="1403"/>
        </w:numPr>
        <w:pStyle w:val="Compact"/>
      </w:pPr>
      <w:r>
        <w:t xml:space="preserve">Jalons datés principaux : NIEP-SIP 2025 ; NESIP 2025 ; ISO/TSP roadmap 2025 ; subvention plate dès 2025 ; tarif social au plus tard 2027 ; compteurs 2025-2027 ; LCPDP 2026 ; IRP 2027 ; bilatéral 30 %/75 % en 2026/2027 ; Hydro Master Plan 2027 ; cadre PPP hydro 2028 [1] [V].</w:t>
      </w:r>
    </w:p>
    <w:p>
      <w:pPr>
        <w:numPr>
          <w:ilvl w:val="0"/>
          <w:numId w:val="1403"/>
        </w:numPr>
        <w:pStyle w:val="Compact"/>
      </w:pPr>
      <w:r>
        <w:t xml:space="preserve">Suivi : cadre S&amp;E structuré avec SIG, piloté par le Federal Ministry of Power [1] [V] ; Compact Delivery and Monitoring Unit (CDMU), rapports semestriels [2] [V].</w:t>
      </w:r>
    </w:p>
    <w:p>
      <w:pPr>
        <w:numPr>
          <w:ilvl w:val="0"/>
          <w:numId w:val="1403"/>
        </w:numPr>
        <w:pStyle w:val="Compact"/>
      </w:pPr>
      <w:r>
        <w:t xml:space="preserve">Avancement (rapport Q1 2026, données à fin 2025) : 49 actions de réforme, dont 11 achevées, 20 en cours, 18 en retard (dont 4 prioritaires) [2] [V] ; 137,3 millions de personnes avec accès fin 2025 ; cuisson propre 26 % ; part renouvelable 38,8 % de la production ; capitaux privés « No data provided yet » [2] [V, données déclarées par le gouvernement].</w:t>
      </w:r>
    </w:p>
    <w:bookmarkEnd w:id="419"/>
    <w:bookmarkStart w:id="420" w:name="lecture-critique-20"/>
    <w:p>
      <w:pPr>
        <w:pStyle w:val="Heading3"/>
      </w:pPr>
      <w:r>
        <w:t xml:space="preserve">6. Lecture critique</w:t>
      </w:r>
    </w:p>
    <w:p>
      <w:pPr>
        <w:numPr>
          <w:ilvl w:val="0"/>
          <w:numId w:val="1404"/>
        </w:numPr>
        <w:pStyle w:val="Compact"/>
      </w:pPr>
      <w:r>
        <w:t xml:space="preserve">Réalisme des cibles : passer de 61 % (2022) à 100 % en 2030 suppose environ 39 points en 8 ans, soit un doublement du rythme historique selon le pacte lui-même (5 → 9 %/an) [E]. Le pacte note que les DISCOs ont ajouté 4,7 millions de raccordements « légaux » 2015-2023, en grande partie du comptage plutôt que de vraies nouvelles connexions, alors que la population a augmenté d’environ 4,8 millions de ménages-équivalents [1] [V] : le réseau n’a pas même suivi la démographie, d’où la dépendance aux DRE. La hausse de la part renouvelable de 22 % à 38,8 % en un an [2] paraît très rapide et mérite vérification de méthode (production vs capacité, inclusion des DRE) [E].</w:t>
      </w:r>
    </w:p>
    <w:p>
      <w:pPr>
        <w:numPr>
          <w:ilvl w:val="0"/>
          <w:numId w:val="1404"/>
        </w:numPr>
        <w:pStyle w:val="Compact"/>
      </w:pPr>
      <w:r>
        <w:t xml:space="preserve">Engagements tarifaires : relativement</w:t>
      </w:r>
      <w:r>
        <w:t xml:space="preserve"> </w:t>
      </w:r>
      <w:r>
        <w:rPr>
          <w:bCs/>
          <w:b/>
        </w:rPr>
        <w:t xml:space="preserve">précis</w:t>
      </w:r>
      <w:r>
        <w:t xml:space="preserve"> </w:t>
      </w:r>
      <w:r>
        <w:t xml:space="preserve">pour un pacte (subvention plate ou 50 premiers kWh dès 2025, tarif social ≤ 2027, ajustements trimestriels) mais sans niveau tarifaire cible, sans trajectoire chiffrée du déficit tarifaire et sans montant de subvention [E]. La décentralisation des tarifs de détail aux États complique la tenue d’un engagement fédéral [E].</w:t>
      </w:r>
    </w:p>
    <w:p>
      <w:pPr>
        <w:numPr>
          <w:ilvl w:val="0"/>
          <w:numId w:val="1404"/>
        </w:numPr>
        <w:pStyle w:val="Compact"/>
      </w:pPr>
      <w:r>
        <w:t xml:space="preserve">Risques principaux : liquidité du marché (déficit tarifaire de 2 200 Md NGN attendu en 2024 [1]) ; DISCOs privatisées sous-capitalisées et indiscipline de paiement ; fragmentation réglementaire entre États ; risque de change sur les intrants en dollars (gaz) ; cible de 15,5 Md USD privés sans référence de base (baseline « 0 ») [1] [E].</w:t>
      </w:r>
    </w:p>
    <w:p>
      <w:pPr>
        <w:numPr>
          <w:ilvl w:val="0"/>
          <w:numId w:val="1404"/>
        </w:numPr>
        <w:pStyle w:val="Compact"/>
      </w:pPr>
      <w:r>
        <w:t xml:space="preserve">Points à approfondir en phase 2 (opérateur) : PIP des DISCOs et de TCN, résultats DISREP, exécution du plan de comptage (7 M) ; affermage pour DISCOs défaillantes ; dégroupage ISO/TSP. Phase 3 (tarifs) : MYTO et tarification par bandes (non mentionnée dans le pacte), mise en œuvre de la subvention plate, régulateurs d’États.</w:t>
      </w:r>
    </w:p>
    <w:bookmarkEnd w:id="420"/>
    <w:bookmarkStart w:id="421" w:name="inconnus-données-non-trouvées-25"/>
    <w:p>
      <w:pPr>
        <w:pStyle w:val="Heading3"/>
      </w:pPr>
      <w:r>
        <w:t xml:space="preserve">7. Inconnus / données non trouvées</w:t>
      </w:r>
    </w:p>
    <w:p>
      <w:pPr>
        <w:numPr>
          <w:ilvl w:val="0"/>
          <w:numId w:val="1405"/>
        </w:numPr>
        <w:pStyle w:val="Compact"/>
      </w:pPr>
      <w:r>
        <w:t xml:space="preserve">Taux d’accès urbain / rural : [?] non donné.</w:t>
      </w:r>
    </w:p>
    <w:p>
      <w:pPr>
        <w:numPr>
          <w:ilvl w:val="0"/>
          <w:numId w:val="1405"/>
        </w:numPr>
        <w:pStyle w:val="Compact"/>
      </w:pPr>
      <w:r>
        <w:t xml:space="preserve">Ventilation des nouveaux raccordements réseau / mini-réseaux / solaire autonome : [?] non chiffrée.</w:t>
      </w:r>
    </w:p>
    <w:p>
      <w:pPr>
        <w:numPr>
          <w:ilvl w:val="0"/>
          <w:numId w:val="1405"/>
        </w:numPr>
        <w:pStyle w:val="Compact"/>
      </w:pPr>
      <w:r>
        <w:t xml:space="preserve">Niveau du tarif reflet des coûts, montant de la subvention plate : [?].</w:t>
      </w:r>
    </w:p>
    <w:p>
      <w:pPr>
        <w:numPr>
          <w:ilvl w:val="0"/>
          <w:numId w:val="1405"/>
        </w:numPr>
        <w:pStyle w:val="Compact"/>
      </w:pPr>
      <w:r>
        <w:t xml:space="preserve">Cibles chiffrées de réduction des pertes ATC&amp;C : [?] (« aggressive targets » sans valeur).</w:t>
      </w:r>
    </w:p>
    <w:p>
      <w:pPr>
        <w:numPr>
          <w:ilvl w:val="0"/>
          <w:numId w:val="1405"/>
        </w:numPr>
        <w:pStyle w:val="Compact"/>
      </w:pPr>
      <w:r>
        <w:t xml:space="preserve">Écart 50 % (pacte) vs 75 % (rapport d’avancement) pour la cible renouvelable : [?] non expliqué.</w:t>
      </w:r>
    </w:p>
    <w:p>
      <w:pPr>
        <w:numPr>
          <w:ilvl w:val="0"/>
          <w:numId w:val="1405"/>
        </w:numPr>
        <w:pStyle w:val="Compact"/>
      </w:pPr>
      <w:r>
        <w:t xml:space="preserve">Écart 23,2 vs 32,7 Md USD de besoins : [?] non réconcilié.</w:t>
      </w:r>
    </w:p>
    <w:p>
      <w:pPr>
        <w:numPr>
          <w:ilvl w:val="0"/>
          <w:numId w:val="1405"/>
        </w:numPr>
        <w:pStyle w:val="Compact"/>
      </w:pPr>
      <w:r>
        <w:t xml:space="preserve">Date exacte de signature / validation du pacte : [?].</w:t>
      </w:r>
    </w:p>
    <w:bookmarkEnd w:id="421"/>
    <w:bookmarkStart w:id="422" w:name="sources-26"/>
    <w:p>
      <w:pPr>
        <w:pStyle w:val="Heading3"/>
      </w:pPr>
      <w:r>
        <w:t xml:space="preserve">Sources</w:t>
      </w:r>
    </w:p>
    <w:p>
      <w:pPr>
        <w:pStyle w:val="FirstParagraph"/>
      </w:pPr>
      <w:r>
        <w:t xml:space="preserve">[1] Federal Republic of Nigeria, « National Energy Compact for the Federal Republic of Nigeria », Mission 300, s.d. (présenté janv. 2025), 26 p. https://www.worldbank.org/content/dam/theworldbankgroupasset/document/2026/m300-energy-compacts/Nigeria-M300-AES-Compact.pdf (consulté le 18/10/2026)</w:t>
      </w:r>
      <w:r>
        <w:t xml:space="preserve"> </w:t>
      </w:r>
      <w:r>
        <w:t xml:space="preserve">[2] Gouvernement du Nigeria (CDMU) / Mission 300, « Mission 300 Compact Progress Report — Second cycle of data collection 2025 — Nigeria », avril 2026 (données au 05/05/2026), 7 p. https://www.worldbank.org/content/dam/theworldbankgroupasset/document/2026/m300-energy-compacts/progress-reports/nigeria_mission-300_compact-progress-report_q12026.pdf</w:t>
      </w:r>
      <w:r>
        <w:t xml:space="preserve"> </w:t>
      </w:r>
      <w:r>
        <w:t xml:space="preserve">[3] Banque mondiale, page « National Energy Compacts ». https://www.worldbank.org/ext/en/energizingafrica/national-energy-compacts (consultée le 18/10/2026)</w:t>
      </w:r>
    </w:p>
    <w:p>
      <w:r>
        <w:br w:type="page"/>
      </w:r>
    </w:p>
    <w:bookmarkEnd w:id="422"/>
    <w:bookmarkEnd w:id="423"/>
    <w:bookmarkStart w:id="434" w:name="fiche-pacte-national-de-lénergie-rwanda"/>
    <w:p>
      <w:pPr>
        <w:pStyle w:val="Heading2"/>
      </w:pPr>
      <w:r>
        <w:t xml:space="preserve">Fiche pacte national de l’énergie — Rwanda</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424" w:name="métadonnées-26"/>
    <w:p>
      <w:pPr>
        <w:pStyle w:val="Heading3"/>
      </w:pPr>
      <w:r>
        <w:t xml:space="preserve">0. Métadonnées</w:t>
      </w:r>
    </w:p>
    <w:p>
      <w:pPr>
        <w:numPr>
          <w:ilvl w:val="0"/>
          <w:numId w:val="1406"/>
        </w:numPr>
        <w:pStyle w:val="Compact"/>
      </w:pPr>
      <w:r>
        <w:rPr>
          <w:bCs/>
          <w:b/>
        </w:rPr>
        <w:t xml:space="preserve">Existence du pacte</w:t>
      </w:r>
      <w:r>
        <w:t xml:space="preserve"> </w:t>
      </w:r>
      <w:r>
        <w:t xml:space="preserve">:</w:t>
      </w:r>
      <w:r>
        <w:t xml:space="preserve"> </w:t>
      </w:r>
      <w:r>
        <w:rPr>
          <w:bCs/>
          <w:b/>
        </w:rPr>
        <w:t xml:space="preserve">confirmée</w:t>
      </w:r>
      <w:r>
        <w:t xml:space="preserve">. Le texte est publié sur le site de la Banque mondiale (daté « June 2026 » sur la page des pactes) [2] [V] ; le communiqué BM du 16/06/2026 annonçait son lancement à l’Africa Energy Forum « cette semaine » [3] [V] ; Energy News Network (09/07/2026) rapporte la signature à l’AEF par</w:t>
      </w:r>
      <w:r>
        <w:t xml:space="preserve"> </w:t>
      </w:r>
      <w:r>
        <w:rPr>
          <w:bCs/>
          <w:b/>
        </w:rPr>
        <w:t xml:space="preserve">Olivier Nduhungirehe</w:t>
      </w:r>
      <w:r>
        <w:t xml:space="preserve">, ministre des Affaires étrangères et de la Coopération internationale [4] [S]. La date « juillet 2026 » signalée par l’orchestrateur correspond à l’article de presse ; la page BM et le communiqué indiquent la semaine du 16 juin 2026 [E].</w:t>
      </w:r>
    </w:p>
    <w:p>
      <w:pPr>
        <w:numPr>
          <w:ilvl w:val="0"/>
          <w:numId w:val="1406"/>
        </w:numPr>
        <w:pStyle w:val="Compact"/>
      </w:pPr>
      <w:r>
        <w:rPr>
          <w:bCs/>
          <w:b/>
        </w:rPr>
        <w:t xml:space="preserve">Cohorte</w:t>
      </w:r>
      <w:r>
        <w:t xml:space="preserve"> </w:t>
      </w:r>
      <w:r>
        <w:t xml:space="preserve">: groupe de six pays lancés à l’AEF 2026 (Burkina Faso, RCA, Djibouti, Gabon, Rwanda, Ouganda) [3] [V] ; appellation « Cohort 3 » selon la page « Mission 300 Journey » de la BAD, vue via résultats de recherche (afdb.org non consulté directement) [S].</w:t>
      </w:r>
    </w:p>
    <w:p>
      <w:pPr>
        <w:numPr>
          <w:ilvl w:val="0"/>
          <w:numId w:val="1406"/>
        </w:numPr>
        <w:pStyle w:val="Compact"/>
      </w:pPr>
      <w:r>
        <w:rPr>
          <w:bCs/>
          <w:b/>
        </w:rPr>
        <w:t xml:space="preserve">Document consulté</w:t>
      </w:r>
      <w:r>
        <w:t xml:space="preserve"> </w:t>
      </w:r>
      <w:r>
        <w:t xml:space="preserve">: « National Energy Compact for Republic of Rwanda » (titre de couverture : « Repulic » [sic]), 46 p., anglais, PDF créé le 16/06/2026 [1] [V].</w:t>
      </w:r>
    </w:p>
    <w:p>
      <w:pPr>
        <w:numPr>
          <w:ilvl w:val="0"/>
          <w:numId w:val="1406"/>
        </w:numPr>
        <w:pStyle w:val="Compact"/>
      </w:pPr>
      <w:r>
        <w:rPr>
          <w:bCs/>
          <w:b/>
        </w:rPr>
        <w:t xml:space="preserve">Accès au texte intégral</w:t>
      </w:r>
      <w:r>
        <w:t xml:space="preserve"> </w:t>
      </w:r>
      <w:r>
        <w:t xml:space="preserve">:</w:t>
      </w:r>
      <w:r>
        <w:t xml:space="preserve"> </w:t>
      </w:r>
      <w:r>
        <w:rPr>
          <w:bCs/>
          <w:b/>
        </w:rPr>
        <w:t xml:space="preserve">oui</w:t>
      </w:r>
      <w:r>
        <w:t xml:space="preserve"> </w:t>
      </w:r>
      <w:r>
        <w:t xml:space="preserve">— https://www.worldbank.org/content/dam/theworldbankgroupasset/document/2026/m300-energy-compacts/Rwanda-National-Energy-Compact-Mission-300.pdf</w:t>
      </w:r>
    </w:p>
    <w:p>
      <w:pPr>
        <w:numPr>
          <w:ilvl w:val="0"/>
          <w:numId w:val="1406"/>
        </w:numPr>
        <w:pStyle w:val="Compact"/>
      </w:pPr>
      <w:r>
        <w:rPr>
          <w:bCs/>
          <w:b/>
        </w:rPr>
        <w:t xml:space="preserve">Opérateurs</w:t>
      </w:r>
      <w:r>
        <w:t xml:space="preserve"> </w:t>
      </w:r>
      <w:r>
        <w:t xml:space="preserve">:</w:t>
      </w:r>
      <w:r>
        <w:t xml:space="preserve"> </w:t>
      </w:r>
      <w:r>
        <w:rPr>
          <w:bCs/>
          <w:b/>
        </w:rPr>
        <w:t xml:space="preserve">REG</w:t>
      </w:r>
      <w:r>
        <w:t xml:space="preserve"> </w:t>
      </w:r>
      <w:r>
        <w:t xml:space="preserve">(Rwanda Energy Group, holding 100 % publique créée en 2014) et ses filiales</w:t>
      </w:r>
      <w:r>
        <w:t xml:space="preserve"> </w:t>
      </w:r>
      <w:r>
        <w:rPr>
          <w:bCs/>
          <w:b/>
        </w:rPr>
        <w:t xml:space="preserve">EUCL</w:t>
      </w:r>
      <w:r>
        <w:t xml:space="preserve"> </w:t>
      </w:r>
      <w:r>
        <w:t xml:space="preserve">(Energy Utility Corporation Ltd : transport et distribution unique, acheteur unique des IPP) et</w:t>
      </w:r>
      <w:r>
        <w:t xml:space="preserve"> </w:t>
      </w:r>
      <w:r>
        <w:rPr>
          <w:bCs/>
          <w:b/>
        </w:rPr>
        <w:t xml:space="preserve">EDCL</w:t>
      </w:r>
      <w:r>
        <w:t xml:space="preserve"> </w:t>
      </w:r>
      <w:r>
        <w:t xml:space="preserve">(Energy Development Corporation Ltd : développement des projets publics) [1] [V]. Secteur « verticalement intégré » avec participation privée en production (≈ 63 % de la capacité) [1] [V].</w:t>
      </w:r>
    </w:p>
    <w:p>
      <w:pPr>
        <w:numPr>
          <w:ilvl w:val="0"/>
          <w:numId w:val="1406"/>
        </w:numPr>
        <w:pStyle w:val="Compact"/>
      </w:pPr>
      <w:r>
        <w:rPr>
          <w:bCs/>
          <w:b/>
        </w:rPr>
        <w:t xml:space="preserve">Régulateur</w:t>
      </w:r>
      <w:r>
        <w:t xml:space="preserve"> </w:t>
      </w:r>
      <w:r>
        <w:t xml:space="preserve">:</w:t>
      </w:r>
      <w:r>
        <w:t xml:space="preserve"> </w:t>
      </w:r>
      <w:r>
        <w:rPr>
          <w:bCs/>
          <w:b/>
        </w:rPr>
        <w:t xml:space="preserve">RURA</w:t>
      </w:r>
      <w:r>
        <w:t xml:space="preserve"> </w:t>
      </w:r>
      <w:r>
        <w:t xml:space="preserve">(Rwanda Utilities Regulatory Authority, 2001) [1] [V]. Tutelle : MININFRA ; MINECOFIN [1] [V].</w:t>
      </w:r>
    </w:p>
    <w:bookmarkEnd w:id="424"/>
    <w:bookmarkStart w:id="425" w:name="situation-de-départ-selon-le-pacte-26"/>
    <w:p>
      <w:pPr>
        <w:pStyle w:val="Heading3"/>
      </w:pPr>
      <w:r>
        <w:t xml:space="preserve">1. Situation de départ (selon le pacte)</w:t>
      </w:r>
    </w:p>
    <w:p>
      <w:pPr>
        <w:numPr>
          <w:ilvl w:val="0"/>
          <w:numId w:val="1407"/>
        </w:numPr>
        <w:pStyle w:val="Compact"/>
      </w:pPr>
      <w:r>
        <w:rPr>
          <w:bCs/>
          <w:b/>
        </w:rPr>
        <w:t xml:space="preserve">Accès</w:t>
      </w:r>
      <w:r>
        <w:t xml:space="preserve"> </w:t>
      </w:r>
      <w:r>
        <w:t xml:space="preserve">:</w:t>
      </w:r>
      <w:r>
        <w:t xml:space="preserve"> </w:t>
      </w:r>
      <w:r>
        <w:rPr>
          <w:bCs/>
          <w:b/>
        </w:rPr>
        <w:t xml:space="preserve">84 %</w:t>
      </w:r>
      <w:r>
        <w:t xml:space="preserve"> </w:t>
      </w:r>
      <w:r>
        <w:t xml:space="preserve">(juin 2025) — 59 % réseau, 25 % hors réseau ; 18 % en 2012 [1] [V]. Raccordements : 175 000 (2010) → &gt; 2,7 M (2025), dont 1,9 M réseau [1] [V]. Usages productifs connectés : 86-89 % [1] [V].</w:t>
      </w:r>
    </w:p>
    <w:p>
      <w:pPr>
        <w:numPr>
          <w:ilvl w:val="0"/>
          <w:numId w:val="1407"/>
        </w:numPr>
        <w:pStyle w:val="Compact"/>
      </w:pPr>
      <w:r>
        <w:rPr>
          <w:bCs/>
          <w:b/>
        </w:rPr>
        <w:t xml:space="preserve">Population sans accès</w:t>
      </w:r>
      <w:r>
        <w:t xml:space="preserve"> </w:t>
      </w:r>
      <w:r>
        <w:t xml:space="preserve">: ≈ 16 % [E] ; nombre absolu [?]. Population ≈ 14 M [1] [V].</w:t>
      </w:r>
    </w:p>
    <w:p>
      <w:pPr>
        <w:numPr>
          <w:ilvl w:val="0"/>
          <w:numId w:val="1407"/>
        </w:numPr>
        <w:pStyle w:val="Compact"/>
      </w:pPr>
      <w:r>
        <w:rPr>
          <w:bCs/>
          <w:b/>
        </w:rPr>
        <w:t xml:space="preserve">Capacité</w:t>
      </w:r>
      <w:r>
        <w:t xml:space="preserve"> </w:t>
      </w:r>
      <w:r>
        <w:t xml:space="preserve">:</w:t>
      </w:r>
      <w:r>
        <w:t xml:space="preserve"> </w:t>
      </w:r>
      <w:r>
        <w:rPr>
          <w:bCs/>
          <w:b/>
        </w:rPr>
        <w:t xml:space="preserve">466,4 MW</w:t>
      </w:r>
      <w:r>
        <w:t xml:space="preserve"> </w:t>
      </w:r>
      <w:r>
        <w:t xml:space="preserve">(FY2024/25) — 321,3 MW domestique + 145,1 MW importations/centrales partagées ; ≈ 220 MW disponibles pour une pointe ≈ 265 MW [1] [V]. Production FY2024/25 : 1 568,5 GWh — hydro 31,35 %, méthane (lac Kivu) 33,85 %, tourbe 9,96 %, autre thermique 0,37 %, solaire 1,13 %, hydro partagée 15,8 %, importations 7,6 % [1] [V]. Part ENR : 52 % (tableau des cibles) ou 49 % (calendrier 2024/25) [1] [V].</w:t>
      </w:r>
    </w:p>
    <w:p>
      <w:pPr>
        <w:numPr>
          <w:ilvl w:val="0"/>
          <w:numId w:val="1407"/>
        </w:numPr>
        <w:pStyle w:val="Compact"/>
      </w:pPr>
      <w:r>
        <w:rPr>
          <w:bCs/>
          <w:b/>
        </w:rPr>
        <w:t xml:space="preserve">Réseau</w:t>
      </w:r>
      <w:r>
        <w:t xml:space="preserve"> </w:t>
      </w:r>
      <w:r>
        <w:t xml:space="preserve">: 1 158 km de transport (110/220 kV), 37 728 km de distribution ; SAIDI 11,35 h, SAIFI 16,71 (FY2024/25) ; ailleurs SAIFI 21 et SAIDI 14,43 (2024) [1] [V]. Pertes : 16,3 % (≈ 10 % techniques) [1] [V].</w:t>
      </w:r>
    </w:p>
    <w:p>
      <w:pPr>
        <w:numPr>
          <w:ilvl w:val="0"/>
          <w:numId w:val="1407"/>
        </w:numPr>
        <w:pStyle w:val="Compact"/>
      </w:pPr>
      <w:r>
        <w:rPr>
          <w:bCs/>
          <w:b/>
        </w:rPr>
        <w:t xml:space="preserve">Consommation</w:t>
      </w:r>
      <w:r>
        <w:t xml:space="preserve"> </w:t>
      </w:r>
      <w:r>
        <w:t xml:space="preserve">: ≈ 16,6 kWh/mois en moyenne, freinée par des tarifs de détail élevés [1] [V].</w:t>
      </w:r>
    </w:p>
    <w:p>
      <w:pPr>
        <w:numPr>
          <w:ilvl w:val="0"/>
          <w:numId w:val="1407"/>
        </w:numPr>
        <w:pStyle w:val="Compact"/>
      </w:pPr>
      <w:r>
        <w:rPr>
          <w:bCs/>
          <w:b/>
        </w:rPr>
        <w:t xml:space="preserve">Cuisson propre</w:t>
      </w:r>
      <w:r>
        <w:t xml:space="preserve"> </w:t>
      </w:r>
      <w:r>
        <w:t xml:space="preserve">: 5,6 % (électricité, gaz) ; GPL ≈ 5 % ; biomasse = 93,4 % de l’énergie de cuisson ; déficit de bois &gt; 4 M m³/an [1] [V].</w:t>
      </w:r>
    </w:p>
    <w:bookmarkEnd w:id="425"/>
    <w:bookmarkStart w:id="426" w:name="cibles-2030-25"/>
    <w:p>
      <w:pPr>
        <w:pStyle w:val="Heading3"/>
      </w:pPr>
      <w:r>
        <w:t xml:space="preserve">2. Cibles 2030</w:t>
      </w:r>
    </w:p>
    <w:p>
      <w:pPr>
        <w:numPr>
          <w:ilvl w:val="0"/>
          <w:numId w:val="1408"/>
        </w:numPr>
        <w:pStyle w:val="Compact"/>
      </w:pPr>
      <w:r>
        <w:rPr>
          <w:bCs/>
          <w:b/>
        </w:rPr>
        <w:t xml:space="preserve">Électricité</w:t>
      </w:r>
      <w:r>
        <w:t xml:space="preserve"> </w:t>
      </w:r>
      <w:r>
        <w:t xml:space="preserve">:</w:t>
      </w:r>
      <w:r>
        <w:t xml:space="preserve"> </w:t>
      </w:r>
      <w:r>
        <w:rPr>
          <w:bCs/>
          <w:b/>
        </w:rPr>
        <w:t xml:space="preserve">100 %</w:t>
      </w:r>
      <w:r>
        <w:t xml:space="preserve"> </w:t>
      </w:r>
      <w:r>
        <w:t xml:space="preserve">(75 % réseau / 25 % hors réseau) ; tous les usages productifs et toutes les cellules (utugari) raccordés [1] [V]. ≈ 2 M de ménages supplémentaires selon le texte narratif [1] [V] ; l’annexe donne 756 073 raccordements via les programmes existants + 328 129 via le pacte (131 252 réseau, 196 877 hors réseau) [1] [V] — chiffres non réconciliés [E].</w:t>
      </w:r>
    </w:p>
    <w:p>
      <w:pPr>
        <w:numPr>
          <w:ilvl w:val="0"/>
          <w:numId w:val="1408"/>
        </w:numPr>
        <w:pStyle w:val="Compact"/>
      </w:pPr>
      <w:r>
        <w:rPr>
          <w:bCs/>
          <w:b/>
        </w:rPr>
        <w:t xml:space="preserve">Renouvelables</w:t>
      </w:r>
      <w:r>
        <w:t xml:space="preserve"> </w:t>
      </w:r>
      <w:r>
        <w:t xml:space="preserve">: 52 % →</w:t>
      </w:r>
      <w:r>
        <w:t xml:space="preserve"> </w:t>
      </w:r>
      <w:r>
        <w:rPr>
          <w:bCs/>
          <w:b/>
        </w:rPr>
        <w:t xml:space="preserve">60 %</w:t>
      </w:r>
      <w:r>
        <w:t xml:space="preserve"> </w:t>
      </w:r>
      <w:r>
        <w:t xml:space="preserve">du mix [1] [V] (trajectoire 49 % → 60 %).</w:t>
      </w:r>
    </w:p>
    <w:p>
      <w:pPr>
        <w:numPr>
          <w:ilvl w:val="0"/>
          <w:numId w:val="1408"/>
        </w:numPr>
        <w:pStyle w:val="Compact"/>
      </w:pPr>
      <w:r>
        <w:rPr>
          <w:bCs/>
          <w:b/>
        </w:rPr>
        <w:t xml:space="preserve">Capacité</w:t>
      </w:r>
      <w:r>
        <w:t xml:space="preserve"> </w:t>
      </w:r>
      <w:r>
        <w:t xml:space="preserve">: 466 →</w:t>
      </w:r>
      <w:r>
        <w:t xml:space="preserve"> </w:t>
      </w:r>
      <w:r>
        <w:rPr>
          <w:bCs/>
          <w:b/>
        </w:rPr>
        <w:t xml:space="preserve">1 032,2 MW</w:t>
      </w:r>
      <w:r>
        <w:t xml:space="preserve"> </w:t>
      </w:r>
      <w:r>
        <w:t xml:space="preserve">(solaire 500 MW + BESS ; Nyabarongo II 43,5 MW ; Rukarara VI 9,7 MW ; Rusizi III/IV régionales ; méthane 185 MW et nucléaire 110 MW « en construction » d’ici 2030 ; réactivation de la tourbe : Gishoma 15 MW, Hakan + 50 MW) [1] [V].</w:t>
      </w:r>
    </w:p>
    <w:p>
      <w:pPr>
        <w:numPr>
          <w:ilvl w:val="0"/>
          <w:numId w:val="1408"/>
        </w:numPr>
        <w:pStyle w:val="Compact"/>
      </w:pPr>
      <w:r>
        <w:rPr>
          <w:bCs/>
          <w:b/>
        </w:rPr>
        <w:t xml:space="preserve">Cuisson propre</w:t>
      </w:r>
      <w:r>
        <w:t xml:space="preserve"> </w:t>
      </w:r>
      <w:r>
        <w:t xml:space="preserve">: 5,6 % →</w:t>
      </w:r>
      <w:r>
        <w:t xml:space="preserve"> </w:t>
      </w:r>
      <w:r>
        <w:rPr>
          <w:bCs/>
          <w:b/>
        </w:rPr>
        <w:t xml:space="preserve">31 %</w:t>
      </w:r>
      <w:r>
        <w:t xml:space="preserve"> </w:t>
      </w:r>
      <w:r>
        <w:t xml:space="preserve">(déclaration) ; tableau pilier 3 : 39 % (GPL, gaz, électricité) ; foyers améliorés 34 % → 61 % [1] [V].</w:t>
      </w:r>
    </w:p>
    <w:p>
      <w:pPr>
        <w:numPr>
          <w:ilvl w:val="0"/>
          <w:numId w:val="1408"/>
        </w:numPr>
        <w:pStyle w:val="Compact"/>
      </w:pPr>
      <w:r>
        <w:rPr>
          <w:bCs/>
          <w:b/>
        </w:rPr>
        <w:t xml:space="preserve">Capitaux privés</w:t>
      </w:r>
      <w:r>
        <w:t xml:space="preserve"> </w:t>
      </w:r>
      <w:r>
        <w:t xml:space="preserve">: 0,2 Md USD (ou ≈ 0,1 Md selon pilier 4) →</w:t>
      </w:r>
      <w:r>
        <w:t xml:space="preserve"> </w:t>
      </w:r>
      <w:r>
        <w:rPr>
          <w:bCs/>
          <w:b/>
        </w:rPr>
        <w:t xml:space="preserve">1 Md USD</w:t>
      </w:r>
      <w:r>
        <w:t xml:space="preserve"> </w:t>
      </w:r>
      <w:r>
        <w:t xml:space="preserve">[1] [V].</w:t>
      </w:r>
    </w:p>
    <w:p>
      <w:pPr>
        <w:numPr>
          <w:ilvl w:val="0"/>
          <w:numId w:val="1408"/>
        </w:numPr>
        <w:pStyle w:val="Compact"/>
      </w:pPr>
      <w:r>
        <w:rPr>
          <w:bCs/>
          <w:b/>
        </w:rPr>
        <w:t xml:space="preserve">Autres</w:t>
      </w:r>
      <w:r>
        <w:t xml:space="preserve"> </w:t>
      </w:r>
      <w:r>
        <w:t xml:space="preserve">: pertes 16,1 % → 14,2 % ; SAIFI → 18,3 ; SAIDI → 12 h ; échanges régionaux 100 → 200 MW ;</w:t>
      </w:r>
      <w:r>
        <w:t xml:space="preserve"> </w:t>
      </w:r>
      <w:r>
        <w:rPr>
          <w:bCs/>
          <w:b/>
        </w:rPr>
        <w:t xml:space="preserve">subventions au secteur ≤ 5 %</w:t>
      </w:r>
      <w:r>
        <w:t xml:space="preserve"> </w:t>
      </w:r>
      <w:r>
        <w:t xml:space="preserve">(indicateur d’autosuffisance financière) [1] [V].</w:t>
      </w:r>
    </w:p>
    <w:bookmarkEnd w:id="426"/>
    <w:bookmarkStart w:id="428" w:name="réformes-promises-cœur-de-lanalyse-21"/>
    <w:p>
      <w:pPr>
        <w:pStyle w:val="Heading3"/>
      </w:pPr>
      <w:r>
        <w:t xml:space="preserve">3. Réformes promises (cœur de l’analyse)</w:t>
      </w:r>
    </w:p>
    <w:bookmarkStart w:id="427" w:name="tarifs-et-subventions-26"/>
    <w:p>
      <w:pPr>
        <w:pStyle w:val="Heading4"/>
      </w:pPr>
      <w:r>
        <w:t xml:space="preserve">3.1 Tarifs et subventions</w:t>
      </w:r>
    </w:p>
    <w:p>
      <w:pPr>
        <w:numPr>
          <w:ilvl w:val="0"/>
          <w:numId w:val="1409"/>
        </w:numPr>
        <w:pStyle w:val="Compact"/>
      </w:pPr>
      <w:r>
        <w:rPr>
          <w:bCs/>
          <w:b/>
        </w:rPr>
        <w:t xml:space="preserve">Hausse tarifaire d’octobre 2025</w:t>
      </w:r>
      <w:r>
        <w:t xml:space="preserve"> </w:t>
      </w:r>
      <w:r>
        <w:t xml:space="preserve">(déjà réalisée) : bloc social (lifeline) étendu de</w:t>
      </w:r>
      <w:r>
        <w:t xml:space="preserve"> </w:t>
      </w:r>
      <w:r>
        <w:rPr>
          <w:bCs/>
          <w:b/>
        </w:rPr>
        <w:t xml:space="preserve">15 à 20 kWh/mois</w:t>
      </w:r>
      <w:r>
        <w:t xml:space="preserve"> </w:t>
      </w:r>
      <w:r>
        <w:t xml:space="preserve">pour tous les résidentiels ; hausses de</w:t>
      </w:r>
      <w:r>
        <w:t xml:space="preserve"> </w:t>
      </w:r>
      <w:r>
        <w:rPr>
          <w:bCs/>
          <w:b/>
        </w:rPr>
        <w:t xml:space="preserve">45 % (résidentiel), 61 % (commercial), 17 à 31 % (industriel)</w:t>
      </w:r>
      <w:r>
        <w:t xml:space="preserve"> </w:t>
      </w:r>
      <w:r>
        <w:t xml:space="preserve">; rapproche le secteur du recouvrement des coûts d’exploitation [1] [V].</w:t>
      </w:r>
    </w:p>
    <w:p>
      <w:pPr>
        <w:numPr>
          <w:ilvl w:val="0"/>
          <w:numId w:val="1409"/>
        </w:numPr>
        <w:pStyle w:val="Compact"/>
      </w:pPr>
      <w:r>
        <w:rPr>
          <w:bCs/>
          <w:b/>
        </w:rPr>
        <w:t xml:space="preserve">Méthodologie de revenu requis (RR) d’EUCL sous un régime tarifaire pluriannuel</w:t>
      </w:r>
      <w:r>
        <w:t xml:space="preserve">, adoptée par RURA d’ici</w:t>
      </w:r>
      <w:r>
        <w:t xml:space="preserve"> </w:t>
      </w:r>
      <w:r>
        <w:rPr>
          <w:bCs/>
          <w:b/>
        </w:rPr>
        <w:t xml:space="preserve">décembre 2027</w:t>
      </w:r>
      <w:r>
        <w:t xml:space="preserve"> </w:t>
      </w:r>
      <w:r>
        <w:t xml:space="preserve">; publication de la méthodologie d’ici 2029 [1] [V].</w:t>
      </w:r>
    </w:p>
    <w:p>
      <w:pPr>
        <w:numPr>
          <w:ilvl w:val="0"/>
          <w:numId w:val="1409"/>
        </w:numPr>
        <w:pStyle w:val="Compact"/>
      </w:pPr>
      <w:r>
        <w:rPr>
          <w:bCs/>
          <w:b/>
        </w:rPr>
        <w:t xml:space="preserve">Structure tarifaire</w:t>
      </w:r>
      <w:r>
        <w:t xml:space="preserve"> </w:t>
      </w:r>
      <w:r>
        <w:t xml:space="preserve">: charges fixes, de puissance et d’énergie pour toutes les catégories ; tarification de l’énergie réactive (bonus/pénalités) — d’ici 2029 [1] [V]. Tarifs horo-saisonniers (DSM) [1] [V].</w:t>
      </w:r>
    </w:p>
    <w:p>
      <w:pPr>
        <w:numPr>
          <w:ilvl w:val="0"/>
          <w:numId w:val="1409"/>
        </w:numPr>
        <w:pStyle w:val="Compact"/>
      </w:pPr>
      <w:r>
        <w:t xml:space="preserve">Études de coût de service et révisions tarifaires « graduelles » ; étude de feuille de route vers des tarifs reflétant les coûts (calendrier 2028/29) [1] [V].</w:t>
      </w:r>
    </w:p>
    <w:p>
      <w:pPr>
        <w:numPr>
          <w:ilvl w:val="0"/>
          <w:numId w:val="1409"/>
        </w:numPr>
        <w:pStyle w:val="Compact"/>
      </w:pPr>
      <w:r>
        <w:rPr>
          <w:bCs/>
          <w:b/>
        </w:rPr>
        <w:t xml:space="preserve">Indicateur</w:t>
      </w:r>
      <w:r>
        <w:t xml:space="preserve"> </w:t>
      </w:r>
      <w:r>
        <w:t xml:space="preserve">: subventions sectorielles ≤ 5 % en 2030 (base « réformes de 2014 », non chiffrée) [1] [V]. Les insuffisances tarifaires étaient historiquement comblées par des subventions publiques ; les revenus ne couvrent toujours pas OPEX + dette [1] [V].</w:t>
      </w:r>
    </w:p>
    <w:p>
      <w:pPr>
        <w:numPr>
          <w:ilvl w:val="0"/>
          <w:numId w:val="1409"/>
        </w:numPr>
        <w:pStyle w:val="Compact"/>
      </w:pPr>
      <w:r>
        <w:rPr>
          <w:bCs/>
          <w:b/>
        </w:rPr>
        <w:t xml:space="preserve">Coût de production</w:t>
      </w:r>
      <w:r>
        <w:t xml:space="preserve"> </w:t>
      </w:r>
      <w:r>
        <w:t xml:space="preserve">: 60 % des centrales privées ont des tarifs élevés et des conditions peu flexibles ;</w:t>
      </w:r>
      <w:r>
        <w:t xml:space="preserve"> </w:t>
      </w:r>
      <w:r>
        <w:rPr>
          <w:bCs/>
          <w:b/>
        </w:rPr>
        <w:t xml:space="preserve">refinancement d’IPP</w:t>
      </w:r>
      <w:r>
        <w:t xml:space="preserve"> </w:t>
      </w:r>
      <w:r>
        <w:t xml:space="preserve">(accroître la part de l’État) pour réduire le coût de production [1] [V].</w:t>
      </w:r>
    </w:p>
    <w:p>
      <w:pPr>
        <w:numPr>
          <w:ilvl w:val="0"/>
          <w:numId w:val="1409"/>
        </w:numPr>
        <w:pStyle w:val="Compact"/>
      </w:pPr>
      <w:r>
        <w:rPr>
          <w:bCs/>
          <w:b/>
        </w:rPr>
        <w:t xml:space="preserve">Politique de raccordement</w:t>
      </w:r>
      <w:r>
        <w:t xml:space="preserve"> </w:t>
      </w:r>
      <w:r>
        <w:t xml:space="preserve">(frais et subventions) à réviser d’ici 2028 pour lever la barrière d’abordabilité [1] [V]. Subventions cuisson propre : 140 M USD 2026-2030 (GPL 68,83 M ; charbon 67,32 M ; éthanol 20,72 M…) [1] [V].</w:t>
      </w:r>
      <w:r>
        <w:t xml:space="preserve"> </w:t>
      </w:r>
      <w:r>
        <w:t xml:space="preserve">#### 3.2 Opérateur</w:t>
      </w:r>
    </w:p>
    <w:p>
      <w:pPr>
        <w:numPr>
          <w:ilvl w:val="0"/>
          <w:numId w:val="1409"/>
        </w:numPr>
        <w:pStyle w:val="Compact"/>
      </w:pPr>
      <w:r>
        <w:rPr>
          <w:bCs/>
          <w:b/>
        </w:rPr>
        <w:t xml:space="preserve">AMI</w:t>
      </w:r>
      <w:r>
        <w:t xml:space="preserve"> </w:t>
      </w:r>
      <w:r>
        <w:t xml:space="preserve">pour tous les clients &gt; 100 kW de consommation mensuelle : 30 % (2027), 60 % (2029), 100 % (2030) ; 20 000 compteurs intelligents (6 M USD) ; SCADA-DMS opérationnel d’ici déc. 2026 (DMS à 76 %) [1] [V].</w:t>
      </w:r>
    </w:p>
    <w:p>
      <w:pPr>
        <w:numPr>
          <w:ilvl w:val="0"/>
          <w:numId w:val="1409"/>
        </w:numPr>
        <w:pStyle w:val="Compact"/>
      </w:pPr>
      <w:r>
        <w:t xml:space="preserve">Rétablissement de la</w:t>
      </w:r>
      <w:r>
        <w:t xml:space="preserve"> </w:t>
      </w:r>
      <w:r>
        <w:rPr>
          <w:bCs/>
          <w:b/>
        </w:rPr>
        <w:t xml:space="preserve">publication des indicateurs de performance</w:t>
      </w:r>
      <w:r>
        <w:t xml:space="preserve"> </w:t>
      </w:r>
      <w:r>
        <w:t xml:space="preserve">et statistiques trimestrielles d’ici 2027 [1] [V].</w:t>
      </w:r>
    </w:p>
    <w:p>
      <w:pPr>
        <w:numPr>
          <w:ilvl w:val="0"/>
          <w:numId w:val="1409"/>
        </w:numPr>
        <w:pStyle w:val="Compact"/>
      </w:pPr>
      <w:r>
        <w:t xml:space="preserve">Cartographie SIG des clients (2029) ; révision des contrats fournisseurs (2029) ; plan de fiabilité (2029) [1] [V].</w:t>
      </w:r>
    </w:p>
    <w:p>
      <w:pPr>
        <w:numPr>
          <w:ilvl w:val="0"/>
          <w:numId w:val="1409"/>
        </w:numPr>
        <w:pStyle w:val="Compact"/>
      </w:pPr>
      <w:r>
        <w:t xml:space="preserve">RURA : supervision en temps réel de la performance d’EUCL et</w:t>
      </w:r>
      <w:r>
        <w:t xml:space="preserve"> </w:t>
      </w:r>
      <w:r>
        <w:rPr>
          <w:bCs/>
          <w:b/>
        </w:rPr>
        <w:t xml:space="preserve">indemnisation des consommateurs</w:t>
      </w:r>
      <w:r>
        <w:t xml:space="preserve"> </w:t>
      </w:r>
      <w:r>
        <w:t xml:space="preserve">affectés [1] [V].</w:t>
      </w:r>
    </w:p>
    <w:p>
      <w:pPr>
        <w:numPr>
          <w:ilvl w:val="0"/>
          <w:numId w:val="1409"/>
        </w:numPr>
        <w:pStyle w:val="Compact"/>
      </w:pPr>
      <w:r>
        <w:t xml:space="preserve">Arriérés publics et privés, dettes héritées des réformes successives, connexions illégales mentionnés sans chiffres [1] [V].</w:t>
      </w:r>
      <w:r>
        <w:t xml:space="preserve"> </w:t>
      </w:r>
      <w:r>
        <w:t xml:space="preserve">#### 3.3 Régulation et gouvernance</w:t>
      </w:r>
    </w:p>
    <w:p>
      <w:pPr>
        <w:numPr>
          <w:ilvl w:val="0"/>
          <w:numId w:val="1409"/>
        </w:numPr>
        <w:pStyle w:val="Compact"/>
      </w:pPr>
      <w:r>
        <w:t xml:space="preserve">Planification « orientée développement » et mise à jour du LCPDP d’ici juin 2027 ; plan directeur transport 2027 ; NEP révisé à approuver (juillet 2026) [1] [V].</w:t>
      </w:r>
    </w:p>
    <w:p>
      <w:pPr>
        <w:numPr>
          <w:ilvl w:val="0"/>
          <w:numId w:val="1409"/>
        </w:numPr>
        <w:pStyle w:val="Compact"/>
      </w:pPr>
      <w:r>
        <w:t xml:space="preserve">CDMU rattachée au</w:t>
      </w:r>
      <w:r>
        <w:t xml:space="preserve"> </w:t>
      </w:r>
      <w:r>
        <w:rPr>
          <w:bCs/>
          <w:b/>
        </w:rPr>
        <w:t xml:space="preserve">Bureau du Premier ministre</w:t>
      </w:r>
      <w:r>
        <w:t xml:space="preserve">, comité de pilotage coprésidé par MININFRA et MINECOFIN [1] [V].</w:t>
      </w:r>
      <w:r>
        <w:t xml:space="preserve"> </w:t>
      </w:r>
      <w:r>
        <w:t xml:space="preserve">#### 3.4 Participation du privé</w:t>
      </w:r>
    </w:p>
    <w:p>
      <w:pPr>
        <w:numPr>
          <w:ilvl w:val="0"/>
          <w:numId w:val="1409"/>
        </w:numPr>
        <w:pStyle w:val="Compact"/>
      </w:pPr>
      <w:r>
        <w:t xml:space="preserve">Conseiller en transaction pour IPP solaire (juin 2026), passation de l’IPP (janv. 2027), 100 MW solaire Bugesera/Rwabusoro (2029) par appel d’offres [1] [V].</w:t>
      </w:r>
    </w:p>
    <w:p>
      <w:pPr>
        <w:numPr>
          <w:ilvl w:val="0"/>
          <w:numId w:val="1409"/>
        </w:numPr>
        <w:pStyle w:val="Compact"/>
      </w:pPr>
      <w:r>
        <w:t xml:space="preserve">Révision de la loi PPP (avec RDB) ; PPA standardisés (juin 2027) ; consultation de marché (déc. 2026) ; pipeline privé (juin 2027) [1] [V].</w:t>
      </w:r>
    </w:p>
    <w:p>
      <w:pPr>
        <w:numPr>
          <w:ilvl w:val="0"/>
          <w:numId w:val="1409"/>
        </w:numPr>
        <w:pStyle w:val="Compact"/>
      </w:pPr>
      <w:r>
        <w:t xml:space="preserve">Le pacte précise que ces mesures n’introduisent « pas de nouveaux engagements au-delà de ceux déjà identifiés » [1] [V].</w:t>
      </w:r>
      <w:r>
        <w:t xml:space="preserve"> </w:t>
      </w:r>
      <w:r>
        <w:t xml:space="preserve">#### 3.5 Intégration régionale</w:t>
      </w:r>
    </w:p>
    <w:p>
      <w:pPr>
        <w:numPr>
          <w:ilvl w:val="0"/>
          <w:numId w:val="1409"/>
        </w:numPr>
        <w:pStyle w:val="Compact"/>
      </w:pPr>
      <w:r>
        <w:t xml:space="preserve">Importation de 26 MW de Tanzanie (2027) puis 100 MW (2030), accord d’ici déc. 2026 ; participation au marché day-ahead de l’EAPP (2026) ; analyse d’options d’ici déc. 2028 ; interconnexions avec Ouganda, Tanzanie, Burundi, RDC (≈ 8 % de l’offre) [1] [V].</w:t>
      </w:r>
      <w:r>
        <w:t xml:space="preserve"> </w:t>
      </w:r>
      <w:r>
        <w:t xml:space="preserve">#### 3.6 Autres</w:t>
      </w:r>
    </w:p>
    <w:p>
      <w:pPr>
        <w:numPr>
          <w:ilvl w:val="0"/>
          <w:numId w:val="1409"/>
        </w:numPr>
        <w:pStyle w:val="Compact"/>
      </w:pPr>
      <w:r>
        <w:t xml:space="preserve">Cybersécurité OT, gouvernance des données (intégration avec Nida, Social Registry, Irembo) ; demande des centres de données/IA à anticiper [1] [V].</w:t>
      </w:r>
    </w:p>
    <w:bookmarkEnd w:id="427"/>
    <w:bookmarkEnd w:id="428"/>
    <w:bookmarkStart w:id="429" w:name="financement-26"/>
    <w:p>
      <w:pPr>
        <w:pStyle w:val="Heading3"/>
      </w:pPr>
      <w:r>
        <w:t xml:space="preserve">4. Financement</w:t>
      </w:r>
    </w:p>
    <w:p>
      <w:pPr>
        <w:numPr>
          <w:ilvl w:val="0"/>
          <w:numId w:val="1410"/>
        </w:numPr>
        <w:pStyle w:val="Compact"/>
      </w:pPr>
      <w:r>
        <w:rPr>
          <w:bCs/>
          <w:b/>
        </w:rPr>
        <w:t xml:space="preserve">Besoin 2026-2030</w:t>
      </w:r>
      <w:r>
        <w:t xml:space="preserve"> </w:t>
      </w:r>
      <w:r>
        <w:t xml:space="preserve">:</w:t>
      </w:r>
      <w:r>
        <w:t xml:space="preserve"> </w:t>
      </w:r>
      <w:r>
        <w:rPr>
          <w:bCs/>
          <w:b/>
        </w:rPr>
        <w:t xml:space="preserve">3 054,18 M USD</w:t>
      </w:r>
      <w:r>
        <w:t xml:space="preserve"> </w:t>
      </w:r>
      <w:r>
        <w:t xml:space="preserve">— public 2 131,9 M, privé 922,29 M [1] [V]. Par segment : production 1 105,36 ; transport 215,66 ; distribution 380,95 ; intégration régionale 197,65 ; électrification réseau 491,48 ; hors réseau 64 ; cuisson propre 545,14 ; viabilité de l’opérateur 54,08 (M USD) [1] [V].</w:t>
      </w:r>
    </w:p>
    <w:p>
      <w:pPr>
        <w:numPr>
          <w:ilvl w:val="0"/>
          <w:numId w:val="1410"/>
        </w:numPr>
        <w:pStyle w:val="Compact"/>
      </w:pPr>
      <w:r>
        <w:t xml:space="preserve">Partenaires cités dans les annexes (BM, BAD, AFD, BEI, AIIB, BADEA, OPEC Fund, KEXIM) : montants détaillés par projet non repris ici [?]. Engagements M300 nouveaux : [?].</w:t>
      </w:r>
    </w:p>
    <w:bookmarkEnd w:id="429"/>
    <w:bookmarkStart w:id="430" w:name="calendrier-et-suivi-26"/>
    <w:p>
      <w:pPr>
        <w:pStyle w:val="Heading3"/>
      </w:pPr>
      <w:r>
        <w:t xml:space="preserve">5. Calendrier et suivi</w:t>
      </w:r>
    </w:p>
    <w:p>
      <w:pPr>
        <w:numPr>
          <w:ilvl w:val="0"/>
          <w:numId w:val="1411"/>
        </w:numPr>
        <w:pStyle w:val="Compact"/>
      </w:pPr>
      <w:r>
        <w:t xml:space="preserve">Calendrier 2025/26 → 2029/30 (capacité, ENR, pertes, accès, cuisson) [1] [V]. Rapports trimestriels et annuels (MININFRA, REG, NISR) [1] [V].</w:t>
      </w:r>
    </w:p>
    <w:p>
      <w:pPr>
        <w:numPr>
          <w:ilvl w:val="0"/>
          <w:numId w:val="1411"/>
        </w:numPr>
        <w:pStyle w:val="Compact"/>
      </w:pPr>
      <w:r>
        <w:t xml:space="preserve">Pas encore de rapport d’avancement publié (pacte de juin 2026) [2] [V].</w:t>
      </w:r>
    </w:p>
    <w:bookmarkEnd w:id="430"/>
    <w:bookmarkStart w:id="431" w:name="lecture-critique-21"/>
    <w:p>
      <w:pPr>
        <w:pStyle w:val="Heading3"/>
      </w:pPr>
      <w:r>
        <w:t xml:space="preserve">6. Lecture critique</w:t>
      </w:r>
    </w:p>
    <w:p>
      <w:pPr>
        <w:numPr>
          <w:ilvl w:val="0"/>
          <w:numId w:val="1412"/>
        </w:numPr>
        <w:pStyle w:val="Compact"/>
      </w:pPr>
      <w:r>
        <w:rPr>
          <w:bCs/>
          <w:b/>
        </w:rPr>
        <w:t xml:space="preserve">Réalisme</w:t>
      </w:r>
      <w:r>
        <w:t xml:space="preserve"> </w:t>
      </w:r>
      <w:r>
        <w:t xml:space="preserve">: l’accès universel est crédible au vu du rythme passé (18 % → 84 % en 13 ans) [E]. La capacité (+ 566 MW en 5 ans, dont nucléaire et méthane) est plus fragile ; la relance de la</w:t>
      </w:r>
      <w:r>
        <w:t xml:space="preserve"> </w:t>
      </w:r>
      <w:r>
        <w:rPr>
          <w:bCs/>
          <w:b/>
        </w:rPr>
        <w:t xml:space="preserve">tourbe</w:t>
      </w:r>
      <w:r>
        <w:t xml:space="preserve"> </w:t>
      </w:r>
      <w:r>
        <w:t xml:space="preserve">contredit en partie l’objectif de verdissement (60 % ENR seulement) [E].</w:t>
      </w:r>
    </w:p>
    <w:p>
      <w:pPr>
        <w:numPr>
          <w:ilvl w:val="0"/>
          <w:numId w:val="1412"/>
        </w:numPr>
        <w:pStyle w:val="Compact"/>
      </w:pPr>
      <w:r>
        <w:rPr>
          <w:bCs/>
          <w:b/>
        </w:rPr>
        <w:t xml:space="preserve">Tarifs</w:t>
      </w:r>
      <w:r>
        <w:t xml:space="preserve"> </w:t>
      </w:r>
      <w:r>
        <w:t xml:space="preserve">: cas atypique — la</w:t>
      </w:r>
      <w:r>
        <w:t xml:space="preserve"> </w:t>
      </w:r>
      <w:r>
        <w:rPr>
          <w:bCs/>
          <w:b/>
        </w:rPr>
        <w:t xml:space="preserve">hausse a déjà eu lieu (oct. 2025)</w:t>
      </w:r>
      <w:r>
        <w:t xml:space="preserve"> </w:t>
      </w:r>
      <w:r>
        <w:t xml:space="preserve">avec un bloc social élargi ; les engagements restants (méthodologie RR pluriannuelle 2027, structure binôme 2029) sont datés et précis. La cible « subventions ≤ 5 % » est chiffrée mais sa base n’est pas donnée [E]. Le levier coût (refinancement d’IPP chers) est original et à suivre [E].</w:t>
      </w:r>
    </w:p>
    <w:p>
      <w:pPr>
        <w:numPr>
          <w:ilvl w:val="0"/>
          <w:numId w:val="1412"/>
        </w:numPr>
        <w:pStyle w:val="Compact"/>
      </w:pPr>
      <w:r>
        <w:rPr>
          <w:bCs/>
          <w:b/>
        </w:rPr>
        <w:t xml:space="preserve">Opérateur</w:t>
      </w:r>
      <w:r>
        <w:t xml:space="preserve"> </w:t>
      </w:r>
      <w:r>
        <w:t xml:space="preserve">: EUCL relativement performant (pertes 16 %), mais fiabilité en dégradation (SAIDI/SAIFI en hausse) et consommation très faible (16,6 kWh/mois) qui limite les recettes [E].</w:t>
      </w:r>
    </w:p>
    <w:p>
      <w:pPr>
        <w:numPr>
          <w:ilvl w:val="0"/>
          <w:numId w:val="1412"/>
        </w:numPr>
        <w:pStyle w:val="Compact"/>
      </w:pPr>
      <w:r>
        <w:rPr>
          <w:bCs/>
          <w:b/>
        </w:rPr>
        <w:t xml:space="preserve">Risques</w:t>
      </w:r>
      <w:r>
        <w:t xml:space="preserve"> </w:t>
      </w:r>
      <w:r>
        <w:t xml:space="preserve">: dette liée aux PPA en devises, capacité disponible &lt; pointe, dépendance aux importations, retards des projets méthane/tourbe [E].</w:t>
      </w:r>
    </w:p>
    <w:p>
      <w:pPr>
        <w:numPr>
          <w:ilvl w:val="0"/>
          <w:numId w:val="1412"/>
        </w:numPr>
        <w:pStyle w:val="Compact"/>
      </w:pPr>
      <w:r>
        <w:rPr>
          <w:bCs/>
          <w:b/>
        </w:rPr>
        <w:t xml:space="preserve">Phase 2</w:t>
      </w:r>
      <w:r>
        <w:t xml:space="preserve"> </w:t>
      </w:r>
      <w:r>
        <w:t xml:space="preserve">: comptes EUCL/REG, arriérés, coût des PPA.</w:t>
      </w:r>
      <w:r>
        <w:t xml:space="preserve"> </w:t>
      </w:r>
      <w:r>
        <w:rPr>
          <w:bCs/>
          <w:b/>
        </w:rPr>
        <w:t xml:space="preserve">Phase 3</w:t>
      </w:r>
      <w:r>
        <w:t xml:space="preserve"> </w:t>
      </w:r>
      <w:r>
        <w:t xml:space="preserve">: grille tarifaire d’oct. 2025, méthodologie RR 2027, impact du lifeline 20 kWh.</w:t>
      </w:r>
    </w:p>
    <w:bookmarkEnd w:id="431"/>
    <w:bookmarkStart w:id="432" w:name="inconnus-données-non-trouvées-26"/>
    <w:p>
      <w:pPr>
        <w:pStyle w:val="Heading3"/>
      </w:pPr>
      <w:r>
        <w:t xml:space="preserve">7. Inconnus / données non trouvées</w:t>
      </w:r>
    </w:p>
    <w:p>
      <w:pPr>
        <w:numPr>
          <w:ilvl w:val="0"/>
          <w:numId w:val="1413"/>
        </w:numPr>
        <w:pStyle w:val="Compact"/>
      </w:pPr>
      <w:r>
        <w:t xml:space="preserve">Tarif moyen (US c/kWh) et taux de couverture des coûts [?].</w:t>
      </w:r>
    </w:p>
    <w:p>
      <w:pPr>
        <w:numPr>
          <w:ilvl w:val="0"/>
          <w:numId w:val="1413"/>
        </w:numPr>
        <w:pStyle w:val="Compact"/>
      </w:pPr>
      <w:r>
        <w:t xml:space="preserve">Montant actuel des subventions publiques au secteur [?].</w:t>
      </w:r>
    </w:p>
    <w:p>
      <w:pPr>
        <w:numPr>
          <w:ilvl w:val="0"/>
          <w:numId w:val="1413"/>
        </w:numPr>
        <w:pStyle w:val="Compact"/>
      </w:pPr>
      <w:r>
        <w:t xml:space="preserve">Lieu/date précis de la signature (AEF, juin ou juillet 2026) [?] — à confirmer.</w:t>
      </w:r>
    </w:p>
    <w:p>
      <w:pPr>
        <w:numPr>
          <w:ilvl w:val="0"/>
          <w:numId w:val="1413"/>
        </w:numPr>
        <w:pStyle w:val="Compact"/>
      </w:pPr>
      <w:r>
        <w:t xml:space="preserve">Montants BM/BAD dans les annexes [?] (non extraits).</w:t>
      </w:r>
    </w:p>
    <w:bookmarkEnd w:id="432"/>
    <w:bookmarkStart w:id="433" w:name="sources-27"/>
    <w:p>
      <w:pPr>
        <w:pStyle w:val="Heading3"/>
      </w:pPr>
      <w:r>
        <w:t xml:space="preserve">Sources</w:t>
      </w:r>
    </w:p>
    <w:p>
      <w:pPr>
        <w:pStyle w:val="FirstParagraph"/>
      </w:pPr>
      <w:r>
        <w:t xml:space="preserve">[1] Gouvernement du Rwanda,</w:t>
      </w:r>
      <w:r>
        <w:t xml:space="preserve"> </w:t>
      </w:r>
      <w:r>
        <w:rPr>
          <w:iCs/>
          <w:i/>
        </w:rPr>
        <w:t xml:space="preserve">National Energy Compact for Republic of Rwanda</w:t>
      </w:r>
      <w:r>
        <w:t xml:space="preserve">, Mission 300, juin 2026. https://www.worldbank.org/content/dam/theworldbankgroupasset/document/2026/m300-energy-compacts/Rwanda-National-Energy-Compact-Mission-300.pdf (consulté le 18/10/2026)</w:t>
      </w:r>
      <w:r>
        <w:t xml:space="preserve"> </w:t>
      </w:r>
      <w:r>
        <w:t xml:space="preserve">[2] Banque mondiale, page « National Energy Compacts ». https://www.worldbank.org/ext/en/energizingafrica/national-energy-compacts (consultée le 18/10/2026)</w:t>
      </w:r>
      <w:r>
        <w:t xml:space="preserve"> </w:t>
      </w:r>
      <w:r>
        <w:t xml:space="preserve">[3] Banque mondiale, communiqué du 16/06/2026 (six pactes attendus à l’Africa Energy Forum). https://www.worldbank.org/en/news/press-release/2026/06/16/under-mission-300-a-new-way-of-doing-business-connects-over-50-million-people-to-electricity-across-africa</w:t>
      </w:r>
      <w:r>
        <w:t xml:space="preserve"> </w:t>
      </w:r>
      <w:r>
        <w:t xml:space="preserve">[4] Energy News Network (ENN Editorial Team), « Mission 300’s map fills in with six new compacts », 09/07/2026. https://energy-news-network.com/?p=17200</w:t>
      </w:r>
    </w:p>
    <w:p>
      <w:r>
        <w:br w:type="page"/>
      </w:r>
    </w:p>
    <w:bookmarkEnd w:id="433"/>
    <w:bookmarkEnd w:id="434"/>
    <w:bookmarkStart w:id="450" w:name="fiche-pacte-national-de-lénergie-sénégal"/>
    <w:p>
      <w:pPr>
        <w:pStyle w:val="Heading2"/>
      </w:pPr>
      <w:r>
        <w:t xml:space="preserve">Fiche pacte national de l’énergie — Sénégal</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435" w:name="métadonnées-27"/>
    <w:p>
      <w:pPr>
        <w:pStyle w:val="Heading3"/>
      </w:pPr>
      <w:r>
        <w:t xml:space="preserve">0. Métadonnées</w:t>
      </w:r>
    </w:p>
    <w:p>
      <w:pPr>
        <w:numPr>
          <w:ilvl w:val="0"/>
          <w:numId w:val="1414"/>
        </w:numPr>
        <w:pStyle w:val="Compact"/>
      </w:pPr>
      <w:r>
        <w:rPr>
          <w:bCs/>
          <w:b/>
        </w:rPr>
        <w:t xml:space="preserve">Cohorte / date de présentation</w:t>
      </w:r>
      <w:r>
        <w:t xml:space="preserve"> </w:t>
      </w:r>
      <w:r>
        <w:t xml:space="preserve">: janvier 2025, au Sommet africain de l’énergie de Dar es Salaam, dans la première cohorte de 12 pays [2] [V]. Le pacte mentionne « la signature du Pacte pour l’énergie en janvier 2025 » [1, p. 5] [V].</w:t>
      </w:r>
    </w:p>
    <w:p>
      <w:pPr>
        <w:numPr>
          <w:ilvl w:val="0"/>
          <w:numId w:val="1414"/>
        </w:numPr>
        <w:pStyle w:val="Compact"/>
      </w:pPr>
      <w:r>
        <w:rPr>
          <w:bCs/>
          <w:b/>
        </w:rPr>
        <w:t xml:space="preserve">Document consulté</w:t>
      </w:r>
      <w:r>
        <w:t xml:space="preserve"> </w:t>
      </w:r>
      <w:r>
        <w:t xml:space="preserve">: « Pacte national pour l’énergie de la République du Sénégal », en français, 31 pages, sans date sur la couverture (métadonnées du PDF : 24/01/2025) [1]. Également consulté : « Mission 300 Compact Progress Report — Senegal, Q1 2026 » (EN) [2].</w:t>
      </w:r>
    </w:p>
    <w:p>
      <w:pPr>
        <w:numPr>
          <w:ilvl w:val="0"/>
          <w:numId w:val="1414"/>
        </w:numPr>
        <w:pStyle w:val="Compact"/>
      </w:pPr>
      <w:r>
        <w:rPr>
          <w:bCs/>
          <w:b/>
        </w:rPr>
        <w:t xml:space="preserve">Accès au texte intégral</w:t>
      </w:r>
      <w:r>
        <w:t xml:space="preserve"> </w:t>
      </w:r>
      <w:r>
        <w:t xml:space="preserve">:</w:t>
      </w:r>
      <w:r>
        <w:t xml:space="preserve"> </w:t>
      </w:r>
      <w:r>
        <w:rPr>
          <w:bCs/>
          <w:b/>
        </w:rPr>
        <w:t xml:space="preserve">oui</w:t>
      </w:r>
      <w:r>
        <w:t xml:space="preserve">.</w:t>
      </w:r>
    </w:p>
    <w:p>
      <w:pPr>
        <w:numPr>
          <w:ilvl w:val="0"/>
          <w:numId w:val="1414"/>
        </w:numPr>
        <w:pStyle w:val="Compact"/>
      </w:pPr>
      <w:r>
        <w:rPr>
          <w:bCs/>
          <w:b/>
        </w:rPr>
        <w:t xml:space="preserve">Opérateur national</w:t>
      </w:r>
      <w:r>
        <w:t xml:space="preserve"> </w:t>
      </w:r>
      <w:r>
        <w:t xml:space="preserve">: SENELEC (Société nationale d’électricité du Sénégal) [1] [V]. Les IPP détiennent 65 % de la capacité installée et produisent 73 % de l’électricité [1, p. 16] [V]. En milieu rural, l’électrification passe par des concessionnaires CER (concessions d’électrification rurale) ; l’ASER (électrification rurale) et l’ANER (énergies renouvelables) sont les agences en charge [1, p. 13] [V].</w:t>
      </w:r>
    </w:p>
    <w:p>
      <w:pPr>
        <w:numPr>
          <w:ilvl w:val="0"/>
          <w:numId w:val="1414"/>
        </w:numPr>
        <w:pStyle w:val="Compact"/>
      </w:pPr>
      <w:r>
        <w:rPr>
          <w:bCs/>
          <w:b/>
        </w:rPr>
        <w:t xml:space="preserve">Régulateur</w:t>
      </w:r>
      <w:r>
        <w:t xml:space="preserve"> </w:t>
      </w:r>
      <w:r>
        <w:t xml:space="preserve">: CRSE (Commission de Régulation du Secteur de l’Énergie), créée par la loi n° 2021-32 [1, Ann. III] [V].</w:t>
      </w:r>
    </w:p>
    <w:bookmarkEnd w:id="435"/>
    <w:bookmarkStart w:id="436" w:name="situation-de-départ-selon-le-pacte-27"/>
    <w:p>
      <w:pPr>
        <w:pStyle w:val="Heading3"/>
      </w:pPr>
      <w:r>
        <w:t xml:space="preserve">1. Situation de départ (selon le pacte)</w:t>
      </w:r>
    </w:p>
    <w:p>
      <w:pPr>
        <w:numPr>
          <w:ilvl w:val="0"/>
          <w:numId w:val="1415"/>
        </w:numPr>
        <w:pStyle w:val="Compact"/>
      </w:pPr>
      <w:r>
        <w:rPr>
          <w:bCs/>
          <w:b/>
        </w:rPr>
        <w:t xml:space="preserve">Taux d’accès</w:t>
      </w:r>
      <w:r>
        <w:t xml:space="preserve"> </w:t>
      </w:r>
      <w:r>
        <w:t xml:space="preserve">:</w:t>
      </w:r>
      <w:r>
        <w:t xml:space="preserve"> </w:t>
      </w:r>
      <w:r>
        <w:rPr>
          <w:bCs/>
          <w:b/>
        </w:rPr>
        <w:t xml:space="preserve">84 % au niveau national (2023)</w:t>
      </w:r>
      <w:r>
        <w:t xml:space="preserve">, selon une estimation de la DEPSIE [1, p. 13] [V]. La note 9 donne aussi 80,95 % en données officielles, contre 68 % selon l’ODD 7. La note écrit « en 2033 », coquille probable pour 2023 [E].</w:t>
      </w:r>
    </w:p>
    <w:p>
      <w:pPr>
        <w:numPr>
          <w:ilvl w:val="1"/>
          <w:numId w:val="1416"/>
        </w:numPr>
        <w:pStyle w:val="Compact"/>
      </w:pPr>
      <w:r>
        <w:t xml:space="preserve">Urbain : 97,1 % (MEPM 2022) [V].</w:t>
      </w:r>
    </w:p>
    <w:p>
      <w:pPr>
        <w:numPr>
          <w:ilvl w:val="1"/>
          <w:numId w:val="1416"/>
        </w:numPr>
        <w:pStyle w:val="Compact"/>
      </w:pPr>
      <w:r>
        <w:t xml:space="preserve">Rural : 64,5 % (audit de juin 2023), contre 60,8 % selon le MEPM et 43,4 % selon l’ODD 7 [1, p. 13 et notes 11-12] [V].</w:t>
      </w:r>
    </w:p>
    <w:p>
      <w:pPr>
        <w:numPr>
          <w:ilvl w:val="1"/>
          <w:numId w:val="1416"/>
        </w:numPr>
        <w:pStyle w:val="Compact"/>
      </w:pPr>
      <w:r>
        <w:t xml:space="preserve">Écart social : 94,5 % d’accès dans le décile le plus riche, contre 17,4 % dans le décile le plus pauvre [1] [V].</w:t>
      </w:r>
    </w:p>
    <w:p>
      <w:pPr>
        <w:numPr>
          <w:ilvl w:val="0"/>
          <w:numId w:val="1415"/>
        </w:numPr>
        <w:pStyle w:val="Compact"/>
      </w:pPr>
      <w:r>
        <w:rPr>
          <w:bCs/>
          <w:b/>
        </w:rPr>
        <w:t xml:space="preserve">Population sans accès</w:t>
      </w:r>
      <w:r>
        <w:t xml:space="preserve"> </w:t>
      </w:r>
      <w:r>
        <w:t xml:space="preserve">:</w:t>
      </w:r>
      <w:r>
        <w:t xml:space="preserve"> </w:t>
      </w:r>
      <w:r>
        <w:rPr>
          <w:bCs/>
          <w:b/>
        </w:rPr>
        <w:t xml:space="preserve">2,8 millions de personnes</w:t>
      </w:r>
      <w:r>
        <w:t xml:space="preserve"> </w:t>
      </w:r>
      <w:r>
        <w:t xml:space="preserve">(MEPM 2023), contre 5,7 millions en 2022 selon l’ODD 7 [1, note 17] [V]. Environ 40 % des institutions publiques de base ne sont pas électrifiées [1] [V].</w:t>
      </w:r>
    </w:p>
    <w:p>
      <w:pPr>
        <w:numPr>
          <w:ilvl w:val="0"/>
          <w:numId w:val="1415"/>
        </w:numPr>
        <w:pStyle w:val="Compact"/>
      </w:pPr>
      <w:r>
        <w:rPr>
          <w:bCs/>
          <w:b/>
        </w:rPr>
        <w:t xml:space="preserve">Capacité installée et mix</w:t>
      </w:r>
      <w:r>
        <w:t xml:space="preserve"> </w:t>
      </w:r>
      <w:r>
        <w:t xml:space="preserve">:</w:t>
      </w:r>
    </w:p>
    <w:p>
      <w:pPr>
        <w:numPr>
          <w:ilvl w:val="1"/>
          <w:numId w:val="1417"/>
        </w:numPr>
        <w:pStyle w:val="Compact"/>
      </w:pPr>
      <w:r>
        <w:t xml:space="preserve">capacité de 1 903,81 MW, dont 70,95 % thermique et 29,05 % renouvelable [1, Ann. II] [V] ;</w:t>
      </w:r>
    </w:p>
    <w:p>
      <w:pPr>
        <w:numPr>
          <w:ilvl w:val="1"/>
          <w:numId w:val="1417"/>
        </w:numPr>
        <w:pStyle w:val="Compact"/>
      </w:pPr>
      <w:r>
        <w:t xml:space="preserve">part des EnR dans le mix : 29 % en 2024 [1, §2.1] [V] ;</w:t>
      </w:r>
    </w:p>
    <w:p>
      <w:pPr>
        <w:numPr>
          <w:ilvl w:val="1"/>
          <w:numId w:val="1417"/>
        </w:numPr>
        <w:pStyle w:val="Compact"/>
      </w:pPr>
      <w:r>
        <w:t xml:space="preserve">production annuelle « 6 895,37 MWh » : l’unité est probablement erronée (GWh) [1, Ann. II] [V pour la valeur, E pour l’unité] ;</w:t>
      </w:r>
    </w:p>
    <w:p>
      <w:pPr>
        <w:numPr>
          <w:ilvl w:val="1"/>
          <w:numId w:val="1417"/>
        </w:numPr>
        <w:pStyle w:val="Compact"/>
      </w:pPr>
      <w:r>
        <w:t xml:space="preserve">coût moyen du kWh : 71,27 FCFA, avec 76,7 FCFA pour le thermique, 56,32 pour le solaire, 72,7 pour l’éolien et 19,6 pour l’hydro [1, Ann. II] [V].</w:t>
      </w:r>
    </w:p>
    <w:p>
      <w:pPr>
        <w:numPr>
          <w:ilvl w:val="0"/>
          <w:numId w:val="1415"/>
        </w:numPr>
        <w:pStyle w:val="Compact"/>
      </w:pPr>
      <w:r>
        <w:rPr>
          <w:bCs/>
          <w:b/>
        </w:rPr>
        <w:t xml:space="preserve">Cuisson propre</w:t>
      </w:r>
      <w:r>
        <w:t xml:space="preserve"> </w:t>
      </w:r>
      <w:r>
        <w:t xml:space="preserve">: 32 % (2022) [1, Ann. II] [V]. Répartition des combustibles de cuisson : bois 45,2 %, GPL 34 %, charbon 18,7 %, électricité 0,1 % (EHCVM 2021) [1, p. 13] [V]. Le rapport d’avancement retient une base 2024 de</w:t>
      </w:r>
      <w:r>
        <w:t xml:space="preserve"> </w:t>
      </w:r>
      <w:r>
        <w:rPr>
          <w:bCs/>
          <w:b/>
        </w:rPr>
        <w:t xml:space="preserve">36,2 %</w:t>
      </w:r>
      <w:r>
        <w:t xml:space="preserve"> </w:t>
      </w:r>
      <w:r>
        <w:t xml:space="preserve">[2] [V].</w:t>
      </w:r>
    </w:p>
    <w:bookmarkEnd w:id="436"/>
    <w:bookmarkStart w:id="437" w:name="cibles-2030-26"/>
    <w:p>
      <w:pPr>
        <w:pStyle w:val="Heading3"/>
      </w:pPr>
      <w:r>
        <w:t xml:space="preserve">2. Cibles 2030</w:t>
      </w:r>
    </w:p>
    <w:p>
      <w:pPr>
        <w:numPr>
          <w:ilvl w:val="0"/>
          <w:numId w:val="1418"/>
        </w:numPr>
        <w:pStyle w:val="Compact"/>
      </w:pPr>
      <w:r>
        <w:rPr>
          <w:bCs/>
          <w:b/>
        </w:rPr>
        <w:t xml:space="preserve">Accès à l’électricité</w:t>
      </w:r>
      <w:r>
        <w:t xml:space="preserve"> </w:t>
      </w:r>
      <w:r>
        <w:t xml:space="preserve">:</w:t>
      </w:r>
      <w:r>
        <w:t xml:space="preserve"> </w:t>
      </w:r>
      <w:r>
        <w:rPr>
          <w:bCs/>
          <w:b/>
        </w:rPr>
        <w:t xml:space="preserve">100 % dès 2029</w:t>
      </w:r>
      <w:r>
        <w:t xml:space="preserve">, avec</w:t>
      </w:r>
      <w:r>
        <w:t xml:space="preserve"> </w:t>
      </w:r>
      <w:r>
        <w:rPr>
          <w:bCs/>
          <w:b/>
        </w:rPr>
        <w:t xml:space="preserve">6,6 millions de personnes supplémentaires</w:t>
      </w:r>
      <w:r>
        <w:t xml:space="preserve"> </w:t>
      </w:r>
      <w:r>
        <w:t xml:space="preserve">d’ici 2030 [1, p. 4] [V]. Répartition : 3,9 M via le réseau (59 %), 1,6 M via des mini-réseaux (23 %), 1,2 M via des kits solaires (18 %) [1, note 3] [V]. Le rapport d’avancement indique 6,7 M [2] [V], un écart à signaler.</w:t>
      </w:r>
    </w:p>
    <w:p>
      <w:pPr>
        <w:numPr>
          <w:ilvl w:val="0"/>
          <w:numId w:val="1418"/>
        </w:numPr>
        <w:pStyle w:val="Compact"/>
      </w:pPr>
      <w:r>
        <w:rPr>
          <w:bCs/>
          <w:b/>
        </w:rPr>
        <w:t xml:space="preserve">Énergies renouvelables</w:t>
      </w:r>
      <w:r>
        <w:t xml:space="preserve"> </w:t>
      </w:r>
      <w:r>
        <w:t xml:space="preserve">:</w:t>
      </w:r>
      <w:r>
        <w:t xml:space="preserve"> </w:t>
      </w:r>
      <w:r>
        <w:rPr>
          <w:bCs/>
          <w:b/>
        </w:rPr>
        <w:t xml:space="preserve">40 %</w:t>
      </w:r>
      <w:r>
        <w:t xml:space="preserve"> </w:t>
      </w:r>
      <w:r>
        <w:t xml:space="preserve">du mix de production en 2030 ; la capacité est multipliée par environ 1,7 [1, p. 4] [V]. L’objectif découle aussi de l’engagement JETP : 40 % « à partir de 2030 » [1, p. 14] [V].</w:t>
      </w:r>
    </w:p>
    <w:p>
      <w:pPr>
        <w:numPr>
          <w:ilvl w:val="0"/>
          <w:numId w:val="1418"/>
        </w:numPr>
        <w:pStyle w:val="Compact"/>
      </w:pPr>
      <w:r>
        <w:rPr>
          <w:bCs/>
          <w:b/>
        </w:rPr>
        <w:t xml:space="preserve">Cuisson propre</w:t>
      </w:r>
      <w:r>
        <w:t xml:space="preserve"> </w:t>
      </w:r>
      <w:r>
        <w:t xml:space="preserve">: « rythme de 11,3 % par an » contre 3,1 % aujourd’hui, soit</w:t>
      </w:r>
      <w:r>
        <w:t xml:space="preserve"> </w:t>
      </w:r>
      <w:r>
        <w:rPr>
          <w:bCs/>
          <w:b/>
        </w:rPr>
        <w:t xml:space="preserve">15,8 millions de personnes supplémentaires</w:t>
      </w:r>
      <w:r>
        <w:t xml:space="preserve"> </w:t>
      </w:r>
      <w:r>
        <w:t xml:space="preserve">[1, p. 4 et §2.1] [V]. Le rapport d’avancement traduit cette cible en</w:t>
      </w:r>
      <w:r>
        <w:t xml:space="preserve"> </w:t>
      </w:r>
      <w:r>
        <w:rPr>
          <w:bCs/>
          <w:b/>
        </w:rPr>
        <w:t xml:space="preserve">95 % de la population en 2030</w:t>
      </w:r>
      <w:r>
        <w:t xml:space="preserve"> </w:t>
      </w:r>
      <w:r>
        <w:t xml:space="preserve">[2] [V].</w:t>
      </w:r>
    </w:p>
    <w:p>
      <w:pPr>
        <w:numPr>
          <w:ilvl w:val="0"/>
          <w:numId w:val="1418"/>
        </w:numPr>
        <w:pStyle w:val="Compact"/>
      </w:pPr>
      <w:r>
        <w:rPr>
          <w:bCs/>
          <w:b/>
        </w:rPr>
        <w:t xml:space="preserve">Autres</w:t>
      </w:r>
      <w:r>
        <w:t xml:space="preserve"> </w:t>
      </w:r>
      <w:r>
        <w:t xml:space="preserve">:</w:t>
      </w:r>
    </w:p>
    <w:p>
      <w:pPr>
        <w:numPr>
          <w:ilvl w:val="1"/>
          <w:numId w:val="1419"/>
        </w:numPr>
        <w:pStyle w:val="Compact"/>
      </w:pPr>
      <w:r>
        <w:rPr>
          <w:bCs/>
          <w:b/>
        </w:rPr>
        <w:t xml:space="preserve">2,3 milliards USD</w:t>
      </w:r>
      <w:r>
        <w:t xml:space="preserve"> </w:t>
      </w:r>
      <w:r>
        <w:t xml:space="preserve">de capitaux privés additionnels, sur une base cumulée de 2,3 milliards USD en 2023 [1, §2.1] [V]. Le rapport d’avancement indique 2 394 M USD [2] [V].</w:t>
      </w:r>
    </w:p>
    <w:p>
      <w:pPr>
        <w:numPr>
          <w:ilvl w:val="1"/>
          <w:numId w:val="1419"/>
        </w:numPr>
        <w:pStyle w:val="Compact"/>
      </w:pPr>
      <w:r>
        <w:t xml:space="preserve">Population projetée à 21,5 M en 2030 [1, note 5] [V].</w:t>
      </w:r>
    </w:p>
    <w:bookmarkEnd w:id="437"/>
    <w:bookmarkStart w:id="444" w:name="réformes-promises-5"/>
    <w:p>
      <w:pPr>
        <w:pStyle w:val="Heading3"/>
      </w:pPr>
      <w:r>
        <w:t xml:space="preserve">3. Réformes promises</w:t>
      </w:r>
    </w:p>
    <w:bookmarkStart w:id="438" w:name="tarifs-et-subventions-27"/>
    <w:p>
      <w:pPr>
        <w:pStyle w:val="Heading4"/>
      </w:pPr>
      <w:r>
        <w:t xml:space="preserve">3.1 Tarifs et subventions</w:t>
      </w:r>
    </w:p>
    <w:p>
      <w:pPr>
        <w:numPr>
          <w:ilvl w:val="0"/>
          <w:numId w:val="1420"/>
        </w:numPr>
        <w:pStyle w:val="Compact"/>
      </w:pPr>
      <w:r>
        <w:t xml:space="preserve">Le pacte s’engage à mettre en œuvre la</w:t>
      </w:r>
      <w:r>
        <w:t xml:space="preserve"> </w:t>
      </w:r>
      <w:r>
        <w:rPr>
          <w:bCs/>
          <w:b/>
        </w:rPr>
        <w:t xml:space="preserve">« baisse de la subvention »</w:t>
      </w:r>
      <w:r>
        <w:t xml:space="preserve"> </w:t>
      </w:r>
      <w:r>
        <w:t xml:space="preserve">ainsi que des mesures d’efficacité et de réduction des coûts de production de la SENELEC</w:t>
      </w:r>
      <w:r>
        <w:t xml:space="preserve"> </w:t>
      </w:r>
      <w:r>
        <w:rPr>
          <w:bCs/>
          <w:b/>
        </w:rPr>
        <w:t xml:space="preserve">d’ici fin décembre 2025</w:t>
      </w:r>
      <w:r>
        <w:t xml:space="preserve"> </w:t>
      </w:r>
      <w:r>
        <w:t xml:space="preserve">[1, Pilier V, p. 5] [V].</w:t>
      </w:r>
    </w:p>
    <w:p>
      <w:pPr>
        <w:numPr>
          <w:ilvl w:val="0"/>
          <w:numId w:val="1420"/>
        </w:numPr>
        <w:pStyle w:val="Compact"/>
      </w:pPr>
      <w:r>
        <w:t xml:space="preserve">Réformes listées sans date précise [1, Plan d’action Pilier V] [V] :</w:t>
      </w:r>
    </w:p>
    <w:p>
      <w:pPr>
        <w:numPr>
          <w:ilvl w:val="1"/>
          <w:numId w:val="1421"/>
        </w:numPr>
        <w:pStyle w:val="Compact"/>
      </w:pPr>
      <w:r>
        <w:t xml:space="preserve">« suppression progressive des subventions à l’énergie et fixation d’objectifs de recouvrement des coûts » ;</w:t>
      </w:r>
    </w:p>
    <w:p>
      <w:pPr>
        <w:numPr>
          <w:ilvl w:val="1"/>
          <w:numId w:val="1421"/>
        </w:numPr>
        <w:pStyle w:val="Compact"/>
      </w:pPr>
      <w:r>
        <w:t xml:space="preserve">budgétisation annuelle des factures d’électricité de l’Administration ;</w:t>
      </w:r>
    </w:p>
    <w:p>
      <w:pPr>
        <w:numPr>
          <w:ilvl w:val="1"/>
          <w:numId w:val="1421"/>
        </w:numPr>
        <w:pStyle w:val="Compact"/>
      </w:pPr>
      <w:r>
        <w:rPr>
          <w:bCs/>
          <w:b/>
        </w:rPr>
        <w:t xml:space="preserve">cascade de trésorerie</w:t>
      </w:r>
      <w:r>
        <w:t xml:space="preserve"> </w:t>
      </w:r>
      <w:r>
        <w:t xml:space="preserve">liant les paiements de la SENELEC aux IPP, avec un calendrier de réduction des arriérés et de la dette à court terme.</w:t>
      </w:r>
      <w:r>
        <w:t xml:space="preserve"> </w:t>
      </w:r>
      <w:r>
        <w:t xml:space="preserve">Le pacte ajoute : « Tout ajustement tarifaire sera accompagné de mesures compensatoires pour les consommateurs vulnérables ». Deux études financées par la Banque mondiale servent à calibrer ces réformes.</w:t>
      </w:r>
    </w:p>
    <w:p>
      <w:pPr>
        <w:numPr>
          <w:ilvl w:val="0"/>
          <w:numId w:val="1420"/>
        </w:numPr>
        <w:pStyle w:val="Compact"/>
      </w:pPr>
      <w:r>
        <w:rPr>
          <w:bCs/>
          <w:b/>
        </w:rPr>
        <w:t xml:space="preserve">Diagnostic chiffré du pacte</w:t>
      </w:r>
      <w:r>
        <w:t xml:space="preserve"> </w:t>
      </w:r>
      <w:r>
        <w:t xml:space="preserve">:</w:t>
      </w:r>
    </w:p>
    <w:p>
      <w:pPr>
        <w:numPr>
          <w:ilvl w:val="1"/>
          <w:numId w:val="1422"/>
        </w:numPr>
        <w:pStyle w:val="Compact"/>
      </w:pPr>
      <w:r>
        <w:t xml:space="preserve">les ventes couvrent</w:t>
      </w:r>
      <w:r>
        <w:t xml:space="preserve"> </w:t>
      </w:r>
      <w:r>
        <w:rPr>
          <w:bCs/>
          <w:b/>
        </w:rPr>
        <w:t xml:space="preserve">72 %</w:t>
      </w:r>
      <w:r>
        <w:t xml:space="preserve"> </w:t>
      </w:r>
      <w:r>
        <w:t xml:space="preserve">des charges d’exploitation (moyenne 2021-2023, amortissements inclus) ;</w:t>
      </w:r>
    </w:p>
    <w:p>
      <w:pPr>
        <w:numPr>
          <w:ilvl w:val="1"/>
          <w:numId w:val="1422"/>
        </w:numPr>
        <w:pStyle w:val="Compact"/>
      </w:pPr>
      <w:r>
        <w:t xml:space="preserve">pour 2023-2028, la CRSE projette une couverture d’au plus 81 % (85 % hors amortissements) ;</w:t>
      </w:r>
    </w:p>
    <w:p>
      <w:pPr>
        <w:numPr>
          <w:ilvl w:val="1"/>
          <w:numId w:val="1422"/>
        </w:numPr>
        <w:pStyle w:val="Compact"/>
      </w:pPr>
      <w:r>
        <w:t xml:space="preserve">la CRSE conclut à un</w:t>
      </w:r>
      <w:r>
        <w:t xml:space="preserve"> </w:t>
      </w:r>
      <w:r>
        <w:rPr>
          <w:bCs/>
          <w:b/>
        </w:rPr>
        <w:t xml:space="preserve">besoin d’ajustement tarifaire de 34 % en moyenne</w:t>
      </w:r>
      <w:r>
        <w:t xml:space="preserve"> </w:t>
      </w:r>
      <w:r>
        <w:t xml:space="preserve">sur la période : d’abord une optimisation, puis un ajustement [1, p. 18] [V].</w:t>
      </w:r>
    </w:p>
    <w:p>
      <w:pPr>
        <w:numPr>
          <w:ilvl w:val="1"/>
          <w:numId w:val="1422"/>
        </w:numPr>
        <w:pStyle w:val="Compact"/>
      </w:pPr>
      <w:r>
        <w:t xml:space="preserve">La subvention représente</w:t>
      </w:r>
      <w:r>
        <w:t xml:space="preserve"> </w:t>
      </w:r>
      <w:r>
        <w:rPr>
          <w:bCs/>
          <w:b/>
        </w:rPr>
        <w:t xml:space="preserve">30 % du tarif</w:t>
      </w:r>
      <w:r>
        <w:t xml:space="preserve"> </w:t>
      </w:r>
      <w:r>
        <w:t xml:space="preserve">[1, Ann. II] [V].</w:t>
      </w:r>
    </w:p>
    <w:p>
      <w:pPr>
        <w:numPr>
          <w:ilvl w:val="1"/>
          <w:numId w:val="1422"/>
        </w:numPr>
        <w:pStyle w:val="Compact"/>
      </w:pPr>
      <w:r>
        <w:t xml:space="preserve">Mécanisme de compensation : l’État verse à la SENELEC la différence entre le revenu requis et le revenu tarifaire. Avec ce mécanisme, la SENELEC a dégagé plus de 35 Md FCFA de bénéfices sur 2021-2023, soit près de 4 % du chiffre d’affaires. Les retards de versement « menacent le secteur » [1, p. 18] [V].</w:t>
      </w:r>
    </w:p>
    <w:p>
      <w:pPr>
        <w:numPr>
          <w:ilvl w:val="0"/>
          <w:numId w:val="1420"/>
        </w:numPr>
        <w:pStyle w:val="Compact"/>
      </w:pPr>
      <w:r>
        <w:t xml:space="preserve">Électrification rurale : une harmonisation tarifaire nationale, avec péréquation vers les concessionnaires CER, est en place depuis 2018 [1, p. 16] [V].</w:t>
      </w:r>
    </w:p>
    <w:p>
      <w:pPr>
        <w:numPr>
          <w:ilvl w:val="0"/>
          <w:numId w:val="1420"/>
        </w:numPr>
        <w:pStyle w:val="Compact"/>
      </w:pPr>
      <w:r>
        <w:t xml:space="preserve">Butane subventionné à 55 % en 2023, sans péréquation nationale des prix [1, p. 16] [V].</w:t>
      </w:r>
    </w:p>
    <w:p>
      <w:pPr>
        <w:numPr>
          <w:ilvl w:val="0"/>
          <w:numId w:val="1420"/>
        </w:numPr>
        <w:pStyle w:val="Compact"/>
      </w:pPr>
      <w:r>
        <w:t xml:space="preserve">Autoproduction : un mécanisme de tarif de rachat du surplus doit compléter le décret 2023-286 [1, Plan d’action Pilier I] [V]. Statut « In progress – Minor delays » (échéance 31/03/2026) [2] [V].</w:t>
      </w:r>
    </w:p>
    <w:p>
      <w:pPr>
        <w:numPr>
          <w:ilvl w:val="0"/>
          <w:numId w:val="1420"/>
        </w:numPr>
        <w:pStyle w:val="Compact"/>
      </w:pPr>
      <w:r>
        <w:t xml:space="preserve">Tarif de transport (wheeling) et accès des tiers : la CRSE a lancé une consultation, avec un objectif fin T1 2025 [1] [V]. Statut</w:t>
      </w:r>
      <w:r>
        <w:t xml:space="preserve"> </w:t>
      </w:r>
      <w:r>
        <w:rPr>
          <w:bCs/>
          <w:b/>
        </w:rPr>
        <w:t xml:space="preserve">« Completed »</w:t>
      </w:r>
      <w:r>
        <w:t xml:space="preserve"> </w:t>
      </w:r>
      <w:r>
        <w:t xml:space="preserve">[2] [V].</w:t>
      </w:r>
    </w:p>
    <w:p>
      <w:pPr>
        <w:numPr>
          <w:ilvl w:val="0"/>
          <w:numId w:val="1420"/>
        </w:numPr>
        <w:pStyle w:val="Compact"/>
      </w:pPr>
      <w:r>
        <w:t xml:space="preserve">Le pacte ne donne</w:t>
      </w:r>
      <w:r>
        <w:t xml:space="preserve"> </w:t>
      </w:r>
      <w:r>
        <w:rPr>
          <w:bCs/>
          <w:b/>
        </w:rPr>
        <w:t xml:space="preserve">aucune trajectoire chiffrée</w:t>
      </w:r>
      <w:r>
        <w:t xml:space="preserve"> </w:t>
      </w:r>
      <w:r>
        <w:t xml:space="preserve">année par année ni de date d’atteinte du recouvrement total des coûts → [?].</w:t>
      </w:r>
    </w:p>
    <w:bookmarkEnd w:id="438"/>
    <w:bookmarkStart w:id="439" w:name="opérateur-5"/>
    <w:p>
      <w:pPr>
        <w:pStyle w:val="Heading4"/>
      </w:pPr>
      <w:r>
        <w:t xml:space="preserve">3.2 Opérateur</w:t>
      </w:r>
    </w:p>
    <w:p>
      <w:pPr>
        <w:numPr>
          <w:ilvl w:val="0"/>
          <w:numId w:val="1423"/>
        </w:numPr>
        <w:pStyle w:val="Compact"/>
      </w:pPr>
      <w:r>
        <w:t xml:space="preserve">Viabilité financière de la SENELEC : mesures d’efficacité opérationnelle et de réduction des charges, en particulier du coût de production, d’ici fin 2025 [1, p. 5] [V].</w:t>
      </w:r>
    </w:p>
    <w:p>
      <w:pPr>
        <w:numPr>
          <w:ilvl w:val="0"/>
          <w:numId w:val="1423"/>
        </w:numPr>
        <w:pStyle w:val="Compact"/>
      </w:pPr>
      <w:r>
        <w:rPr>
          <w:bCs/>
          <w:b/>
        </w:rPr>
        <w:t xml:space="preserve">Filialisation de la SENELEC</w:t>
      </w:r>
      <w:r>
        <w:t xml:space="preserve">, prévue par le Code de l’électricité de 2021 : un projet de loi a été préparé, avec une filiale Transport destinée à faciliter l’accès des tiers [1, p. 16] [V].</w:t>
      </w:r>
    </w:p>
    <w:p>
      <w:pPr>
        <w:numPr>
          <w:ilvl w:val="0"/>
          <w:numId w:val="1423"/>
        </w:numPr>
        <w:pStyle w:val="Compact"/>
      </w:pPr>
      <w:r>
        <w:t xml:space="preserve">Un contrat de performance SENELEC existe et a été audité : 260 149 nouveaux ménages raccordés en 2023 selon cet audit [1, note 15] [V]. Son contenu n’est pas détaillé.</w:t>
      </w:r>
    </w:p>
    <w:p>
      <w:pPr>
        <w:numPr>
          <w:ilvl w:val="0"/>
          <w:numId w:val="1423"/>
        </w:numPr>
        <w:pStyle w:val="Compact"/>
      </w:pPr>
      <w:r>
        <w:t xml:space="preserve">Rendement global :</w:t>
      </w:r>
      <w:r>
        <w:t xml:space="preserve"> </w:t>
      </w:r>
      <w:r>
        <w:rPr>
          <w:bCs/>
          <w:b/>
        </w:rPr>
        <w:t xml:space="preserve">81,7 % en 2023</w:t>
      </w:r>
      <w:r>
        <w:t xml:space="preserve"> </w:t>
      </w:r>
      <w:r>
        <w:t xml:space="preserve">[1, Ann. II] [V]. Les pertes ATC&amp;C ne sont pas renseignées [?].</w:t>
      </w:r>
    </w:p>
    <w:p>
      <w:pPr>
        <w:numPr>
          <w:ilvl w:val="0"/>
          <w:numId w:val="1423"/>
        </w:numPr>
        <w:pStyle w:val="Compact"/>
      </w:pPr>
      <w:r>
        <w:t xml:space="preserve">Compteurs à prépaiement : 1 563 912 en 2023, 1 703 568 en 2024 [1, Ann. II] [V].</w:t>
      </w:r>
    </w:p>
    <w:p>
      <w:pPr>
        <w:numPr>
          <w:ilvl w:val="0"/>
          <w:numId w:val="1423"/>
        </w:numPr>
        <w:pStyle w:val="Compact"/>
      </w:pPr>
      <w:r>
        <w:t xml:space="preserve">Dettes (2023) [1, Ann. II] [V] :</w:t>
      </w:r>
    </w:p>
    <w:p>
      <w:pPr>
        <w:numPr>
          <w:ilvl w:val="1"/>
          <w:numId w:val="1424"/>
        </w:numPr>
        <w:pStyle w:val="Compact"/>
      </w:pPr>
      <w:r>
        <w:t xml:space="preserve">envers les IPP : 78 922 999 883 FCFA ;</w:t>
      </w:r>
    </w:p>
    <w:p>
      <w:pPr>
        <w:numPr>
          <w:ilvl w:val="1"/>
          <w:numId w:val="1424"/>
        </w:numPr>
        <w:pStyle w:val="Compact"/>
      </w:pPr>
      <w:r>
        <w:t xml:space="preserve">envers l’État : 377 218 981 509 FCFA ;</w:t>
      </w:r>
    </w:p>
    <w:p>
      <w:pPr>
        <w:numPr>
          <w:ilvl w:val="1"/>
          <w:numId w:val="1424"/>
        </w:numPr>
        <w:pStyle w:val="Compact"/>
      </w:pPr>
      <w:r>
        <w:t xml:space="preserve">envers les autres fournisseurs : 204 549 081 599 FCFA.</w:t>
      </w:r>
      <w:r>
        <w:t xml:space="preserve"> </w:t>
      </w:r>
      <w:r>
        <w:t xml:space="preserve">Créances sur l’État : 91 040 276 101 FCFA [V].</w:t>
      </w:r>
    </w:p>
    <w:p>
      <w:pPr>
        <w:numPr>
          <w:ilvl w:val="0"/>
          <w:numId w:val="1423"/>
        </w:numPr>
        <w:pStyle w:val="Compact"/>
      </w:pPr>
      <w:r>
        <w:t xml:space="preserve">Actions ajoutées par la CDMU (cellule nationale de suivi du pacte) au pilier V, absentes du pacte initial [2] [V] :</w:t>
      </w:r>
    </w:p>
    <w:p>
      <w:pPr>
        <w:numPr>
          <w:ilvl w:val="1"/>
          <w:numId w:val="1425"/>
        </w:numPr>
        <w:pStyle w:val="Compact"/>
      </w:pPr>
      <w:r>
        <w:t xml:space="preserve">plan d’amélioration de la performance de la SENELEC fondé sur l’étude Nodalis (échéance 31/12/2030) ;</w:t>
      </w:r>
    </w:p>
    <w:p>
      <w:pPr>
        <w:numPr>
          <w:ilvl w:val="1"/>
          <w:numId w:val="1425"/>
        </w:numPr>
        <w:pStyle w:val="Compact"/>
      </w:pPr>
      <w:r>
        <w:t xml:space="preserve">stratégie de digitalisation de la SENELEC.</w:t>
      </w:r>
    </w:p>
    <w:p>
      <w:pPr>
        <w:numPr>
          <w:ilvl w:val="0"/>
          <w:numId w:val="1423"/>
        </w:numPr>
        <w:pStyle w:val="Compact"/>
      </w:pPr>
      <w:r>
        <w:t xml:space="preserve">Aide au préfinancement des frais de raccordement pour les ménages vulnérables (T1 2026). Elle doit aussi réduire les pertes non techniques et le partage de compteurs [1, p. 4 et Pilier V] [V].</w:t>
      </w:r>
    </w:p>
    <w:bookmarkEnd w:id="439"/>
    <w:bookmarkStart w:id="440" w:name="régulation-et-gouvernance-17"/>
    <w:p>
      <w:pPr>
        <w:pStyle w:val="Heading4"/>
      </w:pPr>
      <w:r>
        <w:t xml:space="preserve">3.3 Régulation et gouvernance</w:t>
      </w:r>
    </w:p>
    <w:p>
      <w:pPr>
        <w:numPr>
          <w:ilvl w:val="0"/>
          <w:numId w:val="1426"/>
        </w:numPr>
        <w:pStyle w:val="Compact"/>
      </w:pPr>
      <w:r>
        <w:rPr>
          <w:bCs/>
          <w:b/>
        </w:rPr>
        <w:t xml:space="preserve">Plan Intégré à Moindre Coût (PIMC)</w:t>
      </w:r>
      <w:r>
        <w:t xml:space="preserve"> </w:t>
      </w:r>
      <w:r>
        <w:t xml:space="preserve">prévu pour le 30 juin 2025 [1, p. 4] [V]. Le décret d’élaboration a été signé le 05/09/2024 et l’arrêté créant les comités le 27/12/2024 [1, Plan d’action] [V]. Statut</w:t>
      </w:r>
      <w:r>
        <w:t xml:space="preserve"> </w:t>
      </w:r>
      <w:r>
        <w:rPr>
          <w:bCs/>
          <w:b/>
        </w:rPr>
        <w:t xml:space="preserve">« Delayed »</w:t>
      </w:r>
      <w:r>
        <w:t xml:space="preserve"> </w:t>
      </w:r>
      <w:r>
        <w:t xml:space="preserve">[2] [V].</w:t>
      </w:r>
    </w:p>
    <w:p>
      <w:pPr>
        <w:numPr>
          <w:ilvl w:val="0"/>
          <w:numId w:val="1426"/>
        </w:numPr>
        <w:pStyle w:val="Compact"/>
      </w:pPr>
      <w:r>
        <w:t xml:space="preserve">Encadrement de l’entente directe et des offres spontanées (décret 2023-444) ; digitalisation des passations de marché avant janvier 2026 [1] [V]. Le pacte reconnaît que la règle imposant un appel d’offres pour les offres d’initiative privée hors PIMC « n’est pas appliquée pour la plupart des projets » [1] [V].</w:t>
      </w:r>
    </w:p>
    <w:p>
      <w:pPr>
        <w:numPr>
          <w:ilvl w:val="0"/>
          <w:numId w:val="1426"/>
        </w:numPr>
        <w:pStyle w:val="Compact"/>
      </w:pPr>
      <w:r>
        <w:t xml:space="preserve">Stratégie nationale d’électrification et plan quinquennal à mettre à jour d’ici juin 2025 [1, p. 4] [V]. Statut</w:t>
      </w:r>
      <w:r>
        <w:t xml:space="preserve"> </w:t>
      </w:r>
      <w:r>
        <w:rPr>
          <w:bCs/>
          <w:b/>
        </w:rPr>
        <w:t xml:space="preserve">« Delayed »</w:t>
      </w:r>
      <w:r>
        <w:t xml:space="preserve"> </w:t>
      </w:r>
      <w:r>
        <w:t xml:space="preserve">[2] [V].</w:t>
      </w:r>
    </w:p>
    <w:p>
      <w:pPr>
        <w:numPr>
          <w:ilvl w:val="0"/>
          <w:numId w:val="1426"/>
        </w:numPr>
        <w:pStyle w:val="Compact"/>
      </w:pPr>
      <w:r>
        <w:t xml:space="preserve">Nouvelle LPDSE 2024-2028 attendue au T1 2025 [1, p. 13] [V].</w:t>
      </w:r>
    </w:p>
    <w:p>
      <w:pPr>
        <w:numPr>
          <w:ilvl w:val="0"/>
          <w:numId w:val="1426"/>
        </w:numPr>
        <w:pStyle w:val="Compact"/>
      </w:pPr>
      <w:r>
        <w:t xml:space="preserve">Suivi : un système de suivi des raccordements en temps réel d’ici juin 2025, étendu à la cuisson propre en 2026 ; des enquêtes MTF [1] [V].</w:t>
      </w:r>
    </w:p>
    <w:bookmarkEnd w:id="440"/>
    <w:bookmarkStart w:id="441" w:name="participation-du-privé-5"/>
    <w:p>
      <w:pPr>
        <w:pStyle w:val="Heading4"/>
      </w:pPr>
      <w:r>
        <w:t xml:space="preserve">3.4 Participation du privé</w:t>
      </w:r>
    </w:p>
    <w:p>
      <w:pPr>
        <w:numPr>
          <w:ilvl w:val="0"/>
          <w:numId w:val="1427"/>
        </w:numPr>
        <w:pStyle w:val="Compact"/>
      </w:pPr>
      <w:r>
        <w:t xml:space="preserve">Appels d’offres compétitifs systématiques à partir de 2025 [1, p. 4] [V].</w:t>
      </w:r>
    </w:p>
    <w:p>
      <w:pPr>
        <w:numPr>
          <w:ilvl w:val="0"/>
          <w:numId w:val="1427"/>
        </w:numPr>
        <w:pStyle w:val="Compact"/>
      </w:pPr>
      <w:r>
        <w:t xml:space="preserve">Approche « en cascade » pour le financement : d’abord le privé, puis le financement mixte, enfin le public [1] [V].</w:t>
      </w:r>
    </w:p>
    <w:p>
      <w:pPr>
        <w:numPr>
          <w:ilvl w:val="0"/>
          <w:numId w:val="1427"/>
        </w:numPr>
        <w:pStyle w:val="Compact"/>
      </w:pPr>
      <w:r>
        <w:t xml:space="preserve">Guichet unique pour le secteur privé d’ici juillet 2025 [1] [V].</w:t>
      </w:r>
    </w:p>
    <w:p>
      <w:pPr>
        <w:numPr>
          <w:ilvl w:val="0"/>
          <w:numId w:val="1427"/>
        </w:numPr>
        <w:pStyle w:val="Compact"/>
      </w:pPr>
      <w:r>
        <w:t xml:space="preserve">Régime CER : résultats d’une étude réglementaire attendus en juin 2025 ; processus d’approbation des mini-réseaux (licences, tarifs, intégration) en août 2025 [1, p. 5] [V]. Cadre mini-réseaux, tarifs compris :</w:t>
      </w:r>
      <w:r>
        <w:t xml:space="preserve"> </w:t>
      </w:r>
      <w:r>
        <w:rPr>
          <w:bCs/>
          <w:b/>
        </w:rPr>
        <w:t xml:space="preserve">« Completed »</w:t>
      </w:r>
      <w:r>
        <w:t xml:space="preserve"> </w:t>
      </w:r>
      <w:r>
        <w:t xml:space="preserve">[2] [V].</w:t>
      </w:r>
    </w:p>
    <w:p>
      <w:pPr>
        <w:numPr>
          <w:ilvl w:val="0"/>
          <w:numId w:val="1427"/>
        </w:numPr>
        <w:pStyle w:val="Compact"/>
      </w:pPr>
      <w:r>
        <w:t xml:space="preserve">Mécanisme de subvention et de financement pour l’énergie renouvelable décentralisée (EnRD) d’ici le T1 2026 [1, p. 5] [V].</w:t>
      </w:r>
    </w:p>
    <w:p>
      <w:pPr>
        <w:numPr>
          <w:ilvl w:val="0"/>
          <w:numId w:val="1427"/>
        </w:numPr>
        <w:pStyle w:val="Compact"/>
      </w:pPr>
      <w:r>
        <w:t xml:space="preserve">Exonération fiscale pour les équipements d’électrification rurale renouvelable ; minima techniques pour le hors-réseau d’ici octobre 2025 [1, p. 5] [V].</w:t>
      </w:r>
    </w:p>
    <w:p>
      <w:pPr>
        <w:numPr>
          <w:ilvl w:val="0"/>
          <w:numId w:val="1427"/>
        </w:numPr>
        <w:pStyle w:val="Compact"/>
      </w:pPr>
      <w:r>
        <w:t xml:space="preserve">Référence Scaling Solar : 60 MWc à moins de 4 cents USD/kWh [1, note 21] [V].</w:t>
      </w:r>
    </w:p>
    <w:bookmarkEnd w:id="441"/>
    <w:bookmarkStart w:id="442" w:name="intégration-régionale-5"/>
    <w:p>
      <w:pPr>
        <w:pStyle w:val="Heading4"/>
      </w:pPr>
      <w:r>
        <w:t xml:space="preserve">3.5 Intégration régionale</w:t>
      </w:r>
    </w:p>
    <w:p>
      <w:pPr>
        <w:numPr>
          <w:ilvl w:val="0"/>
          <w:numId w:val="1428"/>
        </w:numPr>
        <w:pStyle w:val="Compact"/>
      </w:pPr>
      <w:r>
        <w:t xml:space="preserve">Signature de l’accord inter-opérateurs et adoption de la méthodologie APM pour les tarifs de transport de l’EEEOA (pool énergétique ouest-africain) en 2025 [1, p. 4] [V]. Statut : « In progress – Minor delays », échéance TBC [2] [V].</w:t>
      </w:r>
    </w:p>
    <w:p>
      <w:pPr>
        <w:numPr>
          <w:ilvl w:val="0"/>
          <w:numId w:val="1428"/>
        </w:numPr>
        <w:pStyle w:val="Compact"/>
      </w:pPr>
      <w:r>
        <w:t xml:space="preserve">Interconnexions OMVS/OMVG : 1 339,20 km en 225 kV, 327 MW/MVA [1, Ann. II] [V]. Échanges bilatéraux : 762 343 MWh en 2023, 1 329 901 MWh en 2024 [1, Ann. II] [V].</w:t>
      </w:r>
    </w:p>
    <w:bookmarkEnd w:id="442"/>
    <w:bookmarkStart w:id="443" w:name="autres-5"/>
    <w:p>
      <w:pPr>
        <w:pStyle w:val="Heading4"/>
      </w:pPr>
      <w:r>
        <w:t xml:space="preserve">3.6 Autres</w:t>
      </w:r>
    </w:p>
    <w:p>
      <w:pPr>
        <w:numPr>
          <w:ilvl w:val="0"/>
          <w:numId w:val="1429"/>
        </w:numPr>
        <w:pStyle w:val="Compact"/>
      </w:pPr>
      <w:r>
        <w:t xml:space="preserve">Infrastructures gazières : conversion des centrales HFO au gaz, FSRU (unités flottantes de regazéification) [1, p. 14-17] [V].</w:t>
      </w:r>
    </w:p>
    <w:p>
      <w:pPr>
        <w:numPr>
          <w:ilvl w:val="0"/>
          <w:numId w:val="1429"/>
        </w:numPr>
        <w:pStyle w:val="Compact"/>
      </w:pPr>
      <w:r>
        <w:t xml:space="preserve">Stratégie de cuisson propre au T1 2026 [1] [V]. Statut « In progress – Minor delays » (échéance 31/01/2026) [2] [V].</w:t>
      </w:r>
    </w:p>
    <w:p>
      <w:pPr>
        <w:numPr>
          <w:ilvl w:val="0"/>
          <w:numId w:val="1429"/>
        </w:numPr>
        <w:pStyle w:val="Compact"/>
      </w:pPr>
      <w:r>
        <w:t xml:space="preserve">Normes qualité : IEC/TS 62257-9-8 pour les kits, tests de foyers ISO au CERER [1] [V].</w:t>
      </w:r>
    </w:p>
    <w:p>
      <w:pPr>
        <w:numPr>
          <w:ilvl w:val="0"/>
          <w:numId w:val="1429"/>
        </w:numPr>
        <w:pStyle w:val="Compact"/>
      </w:pPr>
      <w:r>
        <w:t xml:space="preserve">Pas de clause de contenu local ni sur le foncier → [?].</w:t>
      </w:r>
    </w:p>
    <w:bookmarkEnd w:id="443"/>
    <w:bookmarkEnd w:id="444"/>
    <w:bookmarkStart w:id="445" w:name="financement-27"/>
    <w:p>
      <w:pPr>
        <w:pStyle w:val="Heading3"/>
      </w:pPr>
      <w:r>
        <w:t xml:space="preserve">4. Financement</w:t>
      </w:r>
    </w:p>
    <w:p>
      <w:pPr>
        <w:numPr>
          <w:ilvl w:val="0"/>
          <w:numId w:val="1430"/>
        </w:numPr>
      </w:pPr>
      <w:r>
        <w:rPr>
          <w:bCs/>
          <w:b/>
        </w:rPr>
        <w:t xml:space="preserve">Besoin total</w:t>
      </w:r>
      <w:r>
        <w:t xml:space="preserve"> </w:t>
      </w:r>
      <w:r>
        <w:t xml:space="preserve">:</w:t>
      </w:r>
      <w:r>
        <w:t xml:space="preserve"> </w:t>
      </w:r>
      <w:r>
        <w:rPr>
          <w:bCs/>
          <w:b/>
        </w:rPr>
        <w:t xml:space="preserve">6,3 milliards USD</w:t>
      </w:r>
      <w:r>
        <w:t xml:space="preserve"> </w:t>
      </w:r>
      <w:r>
        <w:t xml:space="preserve">(6 255 M USD au tableau), dont</w:t>
      </w:r>
      <w:r>
        <w:t xml:space="preserve"> </w:t>
      </w:r>
      <w:r>
        <w:rPr>
          <w:bCs/>
          <w:b/>
        </w:rPr>
        <w:t xml:space="preserve">4,6 milliards restant à financer</w:t>
      </w:r>
      <w:r>
        <w:t xml:space="preserve">. Ce chiffre n’inclut pas les ressources du JETP [1, p. 6] [V].</w:t>
      </w:r>
    </w:p>
    <w:p>
      <w:pPr>
        <w:numPr>
          <w:ilvl w:val="0"/>
          <w:numId w:val="1430"/>
        </w:numPr>
      </w:pPr>
      <w:r>
        <w:rPr>
          <w:bCs/>
          <w:b/>
        </w:rPr>
        <w:t xml:space="preserve">Répartition</w:t>
      </w:r>
      <w:r>
        <w:t xml:space="preserve"> </w:t>
      </w:r>
      <w:r>
        <w:t xml:space="preserve">: 3 926 M USD publics (63 %) et 2 330 M USD privés (37 %) [1, p. 6] [V]. Détail par poste [1, p. 6] [V] :</w:t>
      </w:r>
    </w:p>
    <w:tbl>
      <w:tblPr>
        <w:tblStyle w:val="Table"/>
        <w:tblW w:type="auto" w:w="0"/>
        <w:tblLook w:firstRow="1" w:lastRow="0" w:firstColumn="0" w:lastColumn="0" w:noHBand="0" w:noVBand="0" w:val="0020"/>
        <w:jc w:val="start"/>
        <w:tblInd w:w="720" w:type="dxa"/>
      </w:tblPr>
      <w:tblGrid>
        <w:gridCol w:w="6752"/>
        <w:gridCol w:w="3096"/>
        <w:gridCol w:w="2360"/>
        <w:gridCol w:w="2360"/>
      </w:tblGrid>
      <w:tr>
        <w:trPr>
          <w:tblHeader w:val="true"/>
        </w:trPr>
        <w:tc>
          <w:tcPr>
            <w:tcW w:w="6752" w:type="dxa"/>
          </w:tcPr>
          <w:tcPr/>
          <w:p>
            <w:pPr>
              <w:pStyle w:val="Compact"/>
              <w:jc w:val="left"/>
            </w:pPr>
            <w:r>
              <w:t xml:space="preserve">Poste</w:t>
            </w:r>
          </w:p>
        </w:tc>
        <w:tc>
          <w:tcPr>
            <w:tcW w:w="3096" w:type="dxa"/>
          </w:tcPr>
          <w:tcPr/>
          <w:p>
            <w:pPr>
              <w:pStyle w:val="Compact"/>
              <w:jc w:val="left"/>
            </w:pPr>
            <w:r>
              <w:t xml:space="preserve">Total (M USD)</w:t>
            </w:r>
          </w:p>
        </w:tc>
        <w:tc>
          <w:tcPr>
            <w:tcW w:w="2360" w:type="dxa"/>
          </w:tcPr>
          <w:tcPr/>
          <w:p>
            <w:pPr>
              <w:pStyle w:val="Compact"/>
              <w:jc w:val="left"/>
            </w:pPr>
            <w:r>
              <w:t xml:space="preserve">Public</w:t>
            </w:r>
          </w:p>
        </w:tc>
        <w:tc>
          <w:tcPr>
            <w:tcW w:w="2360" w:type="dxa"/>
          </w:tcPr>
          <w:tcPr/>
          <w:p>
            <w:pPr>
              <w:pStyle w:val="Compact"/>
              <w:jc w:val="left"/>
            </w:pPr>
            <w:r>
              <w:t xml:space="preserve">Privé</w:t>
            </w:r>
          </w:p>
        </w:tc>
      </w:tr>
      <w:tr>
        <w:tc>
          <w:tcPr>
            <w:tcW w:w="6752" w:type="dxa"/>
          </w:tcPr>
          <w:tcPr/>
          <w:p>
            <w:pPr>
              <w:pStyle w:val="Compact"/>
              <w:jc w:val="left"/>
            </w:pPr>
            <w:r>
              <w:t xml:space="preserve">Production</w:t>
            </w:r>
          </w:p>
        </w:tc>
        <w:tc>
          <w:tcPr>
            <w:tcW w:w="3096" w:type="dxa"/>
          </w:tcPr>
          <w:tcPr/>
          <w:p>
            <w:pPr>
              <w:pStyle w:val="Compact"/>
              <w:jc w:val="left"/>
            </w:pPr>
            <w:r>
              <w:t xml:space="preserve">3 294</w:t>
            </w:r>
          </w:p>
        </w:tc>
        <w:tc>
          <w:tcPr>
            <w:tcW w:w="2360" w:type="dxa"/>
          </w:tcPr>
          <w:tcPr/>
          <w:p>
            <w:pPr>
              <w:pStyle w:val="Compact"/>
              <w:jc w:val="left"/>
            </w:pPr>
            <w:r>
              <w:t xml:space="preserve">1 517</w:t>
            </w:r>
          </w:p>
        </w:tc>
        <w:tc>
          <w:tcPr>
            <w:tcW w:w="2360" w:type="dxa"/>
          </w:tcPr>
          <w:tcPr/>
          <w:p>
            <w:pPr>
              <w:pStyle w:val="Compact"/>
              <w:jc w:val="left"/>
            </w:pPr>
            <w:r>
              <w:t xml:space="preserve">1 777</w:t>
            </w:r>
          </w:p>
        </w:tc>
      </w:tr>
      <w:tr>
        <w:tc>
          <w:tcPr>
            <w:tcW w:w="6752" w:type="dxa"/>
          </w:tcPr>
          <w:tcPr/>
          <w:p>
            <w:pPr>
              <w:pStyle w:val="Compact"/>
              <w:jc w:val="left"/>
            </w:pPr>
            <w:r>
              <w:t xml:space="preserve">Réseaux</w:t>
            </w:r>
          </w:p>
        </w:tc>
        <w:tc>
          <w:tcPr>
            <w:tcW w:w="3096" w:type="dxa"/>
          </w:tcPr>
          <w:tcPr/>
          <w:p>
            <w:pPr>
              <w:pStyle w:val="Compact"/>
              <w:jc w:val="left"/>
            </w:pPr>
            <w:r>
              <w:t xml:space="preserve">1 718</w:t>
            </w:r>
          </w:p>
        </w:tc>
        <w:tc>
          <w:tcPr>
            <w:tcW w:w="2360" w:type="dxa"/>
          </w:tcPr>
          <w:tcPr/>
          <w:p>
            <w:pPr>
              <w:pStyle w:val="Compact"/>
            </w:pPr>
          </w:p>
        </w:tc>
        <w:tc>
          <w:tcPr>
            <w:tcW w:w="2360" w:type="dxa"/>
          </w:tcPr>
          <w:tcPr/>
          <w:p>
            <w:pPr>
              <w:pStyle w:val="Compact"/>
            </w:pPr>
          </w:p>
        </w:tc>
      </w:tr>
      <w:tr>
        <w:tc>
          <w:tcPr>
            <w:tcW w:w="6752" w:type="dxa"/>
          </w:tcPr>
          <w:tcPr/>
          <w:p>
            <w:pPr>
              <w:pStyle w:val="Compact"/>
              <w:jc w:val="left"/>
            </w:pPr>
            <w:r>
              <w:t xml:space="preserve">— dont transport</w:t>
            </w:r>
          </w:p>
        </w:tc>
        <w:tc>
          <w:tcPr>
            <w:tcW w:w="3096" w:type="dxa"/>
          </w:tcPr>
          <w:tcPr/>
          <w:p>
            <w:pPr>
              <w:pStyle w:val="Compact"/>
              <w:jc w:val="left"/>
            </w:pPr>
            <w:r>
              <w:t xml:space="preserve">166</w:t>
            </w:r>
          </w:p>
        </w:tc>
        <w:tc>
          <w:tcPr>
            <w:tcW w:w="2360" w:type="dxa"/>
          </w:tcPr>
          <w:tcPr/>
          <w:p>
            <w:pPr>
              <w:pStyle w:val="Compact"/>
            </w:pPr>
          </w:p>
        </w:tc>
        <w:tc>
          <w:tcPr>
            <w:tcW w:w="2360" w:type="dxa"/>
          </w:tcPr>
          <w:tcPr/>
          <w:p>
            <w:pPr>
              <w:pStyle w:val="Compact"/>
            </w:pPr>
          </w:p>
        </w:tc>
      </w:tr>
      <w:tr>
        <w:tc>
          <w:tcPr>
            <w:tcW w:w="6752" w:type="dxa"/>
          </w:tcPr>
          <w:tcPr/>
          <w:p>
            <w:pPr>
              <w:pStyle w:val="Compact"/>
              <w:jc w:val="left"/>
            </w:pPr>
            <w:r>
              <w:t xml:space="preserve">— dont HTA</w:t>
            </w:r>
          </w:p>
        </w:tc>
        <w:tc>
          <w:tcPr>
            <w:tcW w:w="3096" w:type="dxa"/>
          </w:tcPr>
          <w:tcPr/>
          <w:p>
            <w:pPr>
              <w:pStyle w:val="Compact"/>
              <w:jc w:val="left"/>
            </w:pPr>
            <w:r>
              <w:t xml:space="preserve">797</w:t>
            </w:r>
          </w:p>
        </w:tc>
        <w:tc>
          <w:tcPr>
            <w:tcW w:w="2360" w:type="dxa"/>
          </w:tcPr>
          <w:tcPr/>
          <w:p>
            <w:pPr>
              <w:pStyle w:val="Compact"/>
            </w:pPr>
          </w:p>
        </w:tc>
        <w:tc>
          <w:tcPr>
            <w:tcW w:w="2360" w:type="dxa"/>
          </w:tcPr>
          <w:tcPr/>
          <w:p>
            <w:pPr>
              <w:pStyle w:val="Compact"/>
            </w:pPr>
          </w:p>
        </w:tc>
      </w:tr>
      <w:tr>
        <w:tc>
          <w:tcPr>
            <w:tcW w:w="6752" w:type="dxa"/>
          </w:tcPr>
          <w:tcPr/>
          <w:p>
            <w:pPr>
              <w:pStyle w:val="Compact"/>
              <w:jc w:val="left"/>
            </w:pPr>
            <w:r>
              <w:t xml:space="preserve">— dont BT</w:t>
            </w:r>
          </w:p>
        </w:tc>
        <w:tc>
          <w:tcPr>
            <w:tcW w:w="3096" w:type="dxa"/>
          </w:tcPr>
          <w:tcPr/>
          <w:p>
            <w:pPr>
              <w:pStyle w:val="Compact"/>
              <w:jc w:val="left"/>
            </w:pPr>
            <w:r>
              <w:t xml:space="preserve">755</w:t>
            </w:r>
          </w:p>
        </w:tc>
        <w:tc>
          <w:tcPr>
            <w:tcW w:w="2360" w:type="dxa"/>
          </w:tcPr>
          <w:tcPr/>
          <w:p>
            <w:pPr>
              <w:pStyle w:val="Compact"/>
            </w:pPr>
          </w:p>
        </w:tc>
        <w:tc>
          <w:tcPr>
            <w:tcW w:w="2360" w:type="dxa"/>
          </w:tcPr>
          <w:tcPr/>
          <w:p>
            <w:pPr>
              <w:pStyle w:val="Compact"/>
            </w:pPr>
          </w:p>
        </w:tc>
      </w:tr>
      <w:tr>
        <w:tc>
          <w:tcPr>
            <w:tcW w:w="6752" w:type="dxa"/>
          </w:tcPr>
          <w:tcPr/>
          <w:p>
            <w:pPr>
              <w:pStyle w:val="Compact"/>
              <w:jc w:val="left"/>
            </w:pPr>
            <w:r>
              <w:t xml:space="preserve">Mini-réseaux</w:t>
            </w:r>
          </w:p>
        </w:tc>
        <w:tc>
          <w:tcPr>
            <w:tcW w:w="3096" w:type="dxa"/>
          </w:tcPr>
          <w:tcPr/>
          <w:p>
            <w:pPr>
              <w:pStyle w:val="Compact"/>
              <w:jc w:val="left"/>
            </w:pPr>
            <w:r>
              <w:t xml:space="preserve">443</w:t>
            </w:r>
          </w:p>
        </w:tc>
        <w:tc>
          <w:tcPr>
            <w:tcW w:w="2360" w:type="dxa"/>
          </w:tcPr>
          <w:tcPr/>
          <w:p>
            <w:pPr>
              <w:pStyle w:val="Compact"/>
              <w:jc w:val="left"/>
            </w:pPr>
            <w:r>
              <w:t xml:space="preserve">292</w:t>
            </w:r>
          </w:p>
        </w:tc>
        <w:tc>
          <w:tcPr>
            <w:tcW w:w="2360" w:type="dxa"/>
          </w:tcPr>
          <w:tcPr/>
          <w:p>
            <w:pPr>
              <w:pStyle w:val="Compact"/>
              <w:jc w:val="left"/>
            </w:pPr>
            <w:r>
              <w:t xml:space="preserve">151</w:t>
            </w:r>
          </w:p>
        </w:tc>
      </w:tr>
      <w:tr>
        <w:tc>
          <w:tcPr>
            <w:tcW w:w="6752" w:type="dxa"/>
          </w:tcPr>
          <w:tcPr/>
          <w:p>
            <w:pPr>
              <w:pStyle w:val="Compact"/>
              <w:jc w:val="left"/>
            </w:pPr>
            <w:r>
              <w:t xml:space="preserve">Kits solaires</w:t>
            </w:r>
          </w:p>
        </w:tc>
        <w:tc>
          <w:tcPr>
            <w:tcW w:w="3096" w:type="dxa"/>
          </w:tcPr>
          <w:tcPr/>
          <w:p>
            <w:pPr>
              <w:pStyle w:val="Compact"/>
              <w:jc w:val="left"/>
            </w:pPr>
            <w:r>
              <w:t xml:space="preserve">73</w:t>
            </w:r>
          </w:p>
        </w:tc>
        <w:tc>
          <w:tcPr>
            <w:tcW w:w="2360" w:type="dxa"/>
          </w:tcPr>
          <w:tcPr/>
          <w:p>
            <w:pPr>
              <w:pStyle w:val="Compact"/>
            </w:pPr>
          </w:p>
        </w:tc>
        <w:tc>
          <w:tcPr>
            <w:tcW w:w="2360" w:type="dxa"/>
          </w:tcPr>
          <w:tcPr/>
          <w:p>
            <w:pPr>
              <w:pStyle w:val="Compact"/>
            </w:pPr>
          </w:p>
        </w:tc>
      </w:tr>
      <w:tr>
        <w:tc>
          <w:tcPr>
            <w:tcW w:w="6752" w:type="dxa"/>
          </w:tcPr>
          <w:tcPr/>
          <w:p>
            <w:pPr>
              <w:pStyle w:val="Compact"/>
              <w:jc w:val="left"/>
            </w:pPr>
            <w:r>
              <w:t xml:space="preserve">Infrastructure gazière</w:t>
            </w:r>
          </w:p>
        </w:tc>
        <w:tc>
          <w:tcPr>
            <w:tcW w:w="3096" w:type="dxa"/>
          </w:tcPr>
          <w:tcPr/>
          <w:p>
            <w:pPr>
              <w:pStyle w:val="Compact"/>
              <w:jc w:val="left"/>
            </w:pPr>
            <w:r>
              <w:t xml:space="preserve">700</w:t>
            </w:r>
          </w:p>
        </w:tc>
        <w:tc>
          <w:tcPr>
            <w:tcW w:w="2360" w:type="dxa"/>
          </w:tcPr>
          <w:tcPr/>
          <w:p>
            <w:pPr>
              <w:pStyle w:val="Compact"/>
              <w:jc w:val="left"/>
            </w:pPr>
            <w:r>
              <w:t xml:space="preserve">400</w:t>
            </w:r>
          </w:p>
        </w:tc>
        <w:tc>
          <w:tcPr>
            <w:tcW w:w="2360" w:type="dxa"/>
          </w:tcPr>
          <w:tcPr/>
          <w:p>
            <w:pPr>
              <w:pStyle w:val="Compact"/>
              <w:jc w:val="left"/>
            </w:pPr>
            <w:r>
              <w:t xml:space="preserve">300</w:t>
            </w:r>
          </w:p>
        </w:tc>
      </w:tr>
      <w:tr>
        <w:tc>
          <w:tcPr>
            <w:tcW w:w="6752" w:type="dxa"/>
          </w:tcPr>
          <w:tcPr/>
          <w:p>
            <w:pPr>
              <w:pStyle w:val="Compact"/>
              <w:jc w:val="left"/>
            </w:pPr>
            <w:r>
              <w:t xml:space="preserve">Réformes / capacités</w:t>
            </w:r>
          </w:p>
        </w:tc>
        <w:tc>
          <w:tcPr>
            <w:tcW w:w="3096" w:type="dxa"/>
          </w:tcPr>
          <w:tcPr/>
          <w:p>
            <w:pPr>
              <w:pStyle w:val="Compact"/>
              <w:jc w:val="left"/>
            </w:pPr>
            <w:r>
              <w:t xml:space="preserve">28</w:t>
            </w:r>
          </w:p>
        </w:tc>
        <w:tc>
          <w:tcPr>
            <w:tcW w:w="2360" w:type="dxa"/>
          </w:tcPr>
          <w:tcPr/>
          <w:p>
            <w:pPr>
              <w:pStyle w:val="Compact"/>
            </w:pPr>
          </w:p>
        </w:tc>
        <w:tc>
          <w:tcPr>
            <w:tcW w:w="2360" w:type="dxa"/>
          </w:tcPr>
          <w:tcPr/>
          <w:p>
            <w:pPr>
              <w:pStyle w:val="Compact"/>
            </w:pPr>
          </w:p>
        </w:tc>
      </w:tr>
    </w:tbl>
    <w:p>
      <w:pPr>
        <w:numPr>
          <w:ilvl w:val="0"/>
          <w:numId w:val="1430"/>
        </w:numPr>
      </w:pPr>
      <w:r>
        <w:rPr>
          <w:bCs/>
          <w:b/>
        </w:rPr>
        <w:t xml:space="preserve">Engagements cités</w:t>
      </w:r>
      <w:r>
        <w:t xml:space="preserve"> </w:t>
      </w:r>
      <w:r>
        <w:t xml:space="preserve">(annexe I ; l’extraction mélange certaines colonnes, les attributions sont à revérifier) :</w:t>
      </w:r>
    </w:p>
    <w:p>
      <w:pPr>
        <w:numPr>
          <w:ilvl w:val="1"/>
          <w:numId w:val="1431"/>
        </w:numPr>
        <w:pStyle w:val="Compact"/>
      </w:pPr>
      <w:r>
        <w:t xml:space="preserve">BAD : extension des réseaux de distribution hors Dakar, 76,3 M EUR [V] ;</w:t>
      </w:r>
    </w:p>
    <w:p>
      <w:pPr>
        <w:numPr>
          <w:ilvl w:val="1"/>
          <w:numId w:val="1431"/>
        </w:numPr>
        <w:pStyle w:val="Compact"/>
      </w:pPr>
      <w:r>
        <w:t xml:space="preserve">Banque mondiale : BEST/accès régional, 129 M USD ; PADAES, 150 M USD (attribution probable) [E] ;</w:t>
      </w:r>
    </w:p>
    <w:p>
      <w:pPr>
        <w:numPr>
          <w:ilvl w:val="1"/>
          <w:numId w:val="1431"/>
        </w:numPr>
        <w:pStyle w:val="Compact"/>
      </w:pPr>
      <w:r>
        <w:t xml:space="preserve">AFD/BEI/UE : PADERAU, 73 M EUR [V] ;</w:t>
      </w:r>
    </w:p>
    <w:p>
      <w:pPr>
        <w:numPr>
          <w:ilvl w:val="1"/>
          <w:numId w:val="1431"/>
        </w:numPr>
        <w:pStyle w:val="Compact"/>
      </w:pPr>
      <w:r>
        <w:t xml:space="preserve">MCC : Senegal Power Compact, 600 M USD [V] ;</w:t>
      </w:r>
    </w:p>
    <w:p>
      <w:pPr>
        <w:numPr>
          <w:ilvl w:val="1"/>
          <w:numId w:val="1431"/>
        </w:numPr>
        <w:pStyle w:val="Compact"/>
      </w:pPr>
      <w:r>
        <w:t xml:space="preserve">autres : IFC, MIGA, KfW, GIZ, BOAD, BID [1, Ann. I].</w:t>
      </w:r>
    </w:p>
    <w:bookmarkEnd w:id="445"/>
    <w:bookmarkStart w:id="446" w:name="calendrier-et-suivi-27"/>
    <w:p>
      <w:pPr>
        <w:pStyle w:val="Heading3"/>
      </w:pPr>
      <w:r>
        <w:t xml:space="preserve">5. Calendrier et suivi</w:t>
      </w:r>
    </w:p>
    <w:p>
      <w:pPr>
        <w:numPr>
          <w:ilvl w:val="0"/>
          <w:numId w:val="1432"/>
        </w:numPr>
        <w:pStyle w:val="Compact"/>
      </w:pPr>
      <w:r>
        <w:t xml:space="preserve">Jalons du pacte :</w:t>
      </w:r>
    </w:p>
    <w:p>
      <w:pPr>
        <w:numPr>
          <w:ilvl w:val="1"/>
          <w:numId w:val="1433"/>
        </w:numPr>
        <w:pStyle w:val="Compact"/>
      </w:pPr>
      <w:r>
        <w:t xml:space="preserve">T1 2025 : tarif de transport, LPDSE ;</w:t>
      </w:r>
    </w:p>
    <w:p>
      <w:pPr>
        <w:numPr>
          <w:ilvl w:val="1"/>
          <w:numId w:val="1433"/>
        </w:numPr>
        <w:pStyle w:val="Compact"/>
      </w:pPr>
      <w:r>
        <w:t xml:space="preserve">juin 2025 : PIMC, stratégie d’électrification, système de suivi, étude CER ;</w:t>
      </w:r>
    </w:p>
    <w:p>
      <w:pPr>
        <w:numPr>
          <w:ilvl w:val="1"/>
          <w:numId w:val="1433"/>
        </w:numPr>
        <w:pStyle w:val="Compact"/>
      </w:pPr>
      <w:r>
        <w:t xml:space="preserve">juillet 2025 : guichet unique ;</w:t>
      </w:r>
    </w:p>
    <w:p>
      <w:pPr>
        <w:numPr>
          <w:ilvl w:val="1"/>
          <w:numId w:val="1433"/>
        </w:numPr>
        <w:pStyle w:val="Compact"/>
      </w:pPr>
      <w:r>
        <w:t xml:space="preserve">août 2025 : processus mini-réseaux ;</w:t>
      </w:r>
    </w:p>
    <w:p>
      <w:pPr>
        <w:numPr>
          <w:ilvl w:val="1"/>
          <w:numId w:val="1433"/>
        </w:numPr>
        <w:pStyle w:val="Compact"/>
      </w:pPr>
      <w:r>
        <w:t xml:space="preserve">octobre 2025 : minima techniques ;</w:t>
      </w:r>
    </w:p>
    <w:p>
      <w:pPr>
        <w:numPr>
          <w:ilvl w:val="1"/>
          <w:numId w:val="1433"/>
        </w:numPr>
        <w:pStyle w:val="Compact"/>
      </w:pPr>
      <w:r>
        <w:t xml:space="preserve">décembre 2025 : baisse de la subvention et mesures SENELEC ;</w:t>
      </w:r>
    </w:p>
    <w:p>
      <w:pPr>
        <w:numPr>
          <w:ilvl w:val="1"/>
          <w:numId w:val="1433"/>
        </w:numPr>
        <w:pStyle w:val="Compact"/>
      </w:pPr>
      <w:r>
        <w:t xml:space="preserve">janvier 2026 : digitalisation des passations ;</w:t>
      </w:r>
    </w:p>
    <w:p>
      <w:pPr>
        <w:numPr>
          <w:ilvl w:val="1"/>
          <w:numId w:val="1433"/>
        </w:numPr>
        <w:pStyle w:val="Compact"/>
      </w:pPr>
      <w:r>
        <w:t xml:space="preserve">T1 2026 : stratégie de cuisson propre, aide au raccordement, mécanisme EnRD [1] [V].</w:t>
      </w:r>
    </w:p>
    <w:p>
      <w:pPr>
        <w:numPr>
          <w:ilvl w:val="0"/>
          <w:numId w:val="1432"/>
        </w:numPr>
        <w:pStyle w:val="Compact"/>
      </w:pPr>
      <w:r>
        <w:rPr>
          <w:bCs/>
          <w:b/>
        </w:rPr>
        <w:t xml:space="preserve">Bilan de mars 2026</w:t>
      </w:r>
      <w:r>
        <w:t xml:space="preserve"> </w:t>
      </w:r>
      <w:r>
        <w:t xml:space="preserve">: 26 actions, dont 10 prioritaires. 4 sont achevées (2 prioritaires), 15 en cours,</w:t>
      </w:r>
      <w:r>
        <w:t xml:space="preserve"> </w:t>
      </w:r>
      <w:r>
        <w:rPr>
          <w:bCs/>
          <w:b/>
        </w:rPr>
        <w:t xml:space="preserve">7 en retard (2 prioritaires)</w:t>
      </w:r>
      <w:r>
        <w:t xml:space="preserve"> </w:t>
      </w:r>
      <w:r>
        <w:t xml:space="preserve">[2] [V]. Le Sénégal</w:t>
      </w:r>
      <w:r>
        <w:t xml:space="preserve"> </w:t>
      </w:r>
      <w:r>
        <w:rPr>
          <w:bCs/>
          <w:b/>
        </w:rPr>
        <w:t xml:space="preserve">n’a pas transmis de données 2025</w:t>
      </w:r>
      <w:r>
        <w:t xml:space="preserve"> </w:t>
      </w:r>
      <w:r>
        <w:t xml:space="preserve">; elles sont annoncées pour juin/juillet 2026 [2] [V].</w:t>
      </w:r>
    </w:p>
    <w:p>
      <w:pPr>
        <w:numPr>
          <w:ilvl w:val="0"/>
          <w:numId w:val="1432"/>
        </w:numPr>
        <w:pStyle w:val="Compact"/>
      </w:pPr>
      <w:r>
        <w:t xml:space="preserve">L’action tarifaire « baisse de la subvention » (déc. 2025)</w:t>
      </w:r>
      <w:r>
        <w:t xml:space="preserve"> </w:t>
      </w:r>
      <w:r>
        <w:rPr>
          <w:bCs/>
          <w:b/>
        </w:rPr>
        <w:t xml:space="preserve">ne figure pas</w:t>
      </w:r>
      <w:r>
        <w:t xml:space="preserve"> </w:t>
      </w:r>
      <w:r>
        <w:t xml:space="preserve">parmi les 10 actions prioritaires suivies dans le rapport [2] [V].</w:t>
      </w:r>
    </w:p>
    <w:bookmarkEnd w:id="446"/>
    <w:bookmarkStart w:id="447" w:name="lecture-critique-analyse-de-lauteur-5"/>
    <w:p>
      <w:pPr>
        <w:pStyle w:val="Heading3"/>
      </w:pPr>
      <w:r>
        <w:t xml:space="preserve">6. Lecture critique (analyse de l’auteur)</w:t>
      </w:r>
    </w:p>
    <w:p>
      <w:pPr>
        <w:numPr>
          <w:ilvl w:val="0"/>
          <w:numId w:val="1434"/>
        </w:numPr>
        <w:pStyle w:val="Compact"/>
      </w:pPr>
      <w:r>
        <w:rPr>
          <w:bCs/>
          <w:b/>
        </w:rPr>
        <w:t xml:space="preserve">Réalisme</w:t>
      </w:r>
      <w:r>
        <w:t xml:space="preserve"> </w:t>
      </w:r>
      <w:r>
        <w:t xml:space="preserve">: le taux de départ est élevé (84 %), mais il fait l’objet de chiffres divergents : 84 % selon la DEPSIE, 80,95 % en données officielles, 68 % selon l’ODD 7. Le pacte reconnaît aussi que l’objectif initial d’accès universel en 2025 a été manqué. Les nouvelles connexions réseau chutent en 2024 (59 201, contre 211 808 en 2023) [1, Ann. II]. Si ce chiffre couvre l’année complète, le rythme nécessaire pour 2029 est en question [E].</w:t>
      </w:r>
    </w:p>
    <w:p>
      <w:pPr>
        <w:numPr>
          <w:ilvl w:val="0"/>
          <w:numId w:val="1434"/>
        </w:numPr>
        <w:pStyle w:val="Compact"/>
      </w:pPr>
      <w:r>
        <w:t xml:space="preserve">La cible de cuisson propre est mal définie : le pacte parle de « 11,3 % par an », le rapport d’avancement de « 95 % en 2030 » [E].</w:t>
      </w:r>
    </w:p>
    <w:p>
      <w:pPr>
        <w:numPr>
          <w:ilvl w:val="0"/>
          <w:numId w:val="1434"/>
        </w:numPr>
        <w:pStyle w:val="Compact"/>
      </w:pPr>
      <w:r>
        <w:rPr>
          <w:bCs/>
          <w:b/>
        </w:rPr>
        <w:t xml:space="preserve">Engagements tarifaires</w:t>
      </w:r>
      <w:r>
        <w:t xml:space="preserve"> </w:t>
      </w:r>
      <w:r>
        <w:t xml:space="preserve">: le</w:t>
      </w:r>
      <w:r>
        <w:t xml:space="preserve"> </w:t>
      </w:r>
      <w:r>
        <w:rPr>
          <w:bCs/>
          <w:b/>
        </w:rPr>
        <w:t xml:space="preserve">diagnostic est précis</w:t>
      </w:r>
      <w:r>
        <w:t xml:space="preserve"> </w:t>
      </w:r>
      <w:r>
        <w:t xml:space="preserve">(couverture de 72 %, besoin d’ajustement de 34 % selon la CRSE, subvention de 30 % du tarif). Les</w:t>
      </w:r>
      <w:r>
        <w:t xml:space="preserve"> </w:t>
      </w:r>
      <w:r>
        <w:rPr>
          <w:bCs/>
          <w:b/>
        </w:rPr>
        <w:t xml:space="preserve">engagements restent vagues</w:t>
      </w:r>
      <w:r>
        <w:t xml:space="preserve"> </w:t>
      </w:r>
      <w:r>
        <w:t xml:space="preserve">: « baisse de la subvention d’ici fin 2025 » sans montant ni trajectoire, et l’objectif de recouvrement des coûts est conditionné à de « nouvelles réformes tarifaires ». C’est le pacte le plus explicite des sept sur le besoin de hausse, sans calendrier pour autant.</w:t>
      </w:r>
    </w:p>
    <w:p>
      <w:pPr>
        <w:numPr>
          <w:ilvl w:val="0"/>
          <w:numId w:val="1434"/>
        </w:numPr>
        <w:pStyle w:val="Compact"/>
      </w:pPr>
      <w:r>
        <w:rPr>
          <w:bCs/>
          <w:b/>
        </w:rPr>
        <w:t xml:space="preserve">Risques</w:t>
      </w:r>
      <w:r>
        <w:t xml:space="preserve"> </w:t>
      </w:r>
      <w:r>
        <w:t xml:space="preserve">:</w:t>
      </w:r>
    </w:p>
    <w:p>
      <w:pPr>
        <w:numPr>
          <w:ilvl w:val="1"/>
          <w:numId w:val="1435"/>
        </w:numPr>
        <w:pStyle w:val="Compact"/>
      </w:pPr>
      <w:r>
        <w:t xml:space="preserve">dépendance au Trésor via la compensation, avec un chaînage de dettes entre l’État, la SENELEC, les IPP et la SAR ;</w:t>
      </w:r>
    </w:p>
    <w:p>
      <w:pPr>
        <w:numPr>
          <w:ilvl w:val="1"/>
          <w:numId w:val="1435"/>
        </w:numPr>
        <w:pStyle w:val="Compact"/>
      </w:pPr>
      <w:r>
        <w:t xml:space="preserve">dette de la SENELEC envers l’État (377 Md FCFA) ;</w:t>
      </w:r>
    </w:p>
    <w:p>
      <w:pPr>
        <w:numPr>
          <w:ilvl w:val="1"/>
          <w:numId w:val="1435"/>
        </w:numPr>
        <w:pStyle w:val="Compact"/>
      </w:pPr>
      <w:r>
        <w:t xml:space="preserve">offres spontanées et entente directe ;</w:t>
      </w:r>
    </w:p>
    <w:p>
      <w:pPr>
        <w:numPr>
          <w:ilvl w:val="1"/>
          <w:numId w:val="1435"/>
        </w:numPr>
        <w:pStyle w:val="Compact"/>
      </w:pPr>
      <w:r>
        <w:t xml:space="preserve">retard du PIMC ;</w:t>
      </w:r>
    </w:p>
    <w:p>
      <w:pPr>
        <w:numPr>
          <w:ilvl w:val="1"/>
          <w:numId w:val="1435"/>
        </w:numPr>
        <w:pStyle w:val="Compact"/>
      </w:pPr>
      <w:r>
        <w:t xml:space="preserve">contexte budgétaire national, non traité dans le pacte [E].</w:t>
      </w:r>
    </w:p>
    <w:p>
      <w:pPr>
        <w:numPr>
          <w:ilvl w:val="0"/>
          <w:numId w:val="1434"/>
        </w:numPr>
        <w:pStyle w:val="Compact"/>
      </w:pPr>
      <w:r>
        <w:rPr>
          <w:bCs/>
          <w:b/>
        </w:rPr>
        <w:t xml:space="preserve">Phase 2 (opérateur)</w:t>
      </w:r>
      <w:r>
        <w:t xml:space="preserve"> </w:t>
      </w:r>
      <w:r>
        <w:t xml:space="preserve">: contenu et indicateurs du contrat de performance de la SENELEC ; étude Nodalis ; avancement de la filialisation ; pertes ATC&amp;C.</w:t>
      </w:r>
    </w:p>
    <w:p>
      <w:pPr>
        <w:numPr>
          <w:ilvl w:val="0"/>
          <w:numId w:val="1434"/>
        </w:numPr>
        <w:pStyle w:val="Compact"/>
      </w:pPr>
      <w:r>
        <w:rPr>
          <w:bCs/>
          <w:b/>
        </w:rPr>
        <w:t xml:space="preserve">Phase 3 (tarifs)</w:t>
      </w:r>
      <w:r>
        <w:t xml:space="preserve"> </w:t>
      </w:r>
      <w:r>
        <w:t xml:space="preserve">: décision tarifaire CRSE 2023-2028 ; montants de la compensation versés ou dus ; mise en œuvre éventuelle d’une baisse de subvention en 2025-2026 ; tarif social.</w:t>
      </w:r>
    </w:p>
    <w:bookmarkEnd w:id="447"/>
    <w:bookmarkStart w:id="448" w:name="inconnus-données-non-trouvées-27"/>
    <w:p>
      <w:pPr>
        <w:pStyle w:val="Heading3"/>
      </w:pPr>
      <w:r>
        <w:t xml:space="preserve">7. Inconnus / données non trouvées</w:t>
      </w:r>
    </w:p>
    <w:p>
      <w:pPr>
        <w:numPr>
          <w:ilvl w:val="0"/>
          <w:numId w:val="1436"/>
        </w:numPr>
        <w:pStyle w:val="Compact"/>
      </w:pPr>
      <w:r>
        <w:t xml:space="preserve">Trajectoire chiffrée de réduction des subventions et date de recouvrement total des coûts [?].</w:t>
      </w:r>
    </w:p>
    <w:p>
      <w:pPr>
        <w:numPr>
          <w:ilvl w:val="0"/>
          <w:numId w:val="1436"/>
        </w:numPr>
        <w:pStyle w:val="Compact"/>
      </w:pPr>
      <w:r>
        <w:t xml:space="preserve">Pertes ATC&amp;C [?].</w:t>
      </w:r>
    </w:p>
    <w:p>
      <w:pPr>
        <w:numPr>
          <w:ilvl w:val="0"/>
          <w:numId w:val="1436"/>
        </w:numPr>
        <w:pStyle w:val="Compact"/>
      </w:pPr>
      <w:r>
        <w:t xml:space="preserve">Montant annuel de la compensation tarifaire en USD [?].</w:t>
      </w:r>
    </w:p>
    <w:p>
      <w:pPr>
        <w:numPr>
          <w:ilvl w:val="0"/>
          <w:numId w:val="1436"/>
        </w:numPr>
        <w:pStyle w:val="Compact"/>
      </w:pPr>
      <w:r>
        <w:t xml:space="preserve">Données 2025 de progrès, non transmises [2] [?].</w:t>
      </w:r>
    </w:p>
    <w:p>
      <w:pPr>
        <w:numPr>
          <w:ilvl w:val="0"/>
          <w:numId w:val="1436"/>
        </w:numPr>
        <w:pStyle w:val="Compact"/>
      </w:pPr>
      <w:r>
        <w:t xml:space="preserve">Attribution exacte de certains montants de l’annexe I (mise en page éclatée) [?].</w:t>
      </w:r>
    </w:p>
    <w:bookmarkEnd w:id="448"/>
    <w:bookmarkStart w:id="449" w:name="sources-28"/>
    <w:p>
      <w:pPr>
        <w:pStyle w:val="Heading3"/>
      </w:pPr>
      <w:r>
        <w:t xml:space="preserve">Sources</w:t>
      </w:r>
    </w:p>
    <w:p>
      <w:pPr>
        <w:pStyle w:val="FirstParagraph"/>
      </w:pPr>
      <w:r>
        <w:t xml:space="preserve">[1] Gouvernement du Sénégal, « Pacte national pour l’énergie de la République du Sénégal », s.d. (PDF créé le 24/01/2025), 31 p. (FR). https://www.worldbank.org/content/dam/theworldbankgroupasset/document/2026/m300-energy-compacts/Senegal-M300-AES-Compact.pdf (lien depuis https://www.worldbank.org/ext/en/energizingafrica/national-energy-compacts, consulté le 18/10/2026).</w:t>
      </w:r>
      <w:r>
        <w:t xml:space="preserve"> </w:t>
      </w:r>
      <w:r>
        <w:t xml:space="preserve">[2] Mission 300, « Compact Progress Report — Senegal, Q1 2026 » (EN). https://www.worldbank.org/content/dam/theworldbankgroupasset/document/2026/m300-energy-compacts/progress-reports/senegal_mission-300_compact-progress-report_q12026.pdf</w:t>
      </w:r>
    </w:p>
    <w:p>
      <w:r>
        <w:br w:type="page"/>
      </w:r>
    </w:p>
    <w:bookmarkEnd w:id="449"/>
    <w:bookmarkEnd w:id="450"/>
    <w:bookmarkStart w:id="466" w:name="Xa31f9af58e12bb7f7ed08e7db6afb192dbd446d"/>
    <w:p>
      <w:pPr>
        <w:pStyle w:val="Heading2"/>
      </w:pPr>
      <w:r>
        <w:t xml:space="preserve">Fiche pacte national de l’énergie — Sierra Leone</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451" w:name="métadonnées-28"/>
    <w:p>
      <w:pPr>
        <w:pStyle w:val="Heading3"/>
      </w:pPr>
      <w:r>
        <w:t xml:space="preserve">0. Métadonnées</w:t>
      </w:r>
    </w:p>
    <w:p>
      <w:pPr>
        <w:numPr>
          <w:ilvl w:val="0"/>
          <w:numId w:val="1437"/>
        </w:numPr>
        <w:pStyle w:val="Compact"/>
      </w:pPr>
      <w:r>
        <w:t xml:space="preserve">Cohorte / date de présentation : « September 2025 » selon la page Banque mondiale [2] [V] ; pas dans la première cohorte de janvier 2025 [E]. Le pacte indique avoir été « approved by Cabinet » [1] [V] (date non précisée [?]).</w:t>
      </w:r>
    </w:p>
    <w:p>
      <w:pPr>
        <w:numPr>
          <w:ilvl w:val="0"/>
          <w:numId w:val="1437"/>
        </w:numPr>
        <w:pStyle w:val="Compact"/>
      </w:pPr>
      <w:r>
        <w:t xml:space="preserve">Document du pacte consulté : « National Energy Compact for the Republic of Sierra Leone », 39 p., anglais, non daté (base 2025) [1]. URL : https://www.worldbank.org/content/dam/theworldbankgroupasset/document/2026/m300-energy-compacts/Sierra-Leone-National-Energy-Compact-Mission-300.pdf</w:t>
      </w:r>
    </w:p>
    <w:p>
      <w:pPr>
        <w:numPr>
          <w:ilvl w:val="0"/>
          <w:numId w:val="1437"/>
        </w:numPr>
        <w:pStyle w:val="Compact"/>
      </w:pPr>
      <w:r>
        <w:t xml:space="preserve">Accès au texte intégral :</w:t>
      </w:r>
      <w:r>
        <w:t xml:space="preserve"> </w:t>
      </w:r>
      <w:r>
        <w:rPr>
          <w:bCs/>
          <w:b/>
        </w:rPr>
        <w:t xml:space="preserve">oui</w:t>
      </w:r>
      <w:r>
        <w:t xml:space="preserve"> </w:t>
      </w:r>
      <w:r>
        <w:t xml:space="preserve">(PDF téléchargé ; mise en page à deux colonnes extraite colonne par colonne). Aucun rapport d’avancement listé [2] [V].</w:t>
      </w:r>
    </w:p>
    <w:p>
      <w:pPr>
        <w:numPr>
          <w:ilvl w:val="0"/>
          <w:numId w:val="1437"/>
        </w:numPr>
        <w:pStyle w:val="Compact"/>
      </w:pPr>
      <w:r>
        <w:t xml:space="preserve">Opérateur(s) national(aux) d’électricité : Electricity Distribution and Supply Authority (EDSA, distribution et vente, ~350 000 clients) ; Electricity Generation and Transmission Company (EGTC, production publique dont Bumbuna, et transport &gt; 33 kV) — issues du dégroupage de la National Power Authority (loi de 2011, opérationnelles en 2015) ; un IPP thermique flottant (depuis 2018) [1] [V].</w:t>
      </w:r>
    </w:p>
    <w:p>
      <w:pPr>
        <w:numPr>
          <w:ilvl w:val="0"/>
          <w:numId w:val="1437"/>
        </w:numPr>
        <w:pStyle w:val="Compact"/>
      </w:pPr>
      <w:r>
        <w:t xml:space="preserve">Régulateur : Electricity and Water Regulatory Commission (EWRC) ; tutelle : Ministry of Energy (MoE) ; Clean Cooking Delivery Unit (CCDU) à la Présidence [1] [V].</w:t>
      </w:r>
    </w:p>
    <w:bookmarkEnd w:id="451"/>
    <w:bookmarkStart w:id="452" w:name="situation-de-départ-selon-le-pacte-28"/>
    <w:p>
      <w:pPr>
        <w:pStyle w:val="Heading3"/>
      </w:pPr>
      <w:r>
        <w:t xml:space="preserve">1. Situation de départ (selon le pacte)</w:t>
      </w:r>
    </w:p>
    <w:p>
      <w:pPr>
        <w:numPr>
          <w:ilvl w:val="0"/>
          <w:numId w:val="1438"/>
        </w:numPr>
        <w:pStyle w:val="Compact"/>
      </w:pPr>
      <w:r>
        <w:t xml:space="preserve">Taux d’accès national : 36 % (base 2025), dont 21 % réseau et 15 % hors réseau [1] [V]. Ménages raccordés au réseau : ~350 000 [1] [V]. Accès des ménages dirigés par des hommes 48,7 % vs femmes 42,4 % [1] [V]. Urbain / rural : [?] non chiffré (« disproportionately low in rural areas » [1]).</w:t>
      </w:r>
    </w:p>
    <w:p>
      <w:pPr>
        <w:numPr>
          <w:ilvl w:val="0"/>
          <w:numId w:val="1438"/>
        </w:numPr>
        <w:pStyle w:val="Compact"/>
      </w:pPr>
      <w:r>
        <w:t xml:space="preserve">Population sans accès : population totale 8,5 millions [1] [V] → environ 5,4 millions sans accès [E].</w:t>
      </w:r>
    </w:p>
    <w:p>
      <w:pPr>
        <w:numPr>
          <w:ilvl w:val="0"/>
          <w:numId w:val="1438"/>
        </w:numPr>
        <w:pStyle w:val="Compact"/>
      </w:pPr>
      <w:r>
        <w:t xml:space="preserve">Capacité installée, mix de production : ~271 MW installés, un peu plus de 140 MW disponibles [1] [V]. Sources : Bumbuna (hydro publique, de 50 MW à moins de 5 MW en saison sèche), IPP au fioul, ligne CLSG (PPA initial 10 MW, contrat de transport 27 MW), nouveau PPA de 10 MW avec la compagnie guinéenne (2025), ~50 MW solaires (dont ~5 MW sur 104 mini-réseaux), ~40 MW HFO décentralisés dont ~10 MW opérationnels [1] [V]. Part renouvelable 46 % (hydro principalement) [1] [V] ; base désagrégée : 52 MW solaire, 60 MW hydro, 15 MW biomasse [1] [V]. Ligne 161 kV vers Freetown limitée à 65 MW pour une pointe d’environ 100 MW à Freetown [1] [V]. Demande non contrainte ~320 MW (485 MW en 2030) hors mines ; demande minière ~200 MW → &gt; 500 MW en 2030 [1] [V].</w:t>
      </w:r>
    </w:p>
    <w:p>
      <w:pPr>
        <w:numPr>
          <w:ilvl w:val="0"/>
          <w:numId w:val="1438"/>
        </w:numPr>
        <w:pStyle w:val="Compact"/>
      </w:pPr>
      <w:r>
        <w:t xml:space="preserve">Coûts et tarifs : coût moyen de production 0,14 USD/kWh ; coût de fourniture à l’usager ~0,28 USD/kWh compte tenu des pertes ; tarif moyen 0,21 USD/kWh (2024) [1] [V].</w:t>
      </w:r>
    </w:p>
    <w:p>
      <w:pPr>
        <w:numPr>
          <w:ilvl w:val="0"/>
          <w:numId w:val="1438"/>
        </w:numPr>
        <w:pStyle w:val="Compact"/>
      </w:pPr>
      <w:r>
        <w:t xml:space="preserve">Opérateur : pertes techniques et commerciales d’EDSA &gt; 50 % en 2024 [1] [V] ; 53,2 % (annexe I) [1] [V] ; en 2023 EDSA a acheté ~684 GWh et facturé 344,5 GWh [1] [V] ; ratio de recouvrement 0,57 (post-payé, 2024) [1] [V] ; 345 858 clients comptés (2025) [1] [V] ; 1 400 grands clients = plus de 40 % du chiffre d’affaires [1] [V].</w:t>
      </w:r>
    </w:p>
    <w:p>
      <w:pPr>
        <w:numPr>
          <w:ilvl w:val="0"/>
          <w:numId w:val="1438"/>
        </w:numPr>
        <w:pStyle w:val="Compact"/>
      </w:pPr>
      <w:r>
        <w:t xml:space="preserve">Subventions : 708,3 M NLe (39 M USD) en 2022, soit 6,5 fois 2019 (101,2 M NLe / 11 M USD) ; 102 % des recettes en 2022 ; 38 M USD (0,6 % du PIB) budgétés en 2023 ; plus de 40 M USD (~1 % du PIB) fin 2024 [1] [V]. Arriérés d’importation 26 M USD (2024) [1] [V].</w:t>
      </w:r>
    </w:p>
    <w:p>
      <w:pPr>
        <w:numPr>
          <w:ilvl w:val="0"/>
          <w:numId w:val="1438"/>
        </w:numPr>
        <w:pStyle w:val="Compact"/>
      </w:pPr>
      <w:r>
        <w:t xml:space="preserve">Accès à la cuisson propre : 1,5 % (2024) ; plus de 90 % des ménages dépendent de la biomasse traditionnelle [1] [V]. Base désagrégée : bois/feu ouvert 71,6 %, charbon traditionnel 27,5 %, LPG 0,9 % [1] [V].</w:t>
      </w:r>
    </w:p>
    <w:bookmarkEnd w:id="452"/>
    <w:bookmarkStart w:id="453" w:name="cibles-2030-27"/>
    <w:p>
      <w:pPr>
        <w:pStyle w:val="Heading3"/>
      </w:pPr>
      <w:r>
        <w:t xml:space="preserve">2. Cibles 2030</w:t>
      </w:r>
    </w:p>
    <w:p>
      <w:pPr>
        <w:numPr>
          <w:ilvl w:val="0"/>
          <w:numId w:val="1439"/>
        </w:numPr>
        <w:pStyle w:val="Compact"/>
      </w:pPr>
      <w:r>
        <w:t xml:space="preserve">Accès électricité : de 36 % à 78 % en raccordant au moins 720 000 ménages [1] [V] : 560 000 hors réseau (400 000 par solaire domestique, 160 000 par mini-réseaux) et 160 000 sur le réseau [1] [V]. Répartition visée : 50 % hors réseau, 28 % réseau [1] [V]. Rythme de raccordement de 6 %/an (2018-2025) à 20 %/an (2025-2030) [1] [V]. La cible d’accès a été relevée de 70 % à 78 % par le processus M300 [1] [V].</w:t>
      </w:r>
    </w:p>
    <w:p>
      <w:pPr>
        <w:numPr>
          <w:ilvl w:val="0"/>
          <w:numId w:val="1439"/>
        </w:numPr>
        <w:pStyle w:val="Compact"/>
      </w:pPr>
      <w:r>
        <w:t xml:space="preserve">Part des renouvelables : de 46 % à 52 % [1] [V] ; capacité installée de 271 MW à 1,12 GW [1] [V] (1,17 GW dans la section 4 [1] [V]) ; cibles désagrégées : 392 MW solaire, 194 MW hydro, 15 MW biomasse [1] [V].</w:t>
      </w:r>
    </w:p>
    <w:p>
      <w:pPr>
        <w:numPr>
          <w:ilvl w:val="0"/>
          <w:numId w:val="1439"/>
        </w:numPr>
        <w:pStyle w:val="Compact"/>
      </w:pPr>
      <w:r>
        <w:t xml:space="preserve">Cuisson propre : de 1,5 % à 25 % [1] [V] ; 1 million de foyers améliorés [1] [V] ; cible 2030 désagrégée : LPG 10 %, charbon amélioré 10 %, feu amélioré 25 %, bioéthanol 2 %, électricité 0,5 % [1] [V].</w:t>
      </w:r>
    </w:p>
    <w:p>
      <w:pPr>
        <w:numPr>
          <w:ilvl w:val="0"/>
          <w:numId w:val="1439"/>
        </w:numPr>
        <w:pStyle w:val="Compact"/>
      </w:pPr>
      <w:r>
        <w:t xml:space="preserve">Autres cibles chiffrées : capitaux privés de 615 M USD (base) à 1,4 Md USD [1] [V] (« additional USD 1.4 billion » dans la déclaration [1] [V] — ambiguïté cumulatif/additionnel) ; réseau de transport de 802 à 1 235 km [1] [V] ; coût moyen de fourniture ramené à 0,14-0,16 USD/kWh [1] [V] ; importations supplémentaires d’environ 150 MW (Guinée, Ghana, Sénégal) [1] [V].</w:t>
      </w:r>
    </w:p>
    <w:bookmarkEnd w:id="453"/>
    <w:bookmarkStart w:id="460" w:name="réformes-promises-cœur-de-lanalyse-22"/>
    <w:p>
      <w:pPr>
        <w:pStyle w:val="Heading3"/>
      </w:pPr>
      <w:r>
        <w:t xml:space="preserve">3. Réformes promises (cœur de l’analyse)</w:t>
      </w:r>
    </w:p>
    <w:bookmarkStart w:id="454" w:name="tarifs-et-subventions-28"/>
    <w:p>
      <w:pPr>
        <w:pStyle w:val="Heading4"/>
      </w:pPr>
      <w:r>
        <w:t xml:space="preserve">3.1 Tarifs et subventions</w:t>
      </w:r>
    </w:p>
    <w:p>
      <w:pPr>
        <w:numPr>
          <w:ilvl w:val="0"/>
          <w:numId w:val="1440"/>
        </w:numPr>
        <w:pStyle w:val="Compact"/>
      </w:pPr>
      <w:r>
        <w:t xml:space="preserve">EWRC à élaborer un Multi-Year Tariff Order (MYTO) « by 2025 » (déclaration) avec feuille de route vers un tarif reflet des coûts et la « trajectoire de subvention requise » ; adoption du MYTO réseau en avril 2026 (plan d’action), mise en œuvre 2026-2030 [1] [V — deux dates].</w:t>
      </w:r>
    </w:p>
    <w:p>
      <w:pPr>
        <w:numPr>
          <w:ilvl w:val="0"/>
          <w:numId w:val="1440"/>
        </w:numPr>
        <w:pStyle w:val="Compact"/>
      </w:pPr>
      <w:r>
        <w:t xml:space="preserve">MYTO couvrant les mini-réseaux adopté en septembre 2025 ; régulation des mini-réseaux devant le Parlement en septembre 2025 [1] [V].</w:t>
      </w:r>
    </w:p>
    <w:p>
      <w:pPr>
        <w:numPr>
          <w:ilvl w:val="0"/>
          <w:numId w:val="1440"/>
        </w:numPr>
        <w:pStyle w:val="Compact"/>
      </w:pPr>
      <w:r>
        <w:t xml:space="preserve">Révision du PPA EDSA–EGTC et mise à jour du tarif d’ici janvier 2026 [1] [V].</w:t>
      </w:r>
    </w:p>
    <w:p>
      <w:pPr>
        <w:numPr>
          <w:ilvl w:val="0"/>
          <w:numId w:val="1440"/>
        </w:numPr>
        <w:pStyle w:val="Compact"/>
      </w:pPr>
      <w:r>
        <w:t xml:space="preserve">Politique de raccordement incluant une politique de subvention « pro-poor » et des procédures de raccordement / inspection / déconnexion d’ici février 2026 ; politique de raccordement du dernier kilomètre avec stratégie de subvention d’ici avril 2026 (approbation juin 2026) [1] [V].</w:t>
      </w:r>
    </w:p>
    <w:p>
      <w:pPr>
        <w:numPr>
          <w:ilvl w:val="0"/>
          <w:numId w:val="1440"/>
        </w:numPr>
        <w:pStyle w:val="Compact"/>
      </w:pPr>
      <w:r>
        <w:t xml:space="preserve">Stratégie de subvention pour la cuisson propre (janvier 2026) ; stratégie d’exonération douanière pour le solaire et le hors réseau (janv. 2026 → Finance Act déc. 2026) [1] [V].</w:t>
      </w:r>
    </w:p>
    <w:p>
      <w:pPr>
        <w:numPr>
          <w:ilvl w:val="0"/>
          <w:numId w:val="1440"/>
        </w:numPr>
        <w:pStyle w:val="Compact"/>
      </w:pPr>
      <w:r>
        <w:t xml:space="preserve">Pas de niveau tarifaire cible ni de calendrier chiffré de réduction des subventions [1] [V].</w:t>
      </w:r>
    </w:p>
    <w:bookmarkEnd w:id="454"/>
    <w:bookmarkStart w:id="455" w:name="X54e1a28b7203cb2a464ec6157c3a9695731f1b5"/>
    <w:p>
      <w:pPr>
        <w:pStyle w:val="Heading4"/>
      </w:pPr>
      <w:r>
        <w:t xml:space="preserve">3.2 Opérateur (redressement, contrats de performance, pertes, recouvrement, compteurs)</w:t>
      </w:r>
    </w:p>
    <w:p>
      <w:pPr>
        <w:numPr>
          <w:ilvl w:val="0"/>
          <w:numId w:val="1441"/>
        </w:numPr>
        <w:pStyle w:val="Compact"/>
      </w:pPr>
      <w:r>
        <w:rPr>
          <w:bCs/>
          <w:b/>
        </w:rPr>
        <w:t xml:space="preserve">Concession privée d’exploitation, maintenance et gestion (OM&amp;M) d’EDSA</w:t>
      </w:r>
      <w:r>
        <w:t xml:space="preserve"> </w:t>
      </w:r>
      <w:r>
        <w:t xml:space="preserve">: procédure de passation achevée d’ici décembre 2025 ; début de la concession en mars 2026 [1] [V]. Phase de transition prévue dans le contrat ; au moins 50 M USD nécessaires pour cette phase 2025-2030 ; garanties et instruments de couverture à fournir avec l’appui des partenaires [1] [V]. Assistance transactionnelle Banque mondiale (ESURP, 0,5 M USD) [1] [V].</w:t>
      </w:r>
    </w:p>
    <w:p>
      <w:pPr>
        <w:numPr>
          <w:ilvl w:val="0"/>
          <w:numId w:val="1441"/>
        </w:numPr>
        <w:pStyle w:val="Compact"/>
      </w:pPr>
      <w:r>
        <w:t xml:space="preserve">Plan de redressement à court terme d’EDSA (réduction des pertes, protection des recettes) d’ici juin 2025 [1] [V].</w:t>
      </w:r>
    </w:p>
    <w:p>
      <w:pPr>
        <w:numPr>
          <w:ilvl w:val="0"/>
          <w:numId w:val="1441"/>
        </w:numPr>
        <w:pStyle w:val="Compact"/>
      </w:pPr>
      <w:r>
        <w:t xml:space="preserve">Compteurs : nouvelle politique de comptage, normes de compteurs avec le Standards Bureau (février 2026) ; déploiement de 40 000 compteurs prépayés déjà acquis ; AMI en commençant par les grands clients industriels et miniers [1] [V].</w:t>
      </w:r>
    </w:p>
    <w:p>
      <w:pPr>
        <w:numPr>
          <w:ilvl w:val="0"/>
          <w:numId w:val="1441"/>
        </w:numPr>
        <w:pStyle w:val="Compact"/>
      </w:pPr>
      <w:r>
        <w:t xml:space="preserve">Compte de recettes sectoriel (« collections account ») administré par un agent indépendant : manuel en sept. 2025, approbation oct. 2025, agent désigné oct. 2025, banque choisie déc. 2025, publication mensuelle en ligne des flux à partir de mars 2026 [1] [V].</w:t>
      </w:r>
    </w:p>
    <w:p>
      <w:pPr>
        <w:numPr>
          <w:ilvl w:val="0"/>
          <w:numId w:val="1441"/>
        </w:numPr>
        <w:pStyle w:val="Compact"/>
      </w:pPr>
      <w:r>
        <w:t xml:space="preserve">Comptes annuels audités 2024 publiés d’ici décembre 2025 [1] [V].</w:t>
      </w:r>
    </w:p>
    <w:p>
      <w:pPr>
        <w:numPr>
          <w:ilvl w:val="0"/>
          <w:numId w:val="1441"/>
        </w:numPr>
        <w:pStyle w:val="Compact"/>
      </w:pPr>
      <w:r>
        <w:t xml:space="preserve">Plan d’amélioration du service client d’EDSA et KPI d’ici juin 2026 [1] [V].</w:t>
      </w:r>
    </w:p>
    <w:p>
      <w:pPr>
        <w:numPr>
          <w:ilvl w:val="0"/>
          <w:numId w:val="1441"/>
        </w:numPr>
        <w:pStyle w:val="Compact"/>
      </w:pPr>
      <w:r>
        <w:t xml:space="preserve">Pas de cible chiffrée de pertes ou de recouvrement dans le pacte [1] [V].</w:t>
      </w:r>
    </w:p>
    <w:bookmarkEnd w:id="455"/>
    <w:bookmarkStart w:id="456" w:name="régulation-et-gouvernance-18"/>
    <w:p>
      <w:pPr>
        <w:pStyle w:val="Heading4"/>
      </w:pPr>
      <w:r>
        <w:t xml:space="preserve">3.3 Régulation et gouvernance</w:t>
      </w:r>
    </w:p>
    <w:p>
      <w:pPr>
        <w:numPr>
          <w:ilvl w:val="0"/>
          <w:numId w:val="1442"/>
        </w:numPr>
        <w:pStyle w:val="Compact"/>
      </w:pPr>
      <w:r>
        <w:t xml:space="preserve">Révision de la loi sur l’électricité de 2011 (amendée en 2018) d’ici avril 2026, adoption septembre 2026 ; doit préciser la participation privée y compris dans le transport [1] [V].</w:t>
      </w:r>
    </w:p>
    <w:p>
      <w:pPr>
        <w:numPr>
          <w:ilvl w:val="0"/>
          <w:numId w:val="1442"/>
        </w:numPr>
        <w:pStyle w:val="Compact"/>
      </w:pPr>
      <w:r>
        <w:t xml:space="preserve">Évaluation des capacités d’EWRC (mars 2026) et de sa structure pour renforcer son indépendance et sa capacité financière [1] [V].</w:t>
      </w:r>
    </w:p>
    <w:p>
      <w:pPr>
        <w:numPr>
          <w:ilvl w:val="0"/>
          <w:numId w:val="1442"/>
        </w:numPr>
        <w:pStyle w:val="Compact"/>
      </w:pPr>
      <w:r>
        <w:t xml:space="preserve">Mise à jour de l’IRP 2021-2040 (avril-mai 2026) ; plan d’investissement T&amp;D (déc. 2026, Cabinet févr. 2027) ; renforcement de l’unité de planification du MoE [1] [V].</w:t>
      </w:r>
    </w:p>
    <w:p>
      <w:pPr>
        <w:numPr>
          <w:ilvl w:val="0"/>
          <w:numId w:val="1442"/>
        </w:numPr>
        <w:pStyle w:val="Compact"/>
      </w:pPr>
      <w:r>
        <w:t xml:space="preserve">Politique énergétique actualisée (janv. 2026, Cabinet mars 2026) ; Rural Electrification Agency (projet de loi avril 2026, Parlement mars 2027) [1] [V].</w:t>
      </w:r>
    </w:p>
    <w:p>
      <w:pPr>
        <w:numPr>
          <w:ilvl w:val="0"/>
          <w:numId w:val="1442"/>
        </w:numPr>
        <w:pStyle w:val="Compact"/>
      </w:pPr>
      <w:r>
        <w:t xml:space="preserve">Fonds de développement énergétique (SLEDF) capitalisé par des contributions obligatoires du secteur (projet de politique juin 2027, Parlement déc. 2027) [1] [V].</w:t>
      </w:r>
    </w:p>
    <w:p>
      <w:pPr>
        <w:numPr>
          <w:ilvl w:val="0"/>
          <w:numId w:val="1442"/>
        </w:numPr>
        <w:pStyle w:val="Compact"/>
      </w:pPr>
      <w:r>
        <w:t xml:space="preserve">Stratégie nationale de cuisson propre (sept. 2025) ; CCDU opérationnelle (avril 2026) [1] [V].</w:t>
      </w:r>
    </w:p>
    <w:bookmarkEnd w:id="456"/>
    <w:bookmarkStart w:id="457" w:name="X28e976004489952fc5a8c6bfdebd876f04b8df0"/>
    <w:p>
      <w:pPr>
        <w:pStyle w:val="Heading4"/>
      </w:pPr>
      <w:r>
        <w:t xml:space="preserve">3.4 Participation du privé (producteurs indépendants, concessions, hors réseau)</w:t>
      </w:r>
    </w:p>
    <w:p>
      <w:pPr>
        <w:numPr>
          <w:ilvl w:val="0"/>
          <w:numId w:val="1443"/>
        </w:numPr>
        <w:pStyle w:val="Compact"/>
      </w:pPr>
      <w:r>
        <w:t xml:space="preserve">Cadre d’achat IPP (2021) révisé d’ici déc. 2026 ; comité d’examen du pipeline de production (déc. 2025) ; passation de nouveaux projets de production en mars 2027 ; objectif de réduire les offres spontanées [1] [V].</w:t>
      </w:r>
    </w:p>
    <w:p>
      <w:pPr>
        <w:numPr>
          <w:ilvl w:val="0"/>
          <w:numId w:val="1443"/>
        </w:numPr>
        <w:pStyle w:val="Compact"/>
      </w:pPr>
      <w:r>
        <w:t xml:space="preserve">Instruments de couverture (ATIDI, MIGA) identifiés d’ici sept. 2025 ; adhésion d’ici déc. 2026 [1] [V].</w:t>
      </w:r>
    </w:p>
    <w:p>
      <w:pPr>
        <w:numPr>
          <w:ilvl w:val="0"/>
          <w:numId w:val="1443"/>
        </w:numPr>
        <w:pStyle w:val="Compact"/>
      </w:pPr>
      <w:r>
        <w:t xml:space="preserve">RBF pour la viabilité des mini-réseaux (sept. 2025) ; programme « Lite Salone » d’accès Tier 1 subventionné (energy-as-a-service) dans le district de Kambia (2025) [1] [V].</w:t>
      </w:r>
    </w:p>
    <w:p>
      <w:pPr>
        <w:numPr>
          <w:ilvl w:val="0"/>
          <w:numId w:val="1443"/>
        </w:numPr>
        <w:pStyle w:val="Compact"/>
      </w:pPr>
      <w:r>
        <w:t xml:space="preserve">Projet de hub GNL pour IPP gaziers au service des mines [1] [V].</w:t>
      </w:r>
    </w:p>
    <w:bookmarkEnd w:id="457"/>
    <w:bookmarkStart w:id="458" w:name="X592acc1c5313e453706935c7bea8b093c03861b"/>
    <w:p>
      <w:pPr>
        <w:pStyle w:val="Heading4"/>
      </w:pPr>
      <w:r>
        <w:t xml:space="preserve">3.5 Intégration régionale (pools énergétiques, interconnexions)</w:t>
      </w:r>
    </w:p>
    <w:p>
      <w:pPr>
        <w:numPr>
          <w:ilvl w:val="0"/>
          <w:numId w:val="1444"/>
        </w:numPr>
        <w:pStyle w:val="Compact"/>
      </w:pPr>
      <w:r>
        <w:t xml:space="preserve">Assistance technique pour négocier des achats régionaux (sept. 2025) ; nouveaux PPA régionaux signés d’ici avril 2026 [1] [V].</w:t>
      </w:r>
    </w:p>
    <w:p>
      <w:pPr>
        <w:numPr>
          <w:ilvl w:val="0"/>
          <w:numId w:val="1444"/>
        </w:numPr>
        <w:pStyle w:val="Compact"/>
      </w:pPr>
      <w:r>
        <w:t xml:space="preserve">Apurement des arriérés : nouvelles conditions de paiement dans le cadre CLSG et plan d’élimination des arriérés (avec un DPO de la Banque mondiale) d’ici déc. 2025 [1] [V].</w:t>
      </w:r>
    </w:p>
    <w:p>
      <w:pPr>
        <w:numPr>
          <w:ilvl w:val="0"/>
          <w:numId w:val="1444"/>
        </w:numPr>
        <w:pStyle w:val="Compact"/>
      </w:pPr>
      <w:r>
        <w:t xml:space="preserve">Code de réseau aligné sur le code WAPP (déc. 2025 → publication févr. 2026) ; tarif national harmonisé avec la tarification régionale du transport (janv. 2026) [1] [V].</w:t>
      </w:r>
    </w:p>
    <w:p>
      <w:pPr>
        <w:numPr>
          <w:ilvl w:val="0"/>
          <w:numId w:val="1444"/>
        </w:numPr>
        <w:pStyle w:val="Compact"/>
      </w:pPr>
      <w:r>
        <w:t xml:space="preserve">Corridors de transport Nord et Sud 225 kV en anneau avec CLSG et poste de Newton, financement sécurisé d’ici déc. 2026 [1] [V] ; cadre d’échanges internes et transfrontaliers d’ici déc. 2028 [1] [V].</w:t>
      </w:r>
    </w:p>
    <w:bookmarkEnd w:id="458"/>
    <w:bookmarkStart w:id="459" w:name="Xffc37fd9f474659657c2a796eed09b961833522"/>
    <w:p>
      <w:pPr>
        <w:pStyle w:val="Heading4"/>
      </w:pPr>
      <w:r>
        <w:t xml:space="preserve">3.6 Autres (fiscalité, foncier, local content)</w:t>
      </w:r>
    </w:p>
    <w:p>
      <w:pPr>
        <w:numPr>
          <w:ilvl w:val="0"/>
          <w:numId w:val="1445"/>
        </w:numPr>
        <w:pStyle w:val="Compact"/>
      </w:pPr>
      <w:r>
        <w:t xml:space="preserve">Stratégie d’exonération de droits pour le solaire / hors réseau (voir 3.1) [1] [V].</w:t>
      </w:r>
    </w:p>
    <w:p>
      <w:pPr>
        <w:numPr>
          <w:ilvl w:val="0"/>
          <w:numId w:val="1445"/>
        </w:numPr>
        <w:pStyle w:val="Compact"/>
      </w:pPr>
      <w:r>
        <w:t xml:space="preserve">Production locale de bouteilles de LPG et mini-raffineries d’éthanol (manioc, canne à sucre) [1] [V].</w:t>
      </w:r>
    </w:p>
    <w:p>
      <w:pPr>
        <w:numPr>
          <w:ilvl w:val="0"/>
          <w:numId w:val="1445"/>
        </w:numPr>
        <w:pStyle w:val="Compact"/>
      </w:pPr>
      <w:r>
        <w:t xml:space="preserve">Audit genre du secteur [1] [V].</w:t>
      </w:r>
    </w:p>
    <w:p>
      <w:pPr>
        <w:numPr>
          <w:ilvl w:val="0"/>
          <w:numId w:val="1445"/>
        </w:numPr>
        <w:pStyle w:val="Compact"/>
      </w:pPr>
      <w:r>
        <w:t xml:space="preserve">Volet numérique étendu (SIG national, tableaux de bord IoT, centre d’interopérabilité des données) [1] [V].</w:t>
      </w:r>
    </w:p>
    <w:bookmarkEnd w:id="459"/>
    <w:bookmarkEnd w:id="460"/>
    <w:bookmarkStart w:id="461" w:name="financement-28"/>
    <w:p>
      <w:pPr>
        <w:pStyle w:val="Heading3"/>
      </w:pPr>
      <w:r>
        <w:t xml:space="preserve">4. Financement</w:t>
      </w:r>
    </w:p>
    <w:p>
      <w:pPr>
        <w:numPr>
          <w:ilvl w:val="0"/>
          <w:numId w:val="1446"/>
        </w:numPr>
        <w:pStyle w:val="Compact"/>
      </w:pPr>
      <w:r>
        <w:t xml:space="preserve">Besoin total : 2,2 Md USD (préambule) [1] [V] ; tableau (M USD) : production 980 (public 25 / privé 955) ; transport 450 (300 / 150) ; distribution réseau 350 (300 / 50) ; hors réseau / dernier kilomètre 325 (160 / 165) ; cuisson propre 100 (10 / 90) ; renforcement institutionnel 40 (40 / 0) ; total 2 245 (public 835 / privé 1 410) [1] [V]. Pipeline de production proposé : 1,6 Md USD ; transport : 400 M USD ; densification de la distribution : ~350 M USD [1] [V].</w:t>
      </w:r>
    </w:p>
    <w:p>
      <w:pPr>
        <w:numPr>
          <w:ilvl w:val="0"/>
          <w:numId w:val="1446"/>
        </w:numPr>
        <w:pStyle w:val="Compact"/>
      </w:pPr>
      <w:r>
        <w:t xml:space="preserve">Engagements cités (annexe II) : Millennium Challenge Corporation (compact énergie 2024-2032, coût total 494,9 M USD dont contribution gouvernementale 14,2 M USD) ; Banque mondiale — ESLEAP 50 M USD (+ 13 M USD de financement additionnel et 2,7 M USD du fonds japonais PHRD), RESPITE 75 M USD (40 MW solaires à Newton et Lungi), ESURP 40 M + 50 M USD (dont contrat de gestion basé sur la performance d’EDSA) ; FCDO/BAD — Bo-Kenema 40 M USD ; Exim Bank Inde — 225 kV, 91 M USD (prêt 74 M USD) ; UE — 50 M EUR (mini-réseaux) [1] [V]. Projets prioritaires : Bekongor 120 MW (550 M USD), Bumbuna I 50 MW (65 M USD, financé), corridor Sud (250 M USD, MCC) [1] [V].</w:t>
      </w:r>
    </w:p>
    <w:bookmarkEnd w:id="461"/>
    <w:bookmarkStart w:id="462" w:name="calendrier-et-suivi-28"/>
    <w:p>
      <w:pPr>
        <w:pStyle w:val="Heading3"/>
      </w:pPr>
      <w:r>
        <w:t xml:space="preserve">5. Calendrier et suivi</w:t>
      </w:r>
    </w:p>
    <w:p>
      <w:pPr>
        <w:numPr>
          <w:ilvl w:val="0"/>
          <w:numId w:val="1447"/>
        </w:numPr>
        <w:pStyle w:val="Compact"/>
      </w:pPr>
      <w:r>
        <w:t xml:space="preserve">Jalons datés : voir 3.x (concentrés sur sept. 2025 – mars 2027) ; concession EDSA déc. 2025 → mars 2026 ; MYTO avril 2026 ; loi électricité sept. 2026 ; REA mars 2027 ; SLEDF déc. 2027 ; cadre d’échanges 2028-2029 [1] [V].</w:t>
      </w:r>
    </w:p>
    <w:p>
      <w:pPr>
        <w:numPr>
          <w:ilvl w:val="0"/>
          <w:numId w:val="1447"/>
        </w:numPr>
        <w:pStyle w:val="Compact"/>
      </w:pPr>
      <w:r>
        <w:t xml:space="preserve">Suivi : unité de mise en œuvre et de suivi (Delivery and Monitoring Unit) placée à la Présidence ; Energy Sector Steering Committee co-présidé par le ministre de l’Énergie et un représentant des partenaires (trimestriel), groupes de travail bi-hebdomadaires ; points presse mensuels et consultation nationale annuelle [1] [V].</w:t>
      </w:r>
    </w:p>
    <w:bookmarkEnd w:id="462"/>
    <w:bookmarkStart w:id="463" w:name="lecture-critique-22"/>
    <w:p>
      <w:pPr>
        <w:pStyle w:val="Heading3"/>
      </w:pPr>
      <w:r>
        <w:t xml:space="preserve">6. Lecture critique</w:t>
      </w:r>
    </w:p>
    <w:p>
      <w:pPr>
        <w:numPr>
          <w:ilvl w:val="0"/>
          <w:numId w:val="1448"/>
        </w:numPr>
        <w:pStyle w:val="Compact"/>
      </w:pPr>
      <w:r>
        <w:t xml:space="preserve">Réalisme des cibles : +42 points en 5 ans, avec un rythme de raccordement passant de 6 % à 20 %/an selon le pacte [1] ; 720 000 ménages en ~5 ans ≈ 144 000/an [E], alors que le pacte ne recense que 1 965 nouveaux raccordements réseau en 2024 [1] [V] — la cible repose à 78 % sur le hors réseau (400 000 SHS de Tier 1-2) [1] [E]. Capacité : passer de 271 MW à 1,12 GW en 5 ans (×4) paraît très ambitieux [E].</w:t>
      </w:r>
    </w:p>
    <w:p>
      <w:pPr>
        <w:numPr>
          <w:ilvl w:val="0"/>
          <w:numId w:val="1448"/>
        </w:numPr>
        <w:pStyle w:val="Compact"/>
      </w:pPr>
      <w:r>
        <w:t xml:space="preserve">Engagements tarifaires :</w:t>
      </w:r>
      <w:r>
        <w:t xml:space="preserve"> </w:t>
      </w:r>
      <w:r>
        <w:rPr>
          <w:bCs/>
          <w:b/>
        </w:rPr>
        <w:t xml:space="preserve">procéduraux</w:t>
      </w:r>
      <w:r>
        <w:t xml:space="preserve"> </w:t>
      </w:r>
      <w:r>
        <w:t xml:space="preserve">(MYTO, révision du PPA EDSA–EGTC, politique de subvention pro-poor) mais</w:t>
      </w:r>
      <w:r>
        <w:t xml:space="preserve"> </w:t>
      </w:r>
      <w:r>
        <w:rPr>
          <w:bCs/>
          <w:b/>
        </w:rPr>
        <w:t xml:space="preserve">aucun niveau ni trajectoire</w:t>
      </w:r>
      <w:r>
        <w:t xml:space="preserve"> </w:t>
      </w:r>
      <w:r>
        <w:t xml:space="preserve">; l’écart coût de fourniture (0,28) / tarif (0,21 USD/kWh) est explicité [1], ce qui est utile pour la phase 3 [E].</w:t>
      </w:r>
    </w:p>
    <w:p>
      <w:pPr>
        <w:numPr>
          <w:ilvl w:val="0"/>
          <w:numId w:val="1448"/>
        </w:numPr>
        <w:pStyle w:val="Compact"/>
      </w:pPr>
      <w:r>
        <w:t xml:space="preserve">Engagement opérateur le plus saillant : concession OM&amp;M d’EDSA (démarrage mars 2026) — après un contrat de gestion basé sur la performance déjà financé par ESURP [1] ; le pacte ne fait pas le bilan de ce précédent [E].</w:t>
      </w:r>
    </w:p>
    <w:p>
      <w:pPr>
        <w:numPr>
          <w:ilvl w:val="0"/>
          <w:numId w:val="1448"/>
        </w:numPr>
        <w:pStyle w:val="Compact"/>
      </w:pPr>
      <w:r>
        <w:t xml:space="preserve">Risques principaux : pertes &gt; 50 % et recouvrement de 57 % ; arriérés envers les fournisseurs régionaux (26 M USD) ; dépendance au fioul ; goulet de la ligne 161 kV ; incohérences d’annexe (cuisson 150 000 « connexions » et SHS 27 400 semblent inversés par rapport aux &gt; 150 000 SHS cités dans le texte ; montants de subvention en « millions d’USD » manifestement erronés) [1] [E].</w:t>
      </w:r>
    </w:p>
    <w:p>
      <w:pPr>
        <w:numPr>
          <w:ilvl w:val="0"/>
          <w:numId w:val="1448"/>
        </w:numPr>
        <w:pStyle w:val="Compact"/>
      </w:pPr>
      <w:r>
        <w:t xml:space="preserve">Points à approfondir — phase 2 (opérateur) : contrat de concession EDSA (statut réel 2026, périmètre, garanties), bilan du contrat de gestion antérieur, compte de recettes sectoriel. Phase 3 (tarifs) : MYTO EWRC 2026, révision du PPA EDSA–EGTC, subventions budgétaires.</w:t>
      </w:r>
    </w:p>
    <w:bookmarkEnd w:id="463"/>
    <w:bookmarkStart w:id="464" w:name="inconnus-données-non-trouvées-28"/>
    <w:p>
      <w:pPr>
        <w:pStyle w:val="Heading3"/>
      </w:pPr>
      <w:r>
        <w:t xml:space="preserve">7. Inconnus / données non trouvées</w:t>
      </w:r>
    </w:p>
    <w:p>
      <w:pPr>
        <w:numPr>
          <w:ilvl w:val="0"/>
          <w:numId w:val="1449"/>
        </w:numPr>
        <w:pStyle w:val="Compact"/>
      </w:pPr>
      <w:r>
        <w:t xml:space="preserve">Date et lieu de présentation exacts : [?].</w:t>
      </w:r>
    </w:p>
    <w:p>
      <w:pPr>
        <w:numPr>
          <w:ilvl w:val="0"/>
          <w:numId w:val="1449"/>
        </w:numPr>
        <w:pStyle w:val="Compact"/>
      </w:pPr>
      <w:r>
        <w:t xml:space="preserve">Taux d’accès urbain / rural : [?].</w:t>
      </w:r>
    </w:p>
    <w:p>
      <w:pPr>
        <w:numPr>
          <w:ilvl w:val="0"/>
          <w:numId w:val="1449"/>
        </w:numPr>
        <w:pStyle w:val="Compact"/>
      </w:pPr>
      <w:r>
        <w:t xml:space="preserve">Cibles chiffrées de pertes et de recouvrement d’EDSA : [?].</w:t>
      </w:r>
    </w:p>
    <w:p>
      <w:pPr>
        <w:numPr>
          <w:ilvl w:val="0"/>
          <w:numId w:val="1449"/>
        </w:numPr>
        <w:pStyle w:val="Compact"/>
      </w:pPr>
      <w:r>
        <w:t xml:space="preserve">Montant cible des subventions / trajectoire : [?].</w:t>
      </w:r>
    </w:p>
    <w:p>
      <w:pPr>
        <w:numPr>
          <w:ilvl w:val="0"/>
          <w:numId w:val="1449"/>
        </w:numPr>
        <w:pStyle w:val="Compact"/>
      </w:pPr>
      <w:r>
        <w:t xml:space="preserve">Statut effectif de la concession EDSA en 2026 : [?] (non vérifié, aucun rapport d’avancement).</w:t>
      </w:r>
    </w:p>
    <w:p>
      <w:pPr>
        <w:numPr>
          <w:ilvl w:val="0"/>
          <w:numId w:val="1449"/>
        </w:numPr>
        <w:pStyle w:val="Compact"/>
      </w:pPr>
      <w:r>
        <w:t xml:space="preserve">Cohérence des cibles de capacité (1,12 vs 1,17 GW) : [?].</w:t>
      </w:r>
    </w:p>
    <w:p>
      <w:pPr>
        <w:numPr>
          <w:ilvl w:val="0"/>
          <w:numId w:val="1449"/>
        </w:numPr>
        <w:pStyle w:val="Compact"/>
      </w:pPr>
      <w:r>
        <w:t xml:space="preserve">Valeurs exactes de subvention de l’annexe I (unités incohérentes) : [?].</w:t>
      </w:r>
    </w:p>
    <w:bookmarkEnd w:id="464"/>
    <w:bookmarkStart w:id="465" w:name="sources-29"/>
    <w:p>
      <w:pPr>
        <w:pStyle w:val="Heading3"/>
      </w:pPr>
      <w:r>
        <w:t xml:space="preserve">Sources</w:t>
      </w:r>
    </w:p>
    <w:p>
      <w:pPr>
        <w:pStyle w:val="FirstParagraph"/>
      </w:pPr>
      <w:r>
        <w:t xml:space="preserve">[1] Government of Sierra Leone, « National Energy Compact for the Republic of Sierra Leone », Mission 300, s.d. (base 2025), 39 p. https://www.worldbank.org/content/dam/theworldbankgroupasset/document/2026/m300-energy-compacts/Sierra-Leone-National-Energy-Compact-Mission-300.pdf (consulté le 18/10/2026)</w:t>
      </w:r>
      <w:r>
        <w:t xml:space="preserve"> </w:t>
      </w:r>
      <w:r>
        <w:t xml:space="preserve">[2] Banque mondiale, page « National Energy Compacts ». https://www.worldbank.org/ext/en/energizingafrica/national-energy-compacts (consultée le 18/10/2026)</w:t>
      </w:r>
    </w:p>
    <w:p>
      <w:r>
        <w:br w:type="page"/>
      </w:r>
    </w:p>
    <w:bookmarkEnd w:id="465"/>
    <w:bookmarkEnd w:id="466"/>
    <w:bookmarkStart w:id="482" w:name="Xd4bde4b7cc749f334f537e7edd54904fe7a9591"/>
    <w:p>
      <w:pPr>
        <w:pStyle w:val="Heading2"/>
      </w:pPr>
      <w:r>
        <w:t xml:space="preserve">Fiche pacte national de l’énergie — São Tomé-et-Príncipe</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467" w:name="métadonnées-29"/>
    <w:p>
      <w:pPr>
        <w:pStyle w:val="Heading3"/>
      </w:pPr>
      <w:r>
        <w:t xml:space="preserve">0. Métadonnées</w:t>
      </w:r>
    </w:p>
    <w:p>
      <w:pPr>
        <w:numPr>
          <w:ilvl w:val="0"/>
          <w:numId w:val="1450"/>
        </w:numPr>
        <w:pStyle w:val="Compact"/>
      </w:pPr>
      <w:r>
        <w:t xml:space="preserve">Cohorte / date de présentation : 2e vague ; la page BM date le pacte de « Sep 2025 » [2] [V] ; métadonnées PDF : création le 22-09-2025 [1] [V]. Événement de présentation : [?]. Aucun rapport d’avancement publié sur la page BM au 2026-10-18 [2] [V].</w:t>
      </w:r>
    </w:p>
    <w:p>
      <w:pPr>
        <w:numPr>
          <w:ilvl w:val="0"/>
          <w:numId w:val="1450"/>
        </w:numPr>
        <w:pStyle w:val="Compact"/>
      </w:pPr>
      <w:r>
        <w:t xml:space="preserve">Document du pacte consulté : « National Energy Compact for Sao Tome and Principe »,</w:t>
      </w:r>
      <w:r>
        <w:t xml:space="preserve"> </w:t>
      </w:r>
      <w:r>
        <w:rPr>
          <w:bCs/>
          <w:b/>
        </w:rPr>
        <w:t xml:space="preserve">en anglais</w:t>
      </w:r>
      <w:r>
        <w:t xml:space="preserve"> </w:t>
      </w:r>
      <w:r>
        <w:t xml:space="preserve">(aucune version portugaise ou française trouvée sur la page BM), 27 p., non daté (fichier</w:t>
      </w:r>
      <w:r>
        <w:t xml:space="preserve"> </w:t>
      </w:r>
      <w:r>
        <w:rPr>
          <w:rStyle w:val="VerbatimChar"/>
        </w:rPr>
        <w:t xml:space="preserve">Sao-Tome-National-Energy-Compact-Mission-300.pdf</w:t>
      </w:r>
      <w:r>
        <w:t xml:space="preserve">) [1]. Les citations ci-dessous sont traduites par nous.</w:t>
      </w:r>
    </w:p>
    <w:p>
      <w:pPr>
        <w:numPr>
          <w:ilvl w:val="0"/>
          <w:numId w:val="1450"/>
        </w:numPr>
        <w:pStyle w:val="Compact"/>
      </w:pPr>
      <w:r>
        <w:t xml:space="preserve">Accès au texte intégral :</w:t>
      </w:r>
      <w:r>
        <w:t xml:space="preserve"> </w:t>
      </w:r>
      <w:r>
        <w:rPr>
          <w:bCs/>
          <w:b/>
        </w:rPr>
        <w:t xml:space="preserve">oui</w:t>
      </w:r>
      <w:r>
        <w:t xml:space="preserve"> </w:t>
      </w:r>
      <w:r>
        <w:t xml:space="preserve">(PDF téléchargé et lu intégralement le 2026-10-18).</w:t>
      </w:r>
    </w:p>
    <w:p>
      <w:pPr>
        <w:numPr>
          <w:ilvl w:val="0"/>
          <w:numId w:val="1450"/>
        </w:numPr>
        <w:pStyle w:val="Compact"/>
      </w:pPr>
      <w:r>
        <w:t xml:space="preserve">Opérateur(s) national(aux) d’électricité : EMAE (Empresa de Água e Electricidade), entreprise publique « futur concessionnaire », intégrée (production, transport, distribution, commercialisation), sous tutelle technique du MIRN et financière du MEEF [1, §3] [V]. Projet de</w:t>
      </w:r>
      <w:r>
        <w:t xml:space="preserve"> </w:t>
      </w:r>
      <w:r>
        <w:rPr>
          <w:bCs/>
          <w:b/>
        </w:rPr>
        <w:t xml:space="preserve">délégation au privé des fonctions commerciales d’EMAE</w:t>
      </w:r>
      <w:r>
        <w:t xml:space="preserve"> </w:t>
      </w:r>
      <w:r>
        <w:t xml:space="preserve">[1] [V].</w:t>
      </w:r>
    </w:p>
    <w:p>
      <w:pPr>
        <w:numPr>
          <w:ilvl w:val="0"/>
          <w:numId w:val="1450"/>
        </w:numPr>
        <w:pStyle w:val="Compact"/>
      </w:pPr>
      <w:r>
        <w:t xml:space="preserve">Régulateur : AGER (Autoridade Geral de Regulação), autonome ; politique sectorielle : DGRNE (Direction générale des ressources naturelles et de l’énergie) au sein du Ministère des Infrastructures et des Ressources naturelles (MIRN) [1] [V].</w:t>
      </w:r>
    </w:p>
    <w:bookmarkEnd w:id="467"/>
    <w:bookmarkStart w:id="468" w:name="situation-de-départ-selon-le-pacte-29"/>
    <w:p>
      <w:pPr>
        <w:pStyle w:val="Heading3"/>
      </w:pPr>
      <w:r>
        <w:t xml:space="preserve">1. Situation de départ (selon le pacte)</w:t>
      </w:r>
    </w:p>
    <w:p>
      <w:pPr>
        <w:numPr>
          <w:ilvl w:val="0"/>
          <w:numId w:val="1451"/>
        </w:numPr>
        <w:pStyle w:val="Compact"/>
      </w:pPr>
      <w:r>
        <w:t xml:space="preserve">Taux d’accès national / urbain / rural : 84 % (2024) [1, tableau des cibles] ; ailleurs « électrification d’environ 84,7 % et taux d’accès d’environ 70,4 % » [1, §4 Pilier VI] [V]. Ventilation urbain/rural : [?] non fournie ; l’accès reste « inégal, en particulier en zone rurale » [1] [V].</w:t>
      </w:r>
    </w:p>
    <w:p>
      <w:pPr>
        <w:numPr>
          <w:ilvl w:val="0"/>
          <w:numId w:val="1451"/>
        </w:numPr>
        <w:pStyle w:val="Compact"/>
      </w:pPr>
      <w:r>
        <w:t xml:space="preserve">Population : 210 000 (2020) → 258 000 (2030) [1, §3] [V].</w:t>
      </w:r>
    </w:p>
    <w:p>
      <w:pPr>
        <w:numPr>
          <w:ilvl w:val="0"/>
          <w:numId w:val="1451"/>
        </w:numPr>
        <w:pStyle w:val="Compact"/>
      </w:pPr>
      <w:r>
        <w:t xml:space="preserve">Population sans accès : non chiffrée [?] (≈ 16 % de ~250 000, soit ~40 000 personnes [E]).</w:t>
      </w:r>
    </w:p>
    <w:p>
      <w:pPr>
        <w:numPr>
          <w:ilvl w:val="0"/>
          <w:numId w:val="1451"/>
        </w:numPr>
        <w:pStyle w:val="Compact"/>
      </w:pPr>
      <w:r>
        <w:t xml:space="preserve">Capacité installée, mix : 38 MW installés (19 MW disponibles) ; ~95 % diesel thermique, ~5 % hydro + solaire [1, §4 et Annexe II] [V] (le tableau des cibles indique 3 % d’ENR [1] [V]). 5 centrales thermiques (Santo Amaro 1-3, Bobô-Foro 2, Tesla), 2 centrales PV, 1 hydro ; solaire 2 MWp, hydro 1,8 MW [1] [V]. Production totale 106,3 GWh [1, Annexe II] [V]. Réseau : 275 km (30 kV : 200 km ; 6 kV : 75 km) [1] [V]. Délestages de 3 à 7 heures par jour [1, Annexe II] [V].</w:t>
      </w:r>
    </w:p>
    <w:p>
      <w:pPr>
        <w:numPr>
          <w:ilvl w:val="0"/>
          <w:numId w:val="1451"/>
        </w:numPr>
        <w:pStyle w:val="Compact"/>
      </w:pPr>
      <w:r>
        <w:t xml:space="preserve">Accès à la cuisson propre : 62 % (2024) [1, cibles et Annexe II] ; mais 18,97 % des ménages en 2020 (GPL 18,89 %, électricité 0,08 % ; bois 62,26 %, charbon 18,77 %) [1, §3] [V] — écart non expliqué (définitions différentes, probablement foyers améliorés inclus en 2024 [E]).</w:t>
      </w:r>
    </w:p>
    <w:bookmarkEnd w:id="468"/>
    <w:bookmarkStart w:id="469" w:name="cibles-2030-28"/>
    <w:p>
      <w:pPr>
        <w:pStyle w:val="Heading3"/>
      </w:pPr>
      <w:r>
        <w:t xml:space="preserve">2. Cibles 2030</w:t>
      </w:r>
    </w:p>
    <w:p>
      <w:pPr>
        <w:numPr>
          <w:ilvl w:val="0"/>
          <w:numId w:val="1452"/>
        </w:numPr>
        <w:pStyle w:val="Compact"/>
      </w:pPr>
      <w:r>
        <w:t xml:space="preserve">Accès électricité : 100 % (contre 84 %), axé sur l’électrification rurale via le réseau et/ou mini-réseaux hors réseau [1] [V]. Actions chiffrées : 2 000 raccordements réseau (2026) + 6 000 (2027-2028) ; 800 systèmes hors réseau (2026) [1, plan d’action] [V].</w:t>
      </w:r>
    </w:p>
    <w:p>
      <w:pPr>
        <w:numPr>
          <w:ilvl w:val="0"/>
          <w:numId w:val="1452"/>
        </w:numPr>
        <w:pStyle w:val="Compact"/>
      </w:pPr>
      <w:r>
        <w:t xml:space="preserve">Part des renouvelables : 50 % du mix en 2030 (contre 5 %/3 %) [1] [V]. Solaire : 18 MWp (tableau des cibles)</w:t>
      </w:r>
      <w:r>
        <w:t xml:space="preserve"> </w:t>
      </w:r>
      <w:r>
        <w:rPr>
          <w:bCs/>
          <w:b/>
        </w:rPr>
        <w:t xml:space="preserve">ou</w:t>
      </w:r>
      <w:r>
        <w:t xml:space="preserve"> </w:t>
      </w:r>
      <w:r>
        <w:t xml:space="preserve">30 MWp (plan d’action) ; hydro : 10,1 MW (tableau)</w:t>
      </w:r>
      <w:r>
        <w:t xml:space="preserve"> </w:t>
      </w:r>
      <w:r>
        <w:rPr>
          <w:bCs/>
          <w:b/>
        </w:rPr>
        <w:t xml:space="preserve">ou</w:t>
      </w:r>
      <w:r>
        <w:t xml:space="preserve"> </w:t>
      </w:r>
      <w:r>
        <w:t xml:space="preserve">9 MW (plan d’action) [1] [V] — incohérence. +60 MW de capacité d’ici 2030 (à partir de 38 MW) [1, Pilier I] [V].</w:t>
      </w:r>
    </w:p>
    <w:p>
      <w:pPr>
        <w:numPr>
          <w:ilvl w:val="0"/>
          <w:numId w:val="1452"/>
        </w:numPr>
        <w:pStyle w:val="Compact"/>
      </w:pPr>
      <w:r>
        <w:t xml:space="preserve">Cuisson propre : 75 % en 2030 (contre 62 %) [1] [V].</w:t>
      </w:r>
    </w:p>
    <w:p>
      <w:pPr>
        <w:numPr>
          <w:ilvl w:val="0"/>
          <w:numId w:val="1452"/>
        </w:numPr>
        <w:pStyle w:val="Compact"/>
      </w:pPr>
      <w:r>
        <w:t xml:space="preserve">Autres cibles chiffrées :</w:t>
      </w:r>
    </w:p>
    <w:p>
      <w:pPr>
        <w:numPr>
          <w:ilvl w:val="1"/>
          <w:numId w:val="1453"/>
        </w:numPr>
        <w:pStyle w:val="Compact"/>
      </w:pPr>
      <w:r>
        <w:t xml:space="preserve">Capital privé : ≥ 190 M USD (~64 % de l’investissement total) [1] [V].</w:t>
      </w:r>
    </w:p>
    <w:p>
      <w:pPr>
        <w:numPr>
          <w:ilvl w:val="1"/>
          <w:numId w:val="1453"/>
        </w:numPr>
        <w:pStyle w:val="Compact"/>
      </w:pPr>
      <w:r>
        <w:t xml:space="preserve">Pertes ATCC : 34 % → 18 % en 2030 [1, plan d’action IV] [V].</w:t>
      </w:r>
    </w:p>
    <w:p>
      <w:pPr>
        <w:numPr>
          <w:ilvl w:val="1"/>
          <w:numId w:val="1453"/>
        </w:numPr>
        <w:pStyle w:val="Compact"/>
      </w:pPr>
      <w:r>
        <w:t xml:space="preserve">10 MW de capacité diesel convertie à un combustible alternatif (HFO ou gaz) — centrale bi-combustible de 10 MW en 2028 [1] [V].</w:t>
      </w:r>
    </w:p>
    <w:p>
      <w:pPr>
        <w:numPr>
          <w:ilvl w:val="1"/>
          <w:numId w:val="1453"/>
        </w:numPr>
        <w:pStyle w:val="Compact"/>
      </w:pPr>
      <w:r>
        <w:t xml:space="preserve">Genre : +30 % de ménages dirigés par des femmes et d’entreprises de femmes ayant accès ; +30 % de femmes aux postes techniques/direction [1] [V].</w:t>
      </w:r>
    </w:p>
    <w:p>
      <w:pPr>
        <w:numPr>
          <w:ilvl w:val="1"/>
          <w:numId w:val="1453"/>
        </w:numPr>
        <w:pStyle w:val="Compact"/>
      </w:pPr>
      <w:r>
        <w:t xml:space="preserve">1 000 lampadaires LED (2027) [1] [V].</w:t>
      </w:r>
    </w:p>
    <w:bookmarkEnd w:id="469"/>
    <w:bookmarkStart w:id="476" w:name="réformes-promises-cœur-de-lanalyse-23"/>
    <w:p>
      <w:pPr>
        <w:pStyle w:val="Heading3"/>
      </w:pPr>
      <w:r>
        <w:t xml:space="preserve">3. Réformes promises (cœur de l’analyse)</w:t>
      </w:r>
    </w:p>
    <w:bookmarkStart w:id="470" w:name="tarifs-et-subventions-29"/>
    <w:p>
      <w:pPr>
        <w:pStyle w:val="Heading4"/>
      </w:pPr>
      <w:r>
        <w:t xml:space="preserve">3.1 Tarifs et subventions</w:t>
      </w:r>
    </w:p>
    <w:p>
      <w:pPr>
        <w:numPr>
          <w:ilvl w:val="0"/>
          <w:numId w:val="1454"/>
        </w:numPr>
        <w:pStyle w:val="Compact"/>
      </w:pPr>
      <w:r>
        <w:t xml:space="preserve">Tarifs non révisés entre 2018 et 2024 ;</w:t>
      </w:r>
      <w:r>
        <w:t xml:space="preserve"> </w:t>
      </w:r>
      <w:r>
        <w:rPr>
          <w:bCs/>
          <w:b/>
        </w:rPr>
        <w:t xml:space="preserve">nouvelle méthodologie tarifaire approuvée en 2024</w:t>
      </w:r>
      <w:r>
        <w:t xml:space="preserve">, première hausse au 1er janvier 2025 :</w:t>
      </w:r>
      <w:r>
        <w:t xml:space="preserve"> </w:t>
      </w:r>
      <w:r>
        <w:rPr>
          <w:bCs/>
          <w:b/>
        </w:rPr>
        <w:t xml:space="preserve">+15 % en moyenne toutes catégories, avec une trajectoire de 5 ans vers le recouvrement intégral des coûts</w:t>
      </w:r>
      <w:r>
        <w:t xml:space="preserve"> </w:t>
      </w:r>
      <w:r>
        <w:t xml:space="preserve">[1, §3 et §4 Pilier VIII] [V].</w:t>
      </w:r>
    </w:p>
    <w:p>
      <w:pPr>
        <w:numPr>
          <w:ilvl w:val="0"/>
          <w:numId w:val="1454"/>
        </w:numPr>
        <w:pStyle w:val="Compact"/>
      </w:pPr>
      <w:r>
        <w:t xml:space="preserve">Engagement : « ajuster les tarifs chaque année selon la méthodologie approuvée (en cours) » [1, plan d’action IV] ; « recouvrement intégral des coûts d’ici 2030 » via ajustements tarifaires, restructuration de la dette et réformes opérationnelles [1, Pilier IV déclaration] [V].</w:t>
      </w:r>
    </w:p>
    <w:p>
      <w:pPr>
        <w:numPr>
          <w:ilvl w:val="0"/>
          <w:numId w:val="1454"/>
        </w:numPr>
        <w:pStyle w:val="Compact"/>
      </w:pPr>
      <w:r>
        <w:t xml:space="preserve">Réorientation des subventions pour préserver l’abordabilité [1, Key Policy Frameworks] [V] ; prix des carburants ajustés en 2023 (suppression des subventions explicites, mais ajustement automatique non encore appliqué) [1, §3] [V].</w:t>
      </w:r>
    </w:p>
    <w:p>
      <w:pPr>
        <w:numPr>
          <w:ilvl w:val="0"/>
          <w:numId w:val="1454"/>
        </w:numPr>
        <w:pStyle w:val="Compact"/>
      </w:pPr>
      <w:r>
        <w:t xml:space="preserve">Niveaux de subvention pour systèmes hors réseau et foyers améliorés à approuver sur la base d’une analyse d’accessibilité (2026) ; fonds de subvention pour foyers améliorés (gouvernance 2027, intermédiaire financier sélectionné 2027) ; subventions ciblées sur le GPL et les réchauds [1] [V].</w:t>
      </w:r>
    </w:p>
    <w:p>
      <w:pPr>
        <w:numPr>
          <w:ilvl w:val="0"/>
          <w:numId w:val="1454"/>
        </w:numPr>
        <w:pStyle w:val="Compact"/>
      </w:pPr>
      <w:r>
        <w:t xml:space="preserve">Tarif moyen, montant total des subventions, trajectoire de réflectivité : « Information not available » [1, Annexe II] → [?].</w:t>
      </w:r>
    </w:p>
    <w:p>
      <w:pPr>
        <w:numPr>
          <w:ilvl w:val="0"/>
          <w:numId w:val="1454"/>
        </w:numPr>
        <w:pStyle w:val="Compact"/>
      </w:pPr>
      <w:r>
        <w:t xml:space="preserve">Mécanisme d’incitation de type feed-in tariff pour les toitures solaires (conception 2026, banque intermédiaire 2027) [1] [V].</w:t>
      </w:r>
    </w:p>
    <w:bookmarkEnd w:id="470"/>
    <w:bookmarkStart w:id="471" w:name="X7e78b777939d957bb878a30506e66af3b8836c4"/>
    <w:p>
      <w:pPr>
        <w:pStyle w:val="Heading4"/>
      </w:pPr>
      <w:r>
        <w:t xml:space="preserve">3.2 Opérateur (redressement, contrats de performance, pertes, recouvrement, compteurs)</w:t>
      </w:r>
    </w:p>
    <w:p>
      <w:pPr>
        <w:numPr>
          <w:ilvl w:val="0"/>
          <w:numId w:val="1455"/>
        </w:numPr>
        <w:pStyle w:val="Compact"/>
      </w:pPr>
      <w:r>
        <w:rPr>
          <w:bCs/>
          <w:b/>
        </w:rPr>
        <w:t xml:space="preserve">Concession des activités commerciales d’EMAE au privé</w:t>
      </w:r>
      <w:r>
        <w:t xml:space="preserve"> </w:t>
      </w:r>
      <w:r>
        <w:t xml:space="preserve">: cadre de concession approuvé en 2025, attribution en 2026 ; un cabinet conseil est engagé, processus prévu pour être achevé en décembre 2025 [1] [V].</w:t>
      </w:r>
    </w:p>
    <w:p>
      <w:pPr>
        <w:numPr>
          <w:ilvl w:val="0"/>
          <w:numId w:val="1455"/>
        </w:numPr>
        <w:pStyle w:val="Compact"/>
      </w:pPr>
      <w:r>
        <w:t xml:space="preserve">Situation : seuls 30 % des consommateurs sont des clients en règle payant à temps ; ~30 % sans contrat ; 10 % comptés mais ne payant pas ; 20-30 % paient en retard [1, Pilier VIII] [V].</w:t>
      </w:r>
    </w:p>
    <w:p>
      <w:pPr>
        <w:numPr>
          <w:ilvl w:val="0"/>
          <w:numId w:val="1455"/>
        </w:numPr>
        <w:pStyle w:val="Compact"/>
      </w:pPr>
      <w:r>
        <w:t xml:space="preserve">Pertes ATCC 34 % → 18 % (2030) [1] [V].</w:t>
      </w:r>
    </w:p>
    <w:p>
      <w:pPr>
        <w:numPr>
          <w:ilvl w:val="0"/>
          <w:numId w:val="1455"/>
        </w:numPr>
        <w:pStyle w:val="Compact"/>
      </w:pPr>
      <w:r>
        <w:t xml:space="preserve">Compteurs : 3 000 compteurs intelligents pour clients sans compteur (2025) ; 4 000 pour gros consommateurs (2026) ; remplacement de 15 000 compteurs postpayés (2026) puis de tous les clients non critiques (2027) ; achat de crédit par mobile (2028) [1] [V]. (Annexe II : « Metered : 3,861,5575 / Prepaid : 3,861,5576 », valeurs manifestement erronées [1] [V].)</w:t>
      </w:r>
    </w:p>
    <w:p>
      <w:pPr>
        <w:numPr>
          <w:ilvl w:val="0"/>
          <w:numId w:val="1455"/>
        </w:numPr>
        <w:pStyle w:val="Compact"/>
      </w:pPr>
      <w:r>
        <w:t xml:space="preserve">États financiers audités (sans réserve) publiés dans les 6 mois après la clôture, chaque année à partir de 2026 ; nouveau système d’information de gestion (MIS) en 2026 ; géoréférencement des actifs (2027) [1] [V].</w:t>
      </w:r>
    </w:p>
    <w:p>
      <w:pPr>
        <w:numPr>
          <w:ilvl w:val="0"/>
          <w:numId w:val="1455"/>
        </w:numPr>
        <w:pStyle w:val="Compact"/>
      </w:pPr>
      <w:r>
        <w:t xml:space="preserve">Restructuration de la dette d’EMAE annoncée sans détail ni montant [1] [V] → montant [?]. EMAE a « une crédibilité actuellement faible » [1] [V].</w:t>
      </w:r>
    </w:p>
    <w:p>
      <w:pPr>
        <w:numPr>
          <w:ilvl w:val="0"/>
          <w:numId w:val="1455"/>
        </w:numPr>
        <w:pStyle w:val="Compact"/>
      </w:pPr>
      <w:r>
        <w:rPr>
          <w:bCs/>
          <w:b/>
        </w:rPr>
        <w:t xml:space="preserve">Compte centralisé des recettes du secteur</w:t>
      </w:r>
      <w:r>
        <w:t xml:space="preserve"> </w:t>
      </w:r>
      <w:r>
        <w:t xml:space="preserve">(cascade de paiements incluant les IPP) : gouvernance approuvée 2026, opérationnel 2027 [1] [V].</w:t>
      </w:r>
    </w:p>
    <w:bookmarkEnd w:id="471"/>
    <w:bookmarkStart w:id="472" w:name="régulation-et-gouvernance-19"/>
    <w:p>
      <w:pPr>
        <w:pStyle w:val="Heading4"/>
      </w:pPr>
      <w:r>
        <w:t xml:space="preserve">3.3 Régulation et gouvernance</w:t>
      </w:r>
    </w:p>
    <w:p>
      <w:pPr>
        <w:numPr>
          <w:ilvl w:val="0"/>
          <w:numId w:val="1456"/>
        </w:numPr>
        <w:pStyle w:val="Compact"/>
      </w:pPr>
      <w:r>
        <w:t xml:space="preserve">Mise à jour périodique des plans à partir de 2026 ; plan directeur (production, transport, distribution, résilience climatique CCDR) publié en 2027, mis à jour en 2029 [1] [V].</w:t>
      </w:r>
    </w:p>
    <w:p>
      <w:pPr>
        <w:numPr>
          <w:ilvl w:val="0"/>
          <w:numId w:val="1456"/>
        </w:numPr>
        <w:pStyle w:val="Compact"/>
      </w:pPr>
      <w:r>
        <w:t xml:space="preserve">Normes techniques et code de réseau BT/MT (2026) [1] [V].</w:t>
      </w:r>
    </w:p>
    <w:p>
      <w:pPr>
        <w:numPr>
          <w:ilvl w:val="0"/>
          <w:numId w:val="1456"/>
        </w:numPr>
        <w:pStyle w:val="Compact"/>
      </w:pPr>
      <w:r>
        <w:t xml:space="preserve">Révision du Décret-loi 26/2014 (cadre juridique du secteur) pour clarifier les activités privées et les droits d’accès des IPP (2026) ; régime d’accès ouvert (open access) avec documents standardisés [1] [V].</w:t>
      </w:r>
    </w:p>
    <w:p>
      <w:pPr>
        <w:numPr>
          <w:ilvl w:val="0"/>
          <w:numId w:val="1456"/>
        </w:numPr>
        <w:pStyle w:val="Compact"/>
      </w:pPr>
      <w:r>
        <w:t xml:space="preserve">Décret-loi sur l’autoproduction et les mini-réseaux (2025) ; cadre réglementaire mini-réseaux jusqu’à 5 MW (2026) ; règlement IPP [1] [V].</w:t>
      </w:r>
    </w:p>
    <w:p>
      <w:pPr>
        <w:numPr>
          <w:ilvl w:val="0"/>
          <w:numId w:val="1456"/>
        </w:numPr>
        <w:pStyle w:val="Compact"/>
      </w:pPr>
      <w:r>
        <w:t xml:space="preserve">Publication des processus de licences sur le site du régulateur (2025) [1] [V].</w:t>
      </w:r>
    </w:p>
    <w:p>
      <w:pPr>
        <w:numPr>
          <w:ilvl w:val="0"/>
          <w:numId w:val="1456"/>
        </w:numPr>
        <w:pStyle w:val="Compact"/>
      </w:pPr>
      <w:r>
        <w:t xml:space="preserve">Plan PADRES (décarbonation et résilience 2024-2035) adopté [1] [V].</w:t>
      </w:r>
    </w:p>
    <w:bookmarkEnd w:id="472"/>
    <w:bookmarkStart w:id="473" w:name="X9f07b3bfc9b1f229eb4135ecab4019113f8d1a4"/>
    <w:p>
      <w:pPr>
        <w:pStyle w:val="Heading4"/>
      </w:pPr>
      <w:r>
        <w:t xml:space="preserve">3.4 Participation du privé (producteurs indépendants, concessions, hors réseau)</w:t>
      </w:r>
    </w:p>
    <w:p>
      <w:pPr>
        <w:numPr>
          <w:ilvl w:val="0"/>
          <w:numId w:val="1457"/>
        </w:numPr>
        <w:pStyle w:val="Compact"/>
      </w:pPr>
      <w:r>
        <w:t xml:space="preserve">Cadre de passation transparent et concurrentiel et</w:t>
      </w:r>
      <w:r>
        <w:t xml:space="preserve"> </w:t>
      </w:r>
      <w:r>
        <w:rPr>
          <w:bCs/>
          <w:b/>
        </w:rPr>
        <w:t xml:space="preserve">unité dédiée aux appels d’offres ENR d’ici 2026</w:t>
      </w:r>
      <w:r>
        <w:t xml:space="preserve"> </w:t>
      </w:r>
      <w:r>
        <w:t xml:space="preserve">[1] [V].</w:t>
      </w:r>
    </w:p>
    <w:p>
      <w:pPr>
        <w:numPr>
          <w:ilvl w:val="0"/>
          <w:numId w:val="1457"/>
        </w:numPr>
        <w:pStyle w:val="Compact"/>
      </w:pPr>
      <w:r>
        <w:t xml:space="preserve">Solaire : conseiller en transaction (fait en 2025) ; site d’Água Casada pour 20 MWp (2025) ; bail de 5 ans pour une centrale de 11 MWp + 8 MWh de stockage (SCATEC, 2026) ; sélection d’un IPP pour 20 MWp (2026), bouclage financier 2027 ; 2-3 MWp + 2-4 MWh à Príncipe (2026) [1] [V].</w:t>
      </w:r>
    </w:p>
    <w:p>
      <w:pPr>
        <w:numPr>
          <w:ilvl w:val="0"/>
          <w:numId w:val="1457"/>
        </w:numPr>
        <w:pStyle w:val="Compact"/>
      </w:pPr>
      <w:r>
        <w:t xml:space="preserve">Hydro : PPA et construction d’Io Grande (6,9 MW) en 2027 ; partenaire stratégique pour Io Grande et Bombaim ; Contador (3,2 MW) en service en 2028 ; réhabilitation Agostinho Neto et Guegue (PPA 2029) [1] [V].</w:t>
      </w:r>
    </w:p>
    <w:p>
      <w:pPr>
        <w:numPr>
          <w:ilvl w:val="0"/>
          <w:numId w:val="1457"/>
        </w:numPr>
        <w:pStyle w:val="Compact"/>
      </w:pPr>
      <w:r>
        <w:t xml:space="preserve">Hors réseau : jusqu’à 3 prestataires privés sélectionnés par concurrence pour distribuer et maintenir des SHS (2026) [1] [V].</w:t>
      </w:r>
    </w:p>
    <w:p>
      <w:pPr>
        <w:numPr>
          <w:ilvl w:val="0"/>
          <w:numId w:val="1457"/>
        </w:numPr>
        <w:pStyle w:val="Compact"/>
      </w:pPr>
      <w:r>
        <w:t xml:space="preserve">Nouvelle loi PPP et Paquet de mesures d’accélération économique (PAE) cités [1] [V].</w:t>
      </w:r>
    </w:p>
    <w:bookmarkEnd w:id="473"/>
    <w:bookmarkStart w:id="474" w:name="X9964ec287f61a068f976f335a50de9c4f760524"/>
    <w:p>
      <w:pPr>
        <w:pStyle w:val="Heading4"/>
      </w:pPr>
      <w:r>
        <w:t xml:space="preserve">3.5 Intégration régionale (pools énergétiques, interconnexions)</w:t>
      </w:r>
    </w:p>
    <w:p>
      <w:pPr>
        <w:numPr>
          <w:ilvl w:val="0"/>
          <w:numId w:val="1458"/>
        </w:numPr>
        <w:pStyle w:val="Compact"/>
      </w:pPr>
      <w:r>
        <w:t xml:space="preserve">Sans objet (État insulaire) — le pacte ne contient pas de pilier d’intégration régionale [1] [V]. Seule coopération mentionnée : laboratoires au Ghana pour la certification des appareils (2026-2027) [1] [V].</w:t>
      </w:r>
    </w:p>
    <w:bookmarkEnd w:id="474"/>
    <w:bookmarkStart w:id="475" w:name="X7a1ce6494a371d9b494044607b1b9de565db242"/>
    <w:p>
      <w:pPr>
        <w:pStyle w:val="Heading4"/>
      </w:pPr>
      <w:r>
        <w:t xml:space="preserve">3.6 Autres (fiscalité, foncier, local content)</w:t>
      </w:r>
    </w:p>
    <w:p>
      <w:pPr>
        <w:numPr>
          <w:ilvl w:val="0"/>
          <w:numId w:val="1459"/>
        </w:numPr>
        <w:pStyle w:val="Compact"/>
      </w:pPr>
      <w:r>
        <w:t xml:space="preserve">Décret-loi 4/2023 : exonération de droits de douane sur panneaux PV, onduleurs et composants ; hausse des droits sur ampoules inefficaces ; suppression des droits et taxes sur le GPL [1] [V].</w:t>
      </w:r>
    </w:p>
    <w:p>
      <w:pPr>
        <w:numPr>
          <w:ilvl w:val="0"/>
          <w:numId w:val="1459"/>
        </w:numPr>
        <w:pStyle w:val="Compact"/>
      </w:pPr>
      <w:r>
        <w:t xml:space="preserve">Normes minimales d’efficacité à l’import (ampoules, réfrigérateurs, climatiseurs) (2025) et étiquetage (2027) [1] [V].</w:t>
      </w:r>
    </w:p>
    <w:p>
      <w:pPr>
        <w:numPr>
          <w:ilvl w:val="0"/>
          <w:numId w:val="1459"/>
        </w:numPr>
        <w:pStyle w:val="Compact"/>
      </w:pPr>
      <w:r>
        <w:t xml:space="preserve">Étude sur l’approvisionnement en gaz/HFO (2025) ; étude biomasse et valorisation des déchets (2026) [1] [V].</w:t>
      </w:r>
    </w:p>
    <w:p>
      <w:pPr>
        <w:numPr>
          <w:ilvl w:val="0"/>
          <w:numId w:val="1459"/>
        </w:numPr>
        <w:pStyle w:val="Compact"/>
      </w:pPr>
      <w:r>
        <w:t xml:space="preserve">Code forestier appliqué avec sanctions (2026) ; règlement sur les droits d’eau (2026) [1] [V].</w:t>
      </w:r>
    </w:p>
    <w:bookmarkEnd w:id="475"/>
    <w:bookmarkEnd w:id="476"/>
    <w:bookmarkStart w:id="477" w:name="financement-29"/>
    <w:p>
      <w:pPr>
        <w:pStyle w:val="Heading3"/>
      </w:pPr>
      <w:r>
        <w:t xml:space="preserve">4. Financement</w:t>
      </w:r>
    </w:p>
    <w:p>
      <w:pPr>
        <w:numPr>
          <w:ilvl w:val="0"/>
          <w:numId w:val="1460"/>
        </w:numPr>
        <w:pStyle w:val="Compact"/>
      </w:pPr>
      <w:r>
        <w:t xml:space="preserve">Besoin total : 297 M USD d’ici 2030 — public 108 M (production 64, T&amp;D 31, cuisson 8, AT 5) ; privé 190 M (production 167, cuisson 23) [1, tableau] [V]. NB : 108 + 190 = 298, écart d’arrondi [E]. Annexe II : « Total : USD 23 Million out USD190 Million representing 12,1 % » (privé cuisson) [1] [V].</w:t>
      </w:r>
    </w:p>
    <w:p>
      <w:pPr>
        <w:numPr>
          <w:ilvl w:val="0"/>
          <w:numId w:val="1460"/>
        </w:numPr>
        <w:pStyle w:val="Compact"/>
      </w:pPr>
      <w:r>
        <w:t xml:space="preserve">Engagements cités (Annexe I) [1] [V] :</w:t>
      </w:r>
    </w:p>
    <w:p>
      <w:pPr>
        <w:numPr>
          <w:ilvl w:val="1"/>
          <w:numId w:val="1461"/>
        </w:numPr>
        <w:pStyle w:val="Compact"/>
      </w:pPr>
      <w:r>
        <w:t xml:space="preserve">BM — ACRE (Access to Clean and Resilient Electricity, 2023-2028) : 47,7 M USD (extension Contador, 800 ménages en SHS, ≥ 26 MWp dont 11 + 15 MWp privés) ;</w:t>
      </w:r>
    </w:p>
    <w:p>
      <w:pPr>
        <w:numPr>
          <w:ilvl w:val="1"/>
          <w:numId w:val="1461"/>
        </w:numPr>
        <w:pStyle w:val="Compact"/>
      </w:pPr>
      <w:r>
        <w:t xml:space="preserve">BM/BEI — PRSE (Electricity Sector Recovery Project, 2016-2025) : 33,72 M USD (protection des revenus, plan d’amélioration de gestion EMAE, étude tarifaire, plan de moindre coût) ;</w:t>
      </w:r>
    </w:p>
    <w:p>
      <w:pPr>
        <w:numPr>
          <w:ilvl w:val="1"/>
          <w:numId w:val="1461"/>
        </w:numPr>
        <w:pStyle w:val="Compact"/>
      </w:pPr>
      <w:r>
        <w:t xml:space="preserve">BAD — ETISP (Energy Transition and Institutional Support Program, 2021-2027) : 13,275 M USD (1,3 MW PV) ;</w:t>
      </w:r>
    </w:p>
    <w:p>
      <w:pPr>
        <w:numPr>
          <w:ilvl w:val="1"/>
          <w:numId w:val="1461"/>
        </w:numPr>
        <w:pStyle w:val="Compact"/>
      </w:pPr>
      <w:r>
        <w:t xml:space="preserve">ONUDI 1 M USD ; PNUD : mini-réseaux 2,018 M USD, santé/éducation 0,7 M, solarisation santé 1,3 M.</w:t>
      </w:r>
    </w:p>
    <w:p>
      <w:pPr>
        <w:numPr>
          <w:ilvl w:val="0"/>
          <w:numId w:val="1460"/>
        </w:numPr>
        <w:pStyle w:val="Compact"/>
      </w:pPr>
      <w:r>
        <w:t xml:space="preserve">Le texte mentionne aussi un projet ASCENT (MPA BM) pour 15 MWp à Água Casada [1, §3] [V].</w:t>
      </w:r>
    </w:p>
    <w:bookmarkEnd w:id="477"/>
    <w:bookmarkStart w:id="478" w:name="calendrier-et-suivi-29"/>
    <w:p>
      <w:pPr>
        <w:pStyle w:val="Heading3"/>
      </w:pPr>
      <w:r>
        <w:t xml:space="preserve">5. Calendrier et suivi</w:t>
      </w:r>
    </w:p>
    <w:p>
      <w:pPr>
        <w:numPr>
          <w:ilvl w:val="0"/>
          <w:numId w:val="1462"/>
        </w:numPr>
        <w:pStyle w:val="Compact"/>
      </w:pPr>
      <w:r>
        <w:t xml:space="preserve">Jalons : 2025 (règlement autoproduction, normes d’efficacité, cadre de concession commerciale EMAE, 3 000 compteurs, publication des licences, étude gaz) ; 2026 (unité d’achat ENR, concession commerciale EMAE, bail 11 MWp, IPP 20 MWp, mini-réseaux, révision DL 26/2014, compteurs, états financiers audités, plan cuisson) ; 2027 (plan directeur, compte centralisé, Io Grande, bouclage 20 MWp) ; 2028 (Contador, centrale bi-combustible 10 MW, paiement mobile) ; 2029 (mises à jour) [1] [V].</w:t>
      </w:r>
    </w:p>
    <w:p>
      <w:pPr>
        <w:numPr>
          <w:ilvl w:val="0"/>
          <w:numId w:val="1462"/>
        </w:numPr>
        <w:pStyle w:val="Compact"/>
      </w:pPr>
      <w:r>
        <w:t xml:space="preserve">Suivi : DGRNE renforcée en CDMU, rapportant au ministre du MIRN et au Comité de crise énergétique (rattaché au Premier ministre) ; représentation Finances, Énergie, EMAE, AGER ; statistiques sectorielles et KPI d’EMAE publiés tous les 6 mois à partir de 2025 ; rapports d’avancement annuels à partir de 2026 ; MTF tous les 3 ans (2027) [1, §4] [V].</w:t>
      </w:r>
    </w:p>
    <w:p>
      <w:pPr>
        <w:numPr>
          <w:ilvl w:val="0"/>
          <w:numId w:val="1462"/>
        </w:numPr>
        <w:pStyle w:val="Compact"/>
      </w:pPr>
      <w:r>
        <w:t xml:space="preserve">Mission 300 Task Force avec BM et BAD [1] [V].</w:t>
      </w:r>
    </w:p>
    <w:bookmarkEnd w:id="478"/>
    <w:bookmarkStart w:id="479" w:name="lecture-critique-23"/>
    <w:p>
      <w:pPr>
        <w:pStyle w:val="Heading3"/>
      </w:pPr>
      <w:r>
        <w:t xml:space="preserve">6. Lecture critique</w:t>
      </w:r>
    </w:p>
    <w:p>
      <w:pPr>
        <w:numPr>
          <w:ilvl w:val="0"/>
          <w:numId w:val="1463"/>
        </w:numPr>
        <w:pStyle w:val="Compact"/>
      </w:pPr>
      <w:r>
        <w:t xml:space="preserve">Réalisme des cibles : l’accès (84 → 100 %) est réaliste vu la taille du pays (~40 000 personnes [E]). Passer de ~5 % à 50 % d’ENR dans un système 100 % insulaire et diesel est ambitieux mais crédible si les projets solaires déjà engagés (11 MWp SCATEC, 15/20 MWp IPP) et Contador se concrétisent ; la question clé est l’intégration réseau (stockage, centre de contrôle 2027) [E]. Les cibles internes divergent (solaire 18 vs 30 MWp ; base cuisson 19 % vs 62 %) [1] [E].</w:t>
      </w:r>
    </w:p>
    <w:p>
      <w:pPr>
        <w:numPr>
          <w:ilvl w:val="0"/>
          <w:numId w:val="1463"/>
        </w:numPr>
        <w:pStyle w:val="Compact"/>
      </w:pPr>
      <w:r>
        <w:t xml:space="preserve">Engagements tarifaires :</w:t>
      </w:r>
      <w:r>
        <w:t xml:space="preserve"> </w:t>
      </w:r>
      <w:r>
        <w:rPr>
          <w:bCs/>
          <w:b/>
        </w:rPr>
        <w:t xml:space="preserve">précis</w:t>
      </w:r>
      <w:r>
        <w:t xml:space="preserve"> </w:t>
      </w:r>
      <w:r>
        <w:t xml:space="preserve">— méthodologie approuvée en 2024, +15 % au 1er janvier 2025, trajectoire de 5 ans vers le recouvrement intégral, ajustement annuel. Absence de données sur tarif moyen, subventions et coût de production (« information not available ») qui empêche de mesurer l’écart à combler [E].</w:t>
      </w:r>
    </w:p>
    <w:p>
      <w:pPr>
        <w:numPr>
          <w:ilvl w:val="0"/>
          <w:numId w:val="1463"/>
        </w:numPr>
        <w:pStyle w:val="Compact"/>
      </w:pPr>
      <w:r>
        <w:t xml:space="preserve">Risques principaux : crise macroéconomique et de change (pénuries de carburant 2023), dette liée aux achats de diesel ; seuls 30 % des clients paient régulièrement ; faible crédibilité d’EMAE comme acheteur (risque pour les PPA) ; délégation commerciale au privé — risque social/politique ; capacités humaines limitées [1] [E].</w:t>
      </w:r>
    </w:p>
    <w:p>
      <w:pPr>
        <w:numPr>
          <w:ilvl w:val="0"/>
          <w:numId w:val="1463"/>
        </w:numPr>
        <w:pStyle w:val="Compact"/>
      </w:pPr>
      <w:r>
        <w:t xml:space="preserve">Points à approfondir : phase 2 — contrat de concession commerciale d’EMAE (attributaire, durée, indicateurs), plan d’amélioration de gestion du PRSE, dette EMAE ; phase 3 — grille tarifaire 2025, trajectoire quinquennale, coût de production diesel, prix des PPA solaires (bail SCATEC).</w:t>
      </w:r>
    </w:p>
    <w:bookmarkEnd w:id="479"/>
    <w:bookmarkStart w:id="480" w:name="inconnus-données-non-trouvées-29"/>
    <w:p>
      <w:pPr>
        <w:pStyle w:val="Heading3"/>
      </w:pPr>
      <w:r>
        <w:t xml:space="preserve">7. Inconnus / données non trouvées</w:t>
      </w:r>
    </w:p>
    <w:p>
      <w:pPr>
        <w:numPr>
          <w:ilvl w:val="0"/>
          <w:numId w:val="1464"/>
        </w:numPr>
        <w:pStyle w:val="Compact"/>
      </w:pPr>
      <w:r>
        <w:t xml:space="preserve">Date et événement de présentation [?] ; version portugaise officielle [?].</w:t>
      </w:r>
    </w:p>
    <w:p>
      <w:pPr>
        <w:numPr>
          <w:ilvl w:val="0"/>
          <w:numId w:val="1464"/>
        </w:numPr>
        <w:pStyle w:val="Compact"/>
      </w:pPr>
      <w:r>
        <w:t xml:space="preserve">Accès urbain/rural [?] ; tarif moyen, subventions, rentabilité d’EMAE, pertes ATCC détaillées (Annexe II : « information not available ») [?].</w:t>
      </w:r>
    </w:p>
    <w:p>
      <w:pPr>
        <w:numPr>
          <w:ilvl w:val="0"/>
          <w:numId w:val="1464"/>
        </w:numPr>
        <w:pStyle w:val="Compact"/>
      </w:pPr>
      <w:r>
        <w:t xml:space="preserve">Nombre réel de compteurs (valeurs « 3,861,5575 » incohérentes) [?].</w:t>
      </w:r>
    </w:p>
    <w:p>
      <w:pPr>
        <w:numPr>
          <w:ilvl w:val="0"/>
          <w:numId w:val="1464"/>
        </w:numPr>
        <w:pStyle w:val="Compact"/>
      </w:pPr>
      <w:r>
        <w:t xml:space="preserve">Montant de la dette d’EMAE et détails de la restructuration [?].</w:t>
      </w:r>
    </w:p>
    <w:p>
      <w:pPr>
        <w:numPr>
          <w:ilvl w:val="0"/>
          <w:numId w:val="1464"/>
        </w:numPr>
        <w:pStyle w:val="Compact"/>
      </w:pPr>
      <w:r>
        <w:t xml:space="preserve">Effectivité de la hausse tarifaire de janvier 2025 et de la concession commerciale [?] (non vérifié hors pacte).</w:t>
      </w:r>
    </w:p>
    <w:bookmarkEnd w:id="480"/>
    <w:bookmarkStart w:id="481" w:name="sources-30"/>
    <w:p>
      <w:pPr>
        <w:pStyle w:val="Heading3"/>
      </w:pPr>
      <w:r>
        <w:t xml:space="preserve">Sources</w:t>
      </w:r>
    </w:p>
    <w:p>
      <w:pPr>
        <w:pStyle w:val="FirstParagraph"/>
      </w:pPr>
      <w:r>
        <w:t xml:space="preserve">[1] Government of São Tomé and Príncipe, « National Energy Compact for Sao Tome and Principe », Mission 300, s.d. (PDF créé le 22-09-2025), 27 p., en anglais. https://www.worldbank.org/content/dam/theworldbankgroupasset/document/2026/m300-energy-compacts/Sao-Tome-National-Energy-Compact-Mission-300.pdf, consulté le 2026-10-18.</w:t>
      </w:r>
      <w:r>
        <w:t xml:space="preserve"> </w:t>
      </w:r>
      <w:r>
        <w:t xml:space="preserve">[2] Banque mondiale, « National Energy Compacts » (page de liste ; date « Sep 2025 » affichée pour São Tomé-et-Príncipe, pas de rapport d’avancement). https://www.worldbank.org/ext/en/energizingafrica/national-energy-compacts, consulté le 2026-10-18.</w:t>
      </w:r>
    </w:p>
    <w:p>
      <w:r>
        <w:br w:type="page"/>
      </w:r>
    </w:p>
    <w:bookmarkEnd w:id="481"/>
    <w:bookmarkEnd w:id="482"/>
    <w:bookmarkStart w:id="498" w:name="fiche-pacte-national-de-lénergie-tchad"/>
    <w:p>
      <w:pPr>
        <w:pStyle w:val="Heading2"/>
      </w:pPr>
      <w:r>
        <w:t xml:space="preserve">Fiche pacte national de l’énergie — Tchad</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483" w:name="métadonnées-30"/>
    <w:p>
      <w:pPr>
        <w:pStyle w:val="Heading3"/>
      </w:pPr>
      <w:r>
        <w:t xml:space="preserve">0. Métadonnées</w:t>
      </w:r>
    </w:p>
    <w:p>
      <w:pPr>
        <w:numPr>
          <w:ilvl w:val="0"/>
          <w:numId w:val="1465"/>
        </w:numPr>
        <w:pStyle w:val="Compact"/>
      </w:pPr>
      <w:r>
        <w:t xml:space="preserve">Cohorte / date de présentation : 1re cohorte (12 pays), présenté en janvier 2025 au Sommet africain de l’énergie de Dar es Salaam [2] [V]. Le document du pacte est daté « Décembre 2024 » [1] [V].</w:t>
      </w:r>
    </w:p>
    <w:p>
      <w:pPr>
        <w:numPr>
          <w:ilvl w:val="0"/>
          <w:numId w:val="1465"/>
        </w:numPr>
        <w:pStyle w:val="Compact"/>
      </w:pPr>
      <w:r>
        <w:t xml:space="preserve">Document du pacte consulté : « Pacte national de l’énergie pour la République du Tchad », décembre 2024, en français, 26 p. (fichier</w:t>
      </w:r>
      <w:r>
        <w:t xml:space="preserve"> </w:t>
      </w:r>
      <w:r>
        <w:rPr>
          <w:rStyle w:val="VerbatimChar"/>
        </w:rPr>
        <w:t xml:space="preserve">Chad-M300-AES-Compact.pdf</w:t>
      </w:r>
      <w:r>
        <w:t xml:space="preserve">) [1]. Consulté aussi : « Mission 300 Compact Progress Report — Second cycle of data collection 2025 — Chad », mars 2026, en anglais, 7 p. [2].</w:t>
      </w:r>
    </w:p>
    <w:p>
      <w:pPr>
        <w:numPr>
          <w:ilvl w:val="0"/>
          <w:numId w:val="1465"/>
        </w:numPr>
        <w:pStyle w:val="Compact"/>
      </w:pPr>
      <w:r>
        <w:t xml:space="preserve">Accès au texte intégral :</w:t>
      </w:r>
      <w:r>
        <w:t xml:space="preserve"> </w:t>
      </w:r>
      <w:r>
        <w:rPr>
          <w:bCs/>
          <w:b/>
        </w:rPr>
        <w:t xml:space="preserve">oui</w:t>
      </w:r>
      <w:r>
        <w:t xml:space="preserve"> </w:t>
      </w:r>
      <w:r>
        <w:t xml:space="preserve">(PDF téléchargé et lu intégralement le 2026-10-18).</w:t>
      </w:r>
    </w:p>
    <w:p>
      <w:pPr>
        <w:numPr>
          <w:ilvl w:val="0"/>
          <w:numId w:val="1465"/>
        </w:numPr>
        <w:pStyle w:val="Compact"/>
      </w:pPr>
      <w:r>
        <w:t xml:space="preserve">Opérateur(s) national(aux) d’électricité : Société Nationale d’Électricité (SNE), intégrée (production, transport, distribution) [1] [V]. Autres acteurs : ADERM (électrification rurale et maîtrise de l’énergie), AEDE (énergie domestique) [1] [V].</w:t>
      </w:r>
    </w:p>
    <w:p>
      <w:pPr>
        <w:numPr>
          <w:ilvl w:val="0"/>
          <w:numId w:val="1465"/>
        </w:numPr>
        <w:pStyle w:val="Compact"/>
      </w:pPr>
      <w:r>
        <w:t xml:space="preserve">Régulateur : Agence pour la Régulation du Secteur de l’Énergie (ARSE) ; ARSAT pour le pétrolier aval [1] [V].</w:t>
      </w:r>
    </w:p>
    <w:bookmarkEnd w:id="483"/>
    <w:bookmarkStart w:id="484" w:name="situation-de-départ-selon-le-pacte-30"/>
    <w:p>
      <w:pPr>
        <w:pStyle w:val="Heading3"/>
      </w:pPr>
      <w:r>
        <w:t xml:space="preserve">1. Situation de départ (selon le pacte)</w:t>
      </w:r>
    </w:p>
    <w:p>
      <w:pPr>
        <w:numPr>
          <w:ilvl w:val="0"/>
          <w:numId w:val="1466"/>
        </w:numPr>
        <w:pStyle w:val="Compact"/>
      </w:pPr>
      <w:r>
        <w:t xml:space="preserve">Taux d’accès national / urbain / rural : 11 % national ; moins de 1 % rural ; 20 % urbain [1, §2.1] [V] (année non précisée, données « actuelles » ≈ 2023-2024). Le tableau de ventilation par mode donne en « existant » : réseau 9 % national (16 % urbain, 0 % rural) + mini-réseau/SHS 2 % (4 % urbain, 1 % rural) [1, §1.1] [V].</w:t>
      </w:r>
    </w:p>
    <w:p>
      <w:pPr>
        <w:numPr>
          <w:ilvl w:val="0"/>
          <w:numId w:val="1466"/>
        </w:numPr>
        <w:pStyle w:val="Compact"/>
      </w:pPr>
      <w:r>
        <w:t xml:space="preserve">Personnes nouvellement électrifiées : référence 2023 = 2 010 642 personnes (base de suivi du rapport) [2] [V].</w:t>
      </w:r>
    </w:p>
    <w:p>
      <w:pPr>
        <w:numPr>
          <w:ilvl w:val="0"/>
          <w:numId w:val="1466"/>
        </w:numPr>
        <w:pStyle w:val="Compact"/>
      </w:pPr>
      <w:r>
        <w:t xml:space="preserve">Population : environ 18 278 568 habitants en 2023, croissance 3,1 %/an [1, §2.1] [V].</w:t>
      </w:r>
    </w:p>
    <w:p>
      <w:pPr>
        <w:numPr>
          <w:ilvl w:val="0"/>
          <w:numId w:val="1466"/>
        </w:numPr>
        <w:pStyle w:val="Compact"/>
      </w:pPr>
      <w:r>
        <w:t xml:space="preserve">Population sans accès : non chiffrée explicitement dans le pacte. [?] (le pacte indique que l’accès universel « cible une population de plus de 17,5 millions d’individus » [1, §1.1] [V]).</w:t>
      </w:r>
    </w:p>
    <w:p>
      <w:pPr>
        <w:numPr>
          <w:ilvl w:val="0"/>
          <w:numId w:val="1466"/>
        </w:numPr>
        <w:pStyle w:val="Compact"/>
      </w:pPr>
      <w:r>
        <w:t xml:space="preserve">Capacité installée, mix de production : 487 MW installés / 235 MW disponibles ; 90 % thermique, 10 % renouvelable [1, Annexe II] [V]. Le corps du texte donne 9 % de renouvelables dans le mix [1, §1.1] [V]. Coût moyen de production thermique : 200 FCFA/kWh [1, Annexe II] [V]. Énergie produite annuellement : « 1 646 » sans unité cohérente (indiquée MWh, probablement GWh) [1, Annexe II] [V, unité douteuse]. Importations : 0 [1] [V]. IPP existants : CET-Power, Green Energy, NRC (raffinerie), Innovent, ZIZ (O&amp;M) — total 85 MW / 82 M USD [1, Pilier IV] [V].</w:t>
      </w:r>
    </w:p>
    <w:p>
      <w:pPr>
        <w:numPr>
          <w:ilvl w:val="0"/>
          <w:numId w:val="1466"/>
        </w:numPr>
        <w:pStyle w:val="Compact"/>
      </w:pPr>
      <w:r>
        <w:t xml:space="preserve">Réseau : HTB 114 km, MT 882 km, BT 1 383 km [1, Annexe II] [V]. Clients SNE ménages : 61 588 (2022), 65 438 (2023), 69 364 (colonne non datée) [1, Annexe II] [V] ; 70 639 clients au total, dont 33 239 compteurs à prépaiement [1, Annexe II] [V].</w:t>
      </w:r>
    </w:p>
    <w:p>
      <w:pPr>
        <w:numPr>
          <w:ilvl w:val="0"/>
          <w:numId w:val="1466"/>
        </w:numPr>
        <w:pStyle w:val="Compact"/>
      </w:pPr>
      <w:r>
        <w:t xml:space="preserve">Consommation : 47 kWh/hab/an contre 109 en Afrique centrale [1, §2.1] [V].</w:t>
      </w:r>
    </w:p>
    <w:p>
      <w:pPr>
        <w:numPr>
          <w:ilvl w:val="0"/>
          <w:numId w:val="1466"/>
        </w:numPr>
        <w:pStyle w:val="Compact"/>
      </w:pPr>
      <w:r>
        <w:t xml:space="preserve">Accès à la cuisson propre : non chiffré dans le corps du pacte [?] ; le rapport d’avancement retient une base 2023 de 10 % [2] [V]. Bois-énergie : 79 % des ménages urbains, 90 % périurbains, 100 % ruraux [1, §2.1] [V].</w:t>
      </w:r>
    </w:p>
    <w:bookmarkEnd w:id="484"/>
    <w:bookmarkStart w:id="485" w:name="cibles-2030-29"/>
    <w:p>
      <w:pPr>
        <w:pStyle w:val="Heading3"/>
      </w:pPr>
      <w:r>
        <w:t xml:space="preserve">2. Cibles 2030</w:t>
      </w:r>
    </w:p>
    <w:p>
      <w:pPr>
        <w:numPr>
          <w:ilvl w:val="0"/>
          <w:numId w:val="1467"/>
        </w:numPr>
        <w:pStyle w:val="Compact"/>
      </w:pPr>
      <w:r>
        <w:t xml:space="preserve">Accès électricité : 90 % national en 2030 ; plus de 14 millions de personnes supplémentaires [1, §1] [V]. Ventilation 2030 (tableau « Prévu ») : réseau 50 % national, mini-réseau 20 %, SHS 20 % ; urbain : réseau 35 % + mini-réseau 15 % (+ existant) = 50 ; rural : réseau 15 %, mini-réseau 5 %, SHS 20 % = 40 [1, §1.1] [V] (les totaux du tableau ne sont pas une simple somme, lecture délicate). Rythme annuel visé 2025-2030 : 10-15 points ; rythme historique 2017-2021 : 3,9-6,4 % [1, §1.1] [V].</w:t>
      </w:r>
    </w:p>
    <w:p>
      <w:pPr>
        <w:numPr>
          <w:ilvl w:val="1"/>
          <w:numId w:val="1468"/>
        </w:numPr>
        <w:pStyle w:val="Compact"/>
      </w:pPr>
      <w:r>
        <w:rPr>
          <w:bCs/>
          <w:b/>
        </w:rPr>
        <w:t xml:space="preserve">Incohérence interne</w:t>
      </w:r>
      <w:r>
        <w:t xml:space="preserve"> </w:t>
      </w:r>
      <w:r>
        <w:t xml:space="preserve">: le préambule mentionne un objectif d’accès « jusqu’à 15 % » et de cuisson propre « 5 % » d’ici 2030 [1, Préambule] [V], contradictoire avec 90 % / 46 % dans la déclaration d’engagement.</w:t>
      </w:r>
    </w:p>
    <w:p>
      <w:pPr>
        <w:numPr>
          <w:ilvl w:val="0"/>
          <w:numId w:val="1467"/>
        </w:numPr>
        <w:pStyle w:val="Compact"/>
      </w:pPr>
      <w:r>
        <w:t xml:space="preserve">Part des renouvelables : de 9 % à 30 % ; +866 MW de capacité dont 520 MW solaire et 346 MW thermique [1, §1.1] [V].</w:t>
      </w:r>
    </w:p>
    <w:p>
      <w:pPr>
        <w:numPr>
          <w:ilvl w:val="0"/>
          <w:numId w:val="1467"/>
        </w:numPr>
        <w:pStyle w:val="Compact"/>
      </w:pPr>
      <w:r>
        <w:t xml:space="preserve">Cuisson propre : 46 % en 2030, 5,5 millions de ménages supplémentaires ; « rythme de 5 % par an » dans le texte [1, §1] mais 10 %/an dans le tableau de trajectoire [1, §1.1] [V].</w:t>
      </w:r>
    </w:p>
    <w:p>
      <w:pPr>
        <w:numPr>
          <w:ilvl w:val="0"/>
          <w:numId w:val="1467"/>
        </w:numPr>
        <w:pStyle w:val="Compact"/>
      </w:pPr>
      <w:r>
        <w:t xml:space="preserve">Autres cibles chiffrées :</w:t>
      </w:r>
    </w:p>
    <w:p>
      <w:pPr>
        <w:numPr>
          <w:ilvl w:val="1"/>
          <w:numId w:val="1469"/>
        </w:numPr>
        <w:pStyle w:val="Compact"/>
      </w:pPr>
      <w:r>
        <w:t xml:space="preserve">Capitaux privés : 650,3 M USD (déclaration et tableau de financement) [1] [V] ; mais le tableau de cibles donne 378 M USD (électrification) + 946 M USD (production) = 1 324 M USD, contre une référence de 82 M + 82 M [1, §1.1] [V]. Le rapport d’avancement retient 1 324 M USD [2] [V].</w:t>
      </w:r>
    </w:p>
    <w:p>
      <w:pPr>
        <w:numPr>
          <w:ilvl w:val="1"/>
          <w:numId w:val="1469"/>
        </w:numPr>
        <w:pStyle w:val="Compact"/>
      </w:pPr>
      <w:r>
        <w:t xml:space="preserve">« Favoriser la mise en place d’une centrale solaire thermodynamique à l’horizon 2023 » [1, §1] [V] (date antérieure au pacte, probable coquille).</w:t>
      </w:r>
    </w:p>
    <w:p>
      <w:pPr>
        <w:numPr>
          <w:ilvl w:val="1"/>
          <w:numId w:val="1469"/>
        </w:numPr>
        <w:pStyle w:val="Compact"/>
      </w:pPr>
      <w:r>
        <w:t xml:space="preserve">Emplois : « 5 millions de personnes (dont 60 % des jeunes et des femmes) » [1, Annexe II] [V].</w:t>
      </w:r>
    </w:p>
    <w:bookmarkEnd w:id="485"/>
    <w:bookmarkStart w:id="492" w:name="réformes-promises-cœur-de-lanalyse-24"/>
    <w:p>
      <w:pPr>
        <w:pStyle w:val="Heading3"/>
      </w:pPr>
      <w:r>
        <w:t xml:space="preserve">3. Réformes promises (cœur de l’analyse)</w:t>
      </w:r>
    </w:p>
    <w:bookmarkStart w:id="486" w:name="tarifs-et-subventions-30"/>
    <w:p>
      <w:pPr>
        <w:pStyle w:val="Heading4"/>
      </w:pPr>
      <w:r>
        <w:t xml:space="preserve">3.1 Tarifs et subventions</w:t>
      </w:r>
    </w:p>
    <w:p>
      <w:pPr>
        <w:numPr>
          <w:ilvl w:val="0"/>
          <w:numId w:val="1470"/>
        </w:numPr>
        <w:pStyle w:val="Compact"/>
      </w:pPr>
      <w:r>
        <w:t xml:space="preserve">Politique tarifaire en vigueur datant de 2012 (arrêté du ministère du Commerce) ; « étude en cours pour la mise en place d’une nouvelle tarification » [1, Annexe II] [V]. Aucune trajectoire chiffrée vers le recouvrement intégral des coûts ni date de révision tarifaire [1] [V].</w:t>
      </w:r>
    </w:p>
    <w:p>
      <w:pPr>
        <w:numPr>
          <w:ilvl w:val="0"/>
          <w:numId w:val="1470"/>
        </w:numPr>
        <w:pStyle w:val="Compact"/>
      </w:pPr>
      <w:r>
        <w:t xml:space="preserve">Coût moyen du kWh : 0,175 USD [1, Annexe II] [V] ; diagnostic de « l’absence de tarification au juste prix avec une faible compensation de l’écart tarifaire par l’État » [1, Pilier V] [V].</w:t>
      </w:r>
    </w:p>
    <w:p>
      <w:pPr>
        <w:numPr>
          <w:ilvl w:val="0"/>
          <w:numId w:val="1470"/>
        </w:numPr>
        <w:pStyle w:val="Compact"/>
      </w:pPr>
      <w:r>
        <w:t xml:space="preserve">Montant des subventions : non chiffré (« Cf subvention SNE, ADERM et ARSE ») [1, Annexe II] [V] → [?].</w:t>
      </w:r>
    </w:p>
    <w:p>
      <w:pPr>
        <w:numPr>
          <w:ilvl w:val="0"/>
          <w:numId w:val="1470"/>
        </w:numPr>
        <w:pStyle w:val="Compact"/>
      </w:pPr>
      <w:r>
        <w:t xml:space="preserve">Subvention au GPL (structure des prix 2018) maintenue ; exonération des équipements ERD (Loi de finances 2020) [1, §1 et Pilier IV] [V]. Le pacte suggère une loi d’exonération indépendante des lois de finances [1, Pilier I] [V].</w:t>
      </w:r>
    </w:p>
    <w:p>
      <w:pPr>
        <w:numPr>
          <w:ilvl w:val="0"/>
          <w:numId w:val="1470"/>
        </w:numPr>
        <w:pStyle w:val="Compact"/>
      </w:pPr>
      <w:r>
        <w:t xml:space="preserve">Actualisation de la Loi 36 « y compris les normes et la tarification de l’électricité urbaine et rurale » [1, Pilier III] [V] (sans date).</w:t>
      </w:r>
    </w:p>
    <w:p>
      <w:pPr>
        <w:numPr>
          <w:ilvl w:val="0"/>
          <w:numId w:val="1470"/>
        </w:numPr>
        <w:pStyle w:val="Compact"/>
      </w:pPr>
      <w:r>
        <w:t xml:space="preserve">Abordabilité : 70 % de la population rurale et 27 % de l’urbaine ne peuvent dépenser plus de 10 USD/mois pour l’électricité [1, Annexe II] [V].</w:t>
      </w:r>
    </w:p>
    <w:bookmarkEnd w:id="486"/>
    <w:bookmarkStart w:id="487" w:name="Xdac09a1afcb2c9ad7904b7a5176a7dff266c148"/>
    <w:p>
      <w:pPr>
        <w:pStyle w:val="Heading4"/>
      </w:pPr>
      <w:r>
        <w:t xml:space="preserve">3.2 Opérateur (redressement, contrats de performance, pertes, recouvrement, compteurs)</w:t>
      </w:r>
    </w:p>
    <w:p>
      <w:pPr>
        <w:numPr>
          <w:ilvl w:val="0"/>
          <w:numId w:val="1471"/>
        </w:numPr>
        <w:pStyle w:val="Compact"/>
      </w:pPr>
      <w:r>
        <w:t xml:space="preserve">Plan d’amélioration des performances de la SNE à adopter d’ici 2025 ; pertes techniques et non techniques</w:t>
      </w:r>
      <w:r>
        <w:t xml:space="preserve"> </w:t>
      </w:r>
      <w:r>
        <w:rPr>
          <w:bCs/>
          <w:b/>
        </w:rPr>
        <w:t xml:space="preserve">&lt; 15 % d’ici 2027</w:t>
      </w:r>
      <w:r>
        <w:t xml:space="preserve"> </w:t>
      </w:r>
      <w:r>
        <w:t xml:space="preserve">[1, §1] [V]. Pertes ATCC actuelles : 39 % [1, Annexe II] [V].</w:t>
      </w:r>
    </w:p>
    <w:p>
      <w:pPr>
        <w:numPr>
          <w:ilvl w:val="0"/>
          <w:numId w:val="1471"/>
        </w:numPr>
        <w:pStyle w:val="Compact"/>
      </w:pPr>
      <w:r>
        <w:t xml:space="preserve">Équilibre financier de la SNE à l’horizon 2028 [1, §1] [V].</w:t>
      </w:r>
    </w:p>
    <w:p>
      <w:pPr>
        <w:numPr>
          <w:ilvl w:val="0"/>
          <w:numId w:val="1471"/>
        </w:numPr>
        <w:pStyle w:val="Compact"/>
      </w:pPr>
      <w:r>
        <w:t xml:space="preserve">Recouvrement : taux de facturation 65 % et recouvrement 45 % en 2019 [1, Pilier V] ; « taux actuel de recouvrement 51 % » [1, Annexe II] [V]. Objectif 100 % en 2028 (Pilier V) [1] mais 2030 en Annexe II [1] [V] — incohérence. Le rapport d’avancement retient 31-12-2028, « en cours, dans les temps » [2] [V].</w:t>
      </w:r>
    </w:p>
    <w:p>
      <w:pPr>
        <w:numPr>
          <w:ilvl w:val="0"/>
          <w:numId w:val="1471"/>
        </w:numPr>
        <w:pStyle w:val="Compact"/>
      </w:pPr>
      <w:r>
        <w:t xml:space="preserve">Audit de performance de la SNE prévu en 2025 dans le cadre de M300 [1] [V].</w:t>
      </w:r>
    </w:p>
    <w:p>
      <w:pPr>
        <w:numPr>
          <w:ilvl w:val="0"/>
          <w:numId w:val="1471"/>
        </w:numPr>
        <w:pStyle w:val="Compact"/>
      </w:pPr>
      <w:r>
        <w:t xml:space="preserve">Projet de contrat de performance État-SNE « en cours » ; programme de protection des revenus adopté ; plan de transformation des fonctions financière/commerciale proposé (appui BM) ; Plan Djédid (restructuration commerciale et financière, Desert to Power, BAD) [1, Pilier V] [V].</w:t>
      </w:r>
    </w:p>
    <w:p>
      <w:pPr>
        <w:numPr>
          <w:ilvl w:val="0"/>
          <w:numId w:val="1471"/>
        </w:numPr>
        <w:pStyle w:val="Compact"/>
      </w:pPr>
      <w:r>
        <w:t xml:space="preserve">Publication des états financiers audités : déjà pratiquée, dernier rapport disponible de 2022 [1] [V] ; action « en cours » (échéance 30-06-2026) [2] [V].</w:t>
      </w:r>
    </w:p>
    <w:p>
      <w:pPr>
        <w:numPr>
          <w:ilvl w:val="0"/>
          <w:numId w:val="1471"/>
        </w:numPr>
        <w:pStyle w:val="Compact"/>
      </w:pPr>
      <w:r>
        <w:t xml:space="preserve">Arriérés : Administration et entreprises publiques 32 M USD ; clients privés 35,86 M USD ; internes 1,3 M USD [1, Annexe II] [V].</w:t>
      </w:r>
    </w:p>
    <w:p>
      <w:pPr>
        <w:numPr>
          <w:ilvl w:val="0"/>
          <w:numId w:val="1471"/>
        </w:numPr>
        <w:pStyle w:val="Compact"/>
      </w:pPr>
      <w:r>
        <w:t xml:space="preserve">Diagnostic : personnel pléthorique, absence de manuels de procédures, absence de mercuriale d’achat (surfacturation) [1, Pilier V] [V].</w:t>
      </w:r>
    </w:p>
    <w:bookmarkEnd w:id="487"/>
    <w:bookmarkStart w:id="488" w:name="régulation-et-gouvernance-20"/>
    <w:p>
      <w:pPr>
        <w:pStyle w:val="Heading4"/>
      </w:pPr>
      <w:r>
        <w:t xml:space="preserve">3.3 Régulation et gouvernance</w:t>
      </w:r>
    </w:p>
    <w:p>
      <w:pPr>
        <w:numPr>
          <w:ilvl w:val="0"/>
          <w:numId w:val="1472"/>
        </w:numPr>
        <w:pStyle w:val="Compact"/>
      </w:pPr>
      <w:r>
        <w:t xml:space="preserve">Plan de développement au moindre coût finalisé au 1er semestre 2026 (appui budgétaire BM) [1, Pilier I] [V] ; échéance PSMP 31-03-2026, en cours [2] [V].</w:t>
      </w:r>
    </w:p>
    <w:p>
      <w:pPr>
        <w:numPr>
          <w:ilvl w:val="0"/>
          <w:numId w:val="1472"/>
        </w:numPr>
        <w:pStyle w:val="Compact"/>
      </w:pPr>
      <w:r>
        <w:t xml:space="preserve">Mise à jour du Schéma directeur électricité (2012) et ER (2018) en 2025, validation en 2026 [1] [V].</w:t>
      </w:r>
    </w:p>
    <w:p>
      <w:pPr>
        <w:numPr>
          <w:ilvl w:val="0"/>
          <w:numId w:val="1472"/>
        </w:numPr>
        <w:pStyle w:val="Compact"/>
      </w:pPr>
      <w:r>
        <w:t xml:space="preserve">Textes d’application de la Loi 036/PR/2019 pour le hors-réseau d’ici fin 2025 [1] [V] ; échéance reportée au 30-06-2026 dans le rapport [2] [V].</w:t>
      </w:r>
    </w:p>
    <w:p>
      <w:pPr>
        <w:numPr>
          <w:ilvl w:val="0"/>
          <w:numId w:val="1472"/>
        </w:numPr>
        <w:pStyle w:val="Compact"/>
      </w:pPr>
      <w:r>
        <w:t xml:space="preserve">Renforcement institutionnel : 15 M USD (ministère, SNE, ADERM) + 7,5 M USD pour l’ARSE [1, §1] [V].</w:t>
      </w:r>
    </w:p>
    <w:p>
      <w:pPr>
        <w:numPr>
          <w:ilvl w:val="0"/>
          <w:numId w:val="1472"/>
        </w:numPr>
        <w:pStyle w:val="Compact"/>
      </w:pPr>
      <w:r>
        <w:t xml:space="preserve">Enquête MTF et cadre de suivi de l’accès d’ici 2025 [1] [V] —</w:t>
      </w:r>
      <w:r>
        <w:t xml:space="preserve"> </w:t>
      </w:r>
      <w:r>
        <w:rPr>
          <w:bCs/>
          <w:b/>
        </w:rPr>
        <w:t xml:space="preserve">seule action prioritaire en retard</w:t>
      </w:r>
      <w:r>
        <w:t xml:space="preserve"> </w:t>
      </w:r>
      <w:r>
        <w:t xml:space="preserve">fin 2025 [2] [V].</w:t>
      </w:r>
    </w:p>
    <w:bookmarkEnd w:id="488"/>
    <w:bookmarkStart w:id="489" w:name="X7fccd3a8ed7025e27df71ce7fcf778379eebaf8"/>
    <w:p>
      <w:pPr>
        <w:pStyle w:val="Heading4"/>
      </w:pPr>
      <w:r>
        <w:t xml:space="preserve">3.4 Participation du privé (producteurs indépendants, concessions, hors réseau)</w:t>
      </w:r>
    </w:p>
    <w:p>
      <w:pPr>
        <w:numPr>
          <w:ilvl w:val="0"/>
          <w:numId w:val="1473"/>
        </w:numPr>
        <w:pStyle w:val="Compact"/>
      </w:pPr>
      <w:r>
        <w:t xml:space="preserve">Politique d’approvisionnement compétitif en 2025 (2e semestre) ; appels d’offres transparents avec conseillers en transactions pour le solaire à l’échelle de la SNE [1] [V] ; échéance 30-06-2026 [2] [V]. Aujourd’hui, installation des IPP par MoU avec le ministère et contrat d’achat avec la SNE (gré à gré) [1] [V].</w:t>
      </w:r>
    </w:p>
    <w:p>
      <w:pPr>
        <w:numPr>
          <w:ilvl w:val="0"/>
          <w:numId w:val="1473"/>
        </w:numPr>
        <w:pStyle w:val="Compact"/>
      </w:pPr>
      <w:r>
        <w:t xml:space="preserve">Processus réglementaire pour mini-réseaux privés (licences, tarifs, intégration au réseau) d’ici fin 2025 [1] [V].</w:t>
      </w:r>
    </w:p>
    <w:p>
      <w:pPr>
        <w:numPr>
          <w:ilvl w:val="0"/>
          <w:numId w:val="1473"/>
        </w:numPr>
        <w:pStyle w:val="Compact"/>
      </w:pPr>
      <w:r>
        <w:t xml:space="preserve">Demande d’instruments de partage des risques aux partenaires [1] [V].</w:t>
      </w:r>
    </w:p>
    <w:p>
      <w:pPr>
        <w:numPr>
          <w:ilvl w:val="0"/>
          <w:numId w:val="1473"/>
        </w:numPr>
        <w:pStyle w:val="Compact"/>
      </w:pPr>
      <w:r>
        <w:t xml:space="preserve">Documentation standardisée (PPA, concessions) G5 Sahel en finalisation [1, Annexe I] [V].</w:t>
      </w:r>
    </w:p>
    <w:bookmarkEnd w:id="489"/>
    <w:bookmarkStart w:id="490" w:name="X33f4f6c13170e08176a4f7e7976d33adebbcf50"/>
    <w:p>
      <w:pPr>
        <w:pStyle w:val="Heading4"/>
      </w:pPr>
      <w:r>
        <w:t xml:space="preserve">3.5 Intégration régionale (pools énergétiques, interconnexions)</w:t>
      </w:r>
    </w:p>
    <w:p>
      <w:pPr>
        <w:numPr>
          <w:ilvl w:val="0"/>
          <w:numId w:val="1474"/>
        </w:numPr>
        <w:pStyle w:val="Compact"/>
      </w:pPr>
      <w:r>
        <w:t xml:space="preserve">Tarification harmonisée du transport au sein du PEAC d’ici 2027 [1] [V] (échéance 31-12-2027 [2]).</w:t>
      </w:r>
    </w:p>
    <w:p>
      <w:pPr>
        <w:numPr>
          <w:ilvl w:val="0"/>
          <w:numId w:val="1474"/>
        </w:numPr>
        <w:pStyle w:val="Compact"/>
      </w:pPr>
      <w:r>
        <w:t xml:space="preserve">Engagement à respecter les obligations de paiement pour les importations du Cameroun via l’interconnexion PIRECT, opérationnelle à l’horizon 2027 [1] [V]. Term sheet de contrat de transport convenu avec le Cameroun sous supervision du PEAC [1] [V].</w:t>
      </w:r>
    </w:p>
    <w:p>
      <w:pPr>
        <w:numPr>
          <w:ilvl w:val="0"/>
          <w:numId w:val="1474"/>
        </w:numPr>
        <w:pStyle w:val="Compact"/>
      </w:pPr>
      <w:r>
        <w:t xml:space="preserve">Boucle nationale 225 kV de plus de 2 000 km prévue [1] [V].</w:t>
      </w:r>
    </w:p>
    <w:bookmarkEnd w:id="490"/>
    <w:bookmarkStart w:id="491" w:name="X5d56004e2d703705a08cda447fe583f4168ab2e"/>
    <w:p>
      <w:pPr>
        <w:pStyle w:val="Heading4"/>
      </w:pPr>
      <w:r>
        <w:t xml:space="preserve">3.6 Autres (fiscalité, foncier, local content)</w:t>
      </w:r>
    </w:p>
    <w:p>
      <w:pPr>
        <w:numPr>
          <w:ilvl w:val="0"/>
          <w:numId w:val="1475"/>
        </w:numPr>
        <w:pStyle w:val="Compact"/>
      </w:pPr>
      <w:r>
        <w:t xml:space="preserve">Exonération fiscale des équipements ER (Lois de finances depuis 2020) [1] [V].</w:t>
      </w:r>
    </w:p>
    <w:p>
      <w:pPr>
        <w:numPr>
          <w:ilvl w:val="0"/>
          <w:numId w:val="1475"/>
        </w:numPr>
        <w:pStyle w:val="Compact"/>
      </w:pPr>
      <w:r>
        <w:t xml:space="preserve">Normes de qualité pour équipements ER [1] [V] ; assemblage/production locale d’équipements PV et système de garantie pour ménages pauvres évoqués [1, Pilier III] [V].</w:t>
      </w:r>
    </w:p>
    <w:p>
      <w:pPr>
        <w:numPr>
          <w:ilvl w:val="0"/>
          <w:numId w:val="1475"/>
        </w:numPr>
        <w:pStyle w:val="Compact"/>
      </w:pPr>
      <w:r>
        <w:t xml:space="preserve">Stratégie énergie domestique (1999) à actualiser d’ici le 2e semestre 2025 [1] [V] (échéance 30-06-2026 [2]).</w:t>
      </w:r>
    </w:p>
    <w:bookmarkEnd w:id="491"/>
    <w:bookmarkEnd w:id="492"/>
    <w:bookmarkStart w:id="493" w:name="financement-30"/>
    <w:p>
      <w:pPr>
        <w:pStyle w:val="Heading3"/>
      </w:pPr>
      <w:r>
        <w:t xml:space="preserve">4. Financement</w:t>
      </w:r>
    </w:p>
    <w:p>
      <w:pPr>
        <w:numPr>
          <w:ilvl w:val="0"/>
          <w:numId w:val="1476"/>
        </w:numPr>
        <w:pStyle w:val="Compact"/>
      </w:pPr>
      <w:r>
        <w:t xml:space="preserve">Besoin total : 1 950 M USD d’ici 2030, dont public 1 299,7 M USD et privé 650,3 M USD [1, §1] [V]. Ventilation (total) : production 527,1 M ; transport 318,6 M ; distribution 59,4 M ; hors réseau 366,4 M ; cuisson propre 656 M ; renforcement de capacités 22,5 M [1] [V]. La cuisson propre représente ~34 % du besoin [E].</w:t>
      </w:r>
    </w:p>
    <w:p>
      <w:pPr>
        <w:numPr>
          <w:ilvl w:val="0"/>
          <w:numId w:val="1476"/>
        </w:numPr>
        <w:pStyle w:val="Compact"/>
      </w:pPr>
      <w:r>
        <w:t xml:space="preserve">Annexe II : « 58,62 millions USD / 1 324 millions USD » (public/privé) et déficit annuel 397,2 M (2026, 2027), 264,8 M (2028, 2029) [1] [V] — chiffres non réconciliés avec le tableau principal.</w:t>
      </w:r>
    </w:p>
    <w:p>
      <w:pPr>
        <w:numPr>
          <w:ilvl w:val="0"/>
          <w:numId w:val="1476"/>
        </w:numPr>
        <w:pStyle w:val="Compact"/>
      </w:pPr>
      <w:r>
        <w:t xml:space="preserve">Engagements cités (Annexe I) [1] [V] :</w:t>
      </w:r>
    </w:p>
    <w:p>
      <w:pPr>
        <w:numPr>
          <w:ilvl w:val="1"/>
          <w:numId w:val="1477"/>
        </w:numPr>
        <w:pStyle w:val="Compact"/>
      </w:pPr>
      <w:r>
        <w:t xml:space="preserve">BM — PAAET (2022-2027) : IDA 295 M USD ;</w:t>
      </w:r>
    </w:p>
    <w:p>
      <w:pPr>
        <w:numPr>
          <w:ilvl w:val="1"/>
          <w:numId w:val="1477"/>
        </w:numPr>
        <w:pStyle w:val="Compact"/>
      </w:pPr>
      <w:r>
        <w:t xml:space="preserve">BM — RESPITE : IDA 60 M USD (35 MWc + 60 MWh de stockage) ;</w:t>
      </w:r>
    </w:p>
    <w:p>
      <w:pPr>
        <w:numPr>
          <w:ilvl w:val="1"/>
          <w:numId w:val="1477"/>
        </w:numPr>
        <w:pStyle w:val="Compact"/>
      </w:pPr>
      <w:r>
        <w:t xml:space="preserve">BM — ROGEP : IDA 15 M USD (part Tchad) ;</w:t>
      </w:r>
    </w:p>
    <w:p>
      <w:pPr>
        <w:numPr>
          <w:ilvl w:val="1"/>
          <w:numId w:val="1477"/>
        </w:numPr>
        <w:pStyle w:val="Compact"/>
      </w:pPr>
      <w:r>
        <w:t xml:space="preserve">BM/BAD/UE — PIRECT : IDA 90 M USD, BAD 33 M EUR, UE 29,4 M EUR ;</w:t>
      </w:r>
    </w:p>
    <w:p>
      <w:pPr>
        <w:numPr>
          <w:ilvl w:val="1"/>
          <w:numId w:val="1477"/>
        </w:numPr>
        <w:pStyle w:val="Compact"/>
      </w:pPr>
      <w:r>
        <w:t xml:space="preserve">BAD — PASET 1 : total 21 519 k USD (dont BAD 19 920 k) ; PASET 2 : 20 557 508 USD (en préparation) ;</w:t>
      </w:r>
    </w:p>
    <w:p>
      <w:pPr>
        <w:numPr>
          <w:ilvl w:val="1"/>
          <w:numId w:val="1477"/>
        </w:numPr>
        <w:pStyle w:val="Compact"/>
      </w:pPr>
      <w:r>
        <w:t xml:space="preserve">Djermaya Solar (28 MW) : 55,5 M EUR ; centrales Qair Lamadji/Gassi : 41,13 M EUR (BAD 13,23, Proparco 13,23, Qair 7,18, SEFA 6, …) ;</w:t>
      </w:r>
    </w:p>
    <w:p>
      <w:pPr>
        <w:numPr>
          <w:ilvl w:val="1"/>
          <w:numId w:val="1477"/>
        </w:numPr>
        <w:pStyle w:val="Compact"/>
      </w:pPr>
      <w:r>
        <w:t xml:space="preserve">PNUD : 1,765 M USD ; IFC/Scatec (35 MW), Chine (réseau), UE (20 MW villes secondaires) sans montant.</w:t>
      </w:r>
    </w:p>
    <w:p>
      <w:pPr>
        <w:numPr>
          <w:ilvl w:val="0"/>
          <w:numId w:val="1476"/>
        </w:numPr>
        <w:pStyle w:val="Compact"/>
      </w:pPr>
      <w:r>
        <w:t xml:space="preserve">Rapport d’avancement : aucun capital privé mobilisé à fin 2025 (« no data provided yet ») ; base 164 M USD [2] [V].</w:t>
      </w:r>
    </w:p>
    <w:bookmarkEnd w:id="493"/>
    <w:bookmarkStart w:id="494" w:name="calendrier-et-suivi-30"/>
    <w:p>
      <w:pPr>
        <w:pStyle w:val="Heading3"/>
      </w:pPr>
      <w:r>
        <w:t xml:space="preserve">5. Calendrier et suivi</w:t>
      </w:r>
    </w:p>
    <w:p>
      <w:pPr>
        <w:numPr>
          <w:ilvl w:val="0"/>
          <w:numId w:val="1478"/>
        </w:numPr>
        <w:pStyle w:val="Compact"/>
      </w:pPr>
      <w:r>
        <w:t xml:space="preserve">Jalons : enquête MTF, plan de performance SNE, textes hors-réseau, plan cuisson propre, approvisionnement compétitif — 2025 ; plan moindre coût — S1 2026 ; schémas directeurs validés — 2026 ; pertes &lt; 15 % et tarif PEAC — 2027 ; recouvrement 100 % et équilibre SNE — 2028 [1] [V].</w:t>
      </w:r>
    </w:p>
    <w:p>
      <w:pPr>
        <w:numPr>
          <w:ilvl w:val="0"/>
          <w:numId w:val="1478"/>
        </w:numPr>
        <w:pStyle w:val="Compact"/>
      </w:pPr>
      <w:r>
        <w:t xml:space="preserve">Suivi : Cellule de gestion du projet (CGP) conjointe Ministère Énergie / Finances ; BAD et BM en appui-conseil ; évaluation annuelle [1, §1] [V]. Le rapport parle d’une CDMU [2] [V].</w:t>
      </w:r>
    </w:p>
    <w:p>
      <w:pPr>
        <w:numPr>
          <w:ilvl w:val="0"/>
          <w:numId w:val="1478"/>
        </w:numPr>
        <w:pStyle w:val="Compact"/>
      </w:pPr>
      <w:r>
        <w:t xml:space="preserve">Avancement au 31-12-2025 [2] [V] : 14 actions (dont 1 ajoutée), 10 prioritaires ; 2 achevées (non prioritaires), 11 en cours, 1 retardée (suivi MTF). +806 257 personnes raccordées en 2025 ; +24 274 personnes en cuisson propre ; part ER déclarée 31 % en 2025 (au-dessus de la cible 2030 de 30 %).</w:t>
      </w:r>
    </w:p>
    <w:bookmarkEnd w:id="494"/>
    <w:bookmarkStart w:id="495" w:name="lecture-critique-24"/>
    <w:p>
      <w:pPr>
        <w:pStyle w:val="Heading3"/>
      </w:pPr>
      <w:r>
        <w:t xml:space="preserve">6. Lecture critique</w:t>
      </w:r>
    </w:p>
    <w:p>
      <w:pPr>
        <w:numPr>
          <w:ilvl w:val="0"/>
          <w:numId w:val="1479"/>
        </w:numPr>
        <w:pStyle w:val="Compact"/>
      </w:pPr>
      <w:r>
        <w:t xml:space="preserve">Réalisme des cibles : passer de 11 % à 90 % d’accès en ~6 ans suppose +13 points/an, contre 3,9-6,4 %/an historiquement selon le pacte lui-même [E]. +14 millions de personnes ≈ 2,3 M/an, alors que 2025 a enregistré 0,8 M [2] [E] — rythme ~3 fois insuffisant. Le préambule (15 %/5 %) contredit les cibles (90 %/46 %), ce qui fragilise la crédibilité du document. La part ER déclarée à 31 % en 2025 (contre 9 % en 2023) paraît très élevée et mériterait vérification (définition capacité vs énergie ?) [E].</w:t>
      </w:r>
    </w:p>
    <w:p>
      <w:pPr>
        <w:numPr>
          <w:ilvl w:val="0"/>
          <w:numId w:val="1479"/>
        </w:numPr>
        <w:pStyle w:val="Compact"/>
      </w:pPr>
      <w:r>
        <w:t xml:space="preserve">Engagements tarifaires :</w:t>
      </w:r>
      <w:r>
        <w:t xml:space="preserve"> </w:t>
      </w:r>
      <w:r>
        <w:rPr>
          <w:bCs/>
          <w:b/>
        </w:rPr>
        <w:t xml:space="preserve">vagues</w:t>
      </w:r>
      <w:r>
        <w:t xml:space="preserve">. Aucun calendrier de révision, aucune cible de recouvrement des coûts, subventions non chiffrées ; seule mention d’une « étude en cours ». Le pacte reconnaît un tarif de 2012 inadapté. Les cibles opérateur (pertes &lt; 15 % en 2027 contre 39 % ATCC ; recouvrement 100 % en 2028 contre 45-51 %) sont précises mais très ambitieuses [E].</w:t>
      </w:r>
    </w:p>
    <w:p>
      <w:pPr>
        <w:numPr>
          <w:ilvl w:val="0"/>
          <w:numId w:val="1479"/>
        </w:numPr>
        <w:pStyle w:val="Compact"/>
      </w:pPr>
      <w:r>
        <w:t xml:space="preserve">Risques principaux : dépendance thermique et coût de production élevé ; dette croisée État-SNE (32 M USD dus par l’administration) ; capacité d’achat des importations camerounaises (paiement) ; incohérences de chiffrage (privé 650 M vs 1 324 M) ; capacités institutionnelles faibles (AEDE non opérationnelle) [1] [E].</w:t>
      </w:r>
    </w:p>
    <w:p>
      <w:pPr>
        <w:numPr>
          <w:ilvl w:val="0"/>
          <w:numId w:val="1479"/>
        </w:numPr>
        <w:pStyle w:val="Compact"/>
      </w:pPr>
      <w:r>
        <w:t xml:space="preserve">Points à approfondir : phase 2 — contenu du contrat de performance SNE, audit de performance 2025, Plan Djédid, résultats du programme de protection des revenus ; phase 3 — étude tarifaire en cours, montant réel de la compensation tarifaire, coût d’achat aux IPP (contrats take-or-pay), prix d’import PIRECT.</w:t>
      </w:r>
    </w:p>
    <w:bookmarkEnd w:id="495"/>
    <w:bookmarkStart w:id="496" w:name="inconnus-données-non-trouvées-30"/>
    <w:p>
      <w:pPr>
        <w:pStyle w:val="Heading3"/>
      </w:pPr>
      <w:r>
        <w:t xml:space="preserve">7. Inconnus / données non trouvées</w:t>
      </w:r>
    </w:p>
    <w:p>
      <w:pPr>
        <w:numPr>
          <w:ilvl w:val="0"/>
          <w:numId w:val="1480"/>
        </w:numPr>
        <w:pStyle w:val="Compact"/>
      </w:pPr>
      <w:r>
        <w:t xml:space="preserve">Nombre absolu de personnes sans accès [?] ; taux de cuisson propre de base dans le pacte [?] (10 % seulement dans [2]).</w:t>
      </w:r>
    </w:p>
    <w:p>
      <w:pPr>
        <w:numPr>
          <w:ilvl w:val="0"/>
          <w:numId w:val="1480"/>
        </w:numPr>
        <w:pStyle w:val="Compact"/>
      </w:pPr>
      <w:r>
        <w:t xml:space="preserve">Montant des subventions à la SNE [?] ; tarifs moyens par catégorie [?] ; trajectoire de réflectivité des coûts [?].</w:t>
      </w:r>
    </w:p>
    <w:p>
      <w:pPr>
        <w:numPr>
          <w:ilvl w:val="0"/>
          <w:numId w:val="1480"/>
        </w:numPr>
        <w:pStyle w:val="Compact"/>
      </w:pPr>
      <w:r>
        <w:t xml:space="preserve">Unité exacte de l’énergie produite (« 1 646 ») et sens des chiffres de délestage (« 7 628h41min / 54 283 422 MWh ») [?].</w:t>
      </w:r>
    </w:p>
    <w:p>
      <w:pPr>
        <w:numPr>
          <w:ilvl w:val="0"/>
          <w:numId w:val="1480"/>
        </w:numPr>
        <w:pStyle w:val="Compact"/>
      </w:pPr>
      <w:r>
        <w:t xml:space="preserve">Réconciliation des besoins privés (650,3 M vs 1 324 M USD) [?].</w:t>
      </w:r>
    </w:p>
    <w:p>
      <w:pPr>
        <w:numPr>
          <w:ilvl w:val="0"/>
          <w:numId w:val="1480"/>
        </w:numPr>
        <w:pStyle w:val="Compact"/>
      </w:pPr>
      <w:r>
        <w:t xml:space="preserve">Réductions d’émissions : le pacte indique qu’elles « doivent être calculées », non fournies [1] [?].</w:t>
      </w:r>
    </w:p>
    <w:bookmarkEnd w:id="496"/>
    <w:bookmarkStart w:id="497" w:name="sources-31"/>
    <w:p>
      <w:pPr>
        <w:pStyle w:val="Heading3"/>
      </w:pPr>
      <w:r>
        <w:t xml:space="preserve">Sources</w:t>
      </w:r>
    </w:p>
    <w:p>
      <w:pPr>
        <w:pStyle w:val="FirstParagraph"/>
      </w:pPr>
      <w:r>
        <w:t xml:space="preserve">[1] Gouvernement du Tchad, « Pacte national de l’énergie pour la République du Tchad », décembre 2024, 26 p. https://www.worldbank.org/content/dam/theworldbankgroupasset/document/2026/m300-energy-compacts/Chad-M300-AES-Compact.pdf (lien depuis https://www.worldbank.org/ext/en/energizingafrica/national-energy-compacts), consulté le 2026-10-18.</w:t>
      </w:r>
      <w:r>
        <w:t xml:space="preserve"> </w:t>
      </w:r>
      <w:r>
        <w:t xml:space="preserve">[2] Government of Chad (CDMU) / Mission 300, « Mission 300 Compact Progress Report — Second cycle of data collection 2025 — Chad », mars 2026. https://www.worldbank.org/content/dam/theworldbankgroupasset/document/2026/m300-energy-compacts/progress-reports/chad_mission-300_compact-progress-report_q12026.pdf, consulté le 2026-10-18.</w:t>
      </w:r>
    </w:p>
    <w:p>
      <w:r>
        <w:br w:type="page"/>
      </w:r>
    </w:p>
    <w:bookmarkEnd w:id="497"/>
    <w:bookmarkEnd w:id="498"/>
    <w:bookmarkStart w:id="514" w:name="fiche-pacte-national-de-lénergie-togo"/>
    <w:p>
      <w:pPr>
        <w:pStyle w:val="Heading2"/>
      </w:pPr>
      <w:r>
        <w:t xml:space="preserve">Fiche pacte national de l’énergie — Togo</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499" w:name="métadonnées-31"/>
    <w:p>
      <w:pPr>
        <w:pStyle w:val="Heading3"/>
      </w:pPr>
      <w:r>
        <w:t xml:space="preserve">0. Métadonnées</w:t>
      </w:r>
    </w:p>
    <w:p>
      <w:pPr>
        <w:numPr>
          <w:ilvl w:val="0"/>
          <w:numId w:val="1481"/>
        </w:numPr>
        <w:pStyle w:val="Compact"/>
      </w:pPr>
      <w:r>
        <w:rPr>
          <w:bCs/>
          <w:b/>
        </w:rPr>
        <w:t xml:space="preserve">Cohorte / date de présentation</w:t>
      </w:r>
      <w:r>
        <w:t xml:space="preserve"> </w:t>
      </w:r>
      <w:r>
        <w:t xml:space="preserve">: le document est daté</w:t>
      </w:r>
      <w:r>
        <w:t xml:space="preserve"> </w:t>
      </w:r>
      <w:r>
        <w:rPr>
          <w:bCs/>
          <w:b/>
        </w:rPr>
        <w:t xml:space="preserve">« Septembre 2025 »</w:t>
      </w:r>
      <w:r>
        <w:t xml:space="preserve"> </w:t>
      </w:r>
      <w:r>
        <w:t xml:space="preserve">[1, couverture] [V]. La page de la Banque mondiale indique aussi « September 2025 » [2] [V]. L’événement de présentation n’est pas identifié → [?].</w:t>
      </w:r>
    </w:p>
    <w:p>
      <w:pPr>
        <w:numPr>
          <w:ilvl w:val="0"/>
          <w:numId w:val="1481"/>
        </w:numPr>
        <w:pStyle w:val="Compact"/>
      </w:pPr>
      <w:r>
        <w:rPr>
          <w:bCs/>
          <w:b/>
        </w:rPr>
        <w:t xml:space="preserve">Document consulté</w:t>
      </w:r>
      <w:r>
        <w:t xml:space="preserve"> </w:t>
      </w:r>
      <w:r>
        <w:t xml:space="preserve">: « Pacte National Énergie pour la République Togolaise », septembre 2025, en français, 49 pages, mention « Official Use Only » [1]. Aucun rapport d’avancement n’est publié (vérifié le 18/10/2026) [2] [V].</w:t>
      </w:r>
    </w:p>
    <w:p>
      <w:pPr>
        <w:numPr>
          <w:ilvl w:val="0"/>
          <w:numId w:val="1481"/>
        </w:numPr>
        <w:pStyle w:val="Compact"/>
      </w:pPr>
      <w:r>
        <w:rPr>
          <w:bCs/>
          <w:b/>
        </w:rPr>
        <w:t xml:space="preserve">Accès au texte intégral</w:t>
      </w:r>
      <w:r>
        <w:t xml:space="preserve"> </w:t>
      </w:r>
      <w:r>
        <w:t xml:space="preserve">:</w:t>
      </w:r>
      <w:r>
        <w:t xml:space="preserve"> </w:t>
      </w:r>
      <w:r>
        <w:rPr>
          <w:bCs/>
          <w:b/>
        </w:rPr>
        <w:t xml:space="preserve">oui</w:t>
      </w:r>
      <w:r>
        <w:t xml:space="preserve">.</w:t>
      </w:r>
    </w:p>
    <w:p>
      <w:pPr>
        <w:numPr>
          <w:ilvl w:val="0"/>
          <w:numId w:val="1481"/>
        </w:numPr>
        <w:pStyle w:val="Compact"/>
      </w:pPr>
      <w:r>
        <w:rPr>
          <w:bCs/>
          <w:b/>
        </w:rPr>
        <w:t xml:space="preserve">Opérateurs</w:t>
      </w:r>
      <w:r>
        <w:t xml:space="preserve"> </w:t>
      </w:r>
      <w:r>
        <w:t xml:space="preserve">:</w:t>
      </w:r>
    </w:p>
    <w:p>
      <w:pPr>
        <w:numPr>
          <w:ilvl w:val="1"/>
          <w:numId w:val="1482"/>
        </w:numPr>
        <w:pStyle w:val="Compact"/>
      </w:pPr>
      <w:r>
        <w:rPr>
          <w:bCs/>
          <w:b/>
        </w:rPr>
        <w:t xml:space="preserve">CEET</w:t>
      </w:r>
      <w:r>
        <w:t xml:space="preserve"> </w:t>
      </w:r>
      <w:r>
        <w:t xml:space="preserve">(Compagnie Énergie Électrique du Togo) : entreprise publique de distribution et de commercialisation [1, §2.1] [V]. Le pacte la qualifie aussi d’« opérateur exploitant les ouvrages concédés de l’État » ;</w:t>
      </w:r>
    </w:p>
    <w:p>
      <w:pPr>
        <w:numPr>
          <w:ilvl w:val="1"/>
          <w:numId w:val="1482"/>
        </w:numPr>
        <w:pStyle w:val="Compact"/>
      </w:pPr>
      <w:r>
        <w:rPr>
          <w:bCs/>
          <w:b/>
        </w:rPr>
        <w:t xml:space="preserve">CEB</w:t>
      </w:r>
      <w:r>
        <w:t xml:space="preserve"> </w:t>
      </w:r>
      <w:r>
        <w:t xml:space="preserve">(Communauté Électrique du Bénin, bi-nationale avec le Bénin depuis 1968) : transport [1] [V] ;</w:t>
      </w:r>
    </w:p>
    <w:p>
      <w:pPr>
        <w:numPr>
          <w:ilvl w:val="1"/>
          <w:numId w:val="1482"/>
        </w:numPr>
        <w:pStyle w:val="Compact"/>
      </w:pPr>
      <w:r>
        <w:t xml:space="preserve">IPP :</w:t>
      </w:r>
      <w:r>
        <w:t xml:space="preserve"> </w:t>
      </w:r>
      <w:r>
        <w:rPr>
          <w:bCs/>
          <w:b/>
        </w:rPr>
        <w:t xml:space="preserve">Contour Global (100 MW), Kékéli Efficient Power (65 MW), AMEA Power (Blitta, 70 MWc)</w:t>
      </w:r>
      <w:r>
        <w:t xml:space="preserve">. Ils représentent environ 71 % du parc installé, en contrats BOOT [1, §2.1-2.2] [V] ;</w:t>
      </w:r>
    </w:p>
    <w:p>
      <w:pPr>
        <w:numPr>
          <w:ilvl w:val="1"/>
          <w:numId w:val="1482"/>
        </w:numPr>
        <w:pStyle w:val="Compact"/>
      </w:pPr>
      <w:r>
        <w:t xml:space="preserve">AT2ER : électrification rurale [1] [V].</w:t>
      </w:r>
    </w:p>
    <w:p>
      <w:pPr>
        <w:numPr>
          <w:ilvl w:val="0"/>
          <w:numId w:val="1481"/>
        </w:numPr>
        <w:pStyle w:val="Compact"/>
      </w:pPr>
      <w:r>
        <w:rPr>
          <w:bCs/>
          <w:b/>
        </w:rPr>
        <w:t xml:space="preserve">Régulateur</w:t>
      </w:r>
      <w:r>
        <w:t xml:space="preserve"> </w:t>
      </w:r>
      <w:r>
        <w:t xml:space="preserve">: ARSE (Autorité de Régulation du Secteur de l’Électricité), créée par décret du 18/07/2000 [1, §2.1] [V].</w:t>
      </w:r>
    </w:p>
    <w:bookmarkEnd w:id="499"/>
    <w:bookmarkStart w:id="500" w:name="situation-de-départ-selon-le-pacte-31"/>
    <w:p>
      <w:pPr>
        <w:pStyle w:val="Heading3"/>
      </w:pPr>
      <w:r>
        <w:t xml:space="preserve">1. Situation de départ (selon le pacte)</w:t>
      </w:r>
    </w:p>
    <w:p>
      <w:pPr>
        <w:numPr>
          <w:ilvl w:val="0"/>
          <w:numId w:val="1483"/>
        </w:numPr>
        <w:pStyle w:val="Compact"/>
      </w:pPr>
      <w:r>
        <w:rPr>
          <w:bCs/>
          <w:b/>
        </w:rPr>
        <w:t xml:space="preserve">Taux d’accès (électrification)</w:t>
      </w:r>
      <w:r>
        <w:t xml:space="preserve"> </w:t>
      </w:r>
      <w:r>
        <w:t xml:space="preserve">:</w:t>
      </w:r>
      <w:r>
        <w:t xml:space="preserve"> </w:t>
      </w:r>
      <w:r>
        <w:rPr>
          <w:bCs/>
          <w:b/>
        </w:rPr>
        <w:t xml:space="preserve">70 % en 2024</w:t>
      </w:r>
      <w:r>
        <w:t xml:space="preserve">, soit 5 439 000 habitants, et 75 % projeté fin 2025 [1, Tab. 2] [V].</w:t>
      </w:r>
    </w:p>
    <w:p>
      <w:pPr>
        <w:numPr>
          <w:ilvl w:val="1"/>
          <w:numId w:val="1484"/>
        </w:numPr>
        <w:pStyle w:val="Compact"/>
      </w:pPr>
      <w:r>
        <w:t xml:space="preserve">Historique : 18 % (2011), 35 % (2018) [1, §2.4.1] [V]. Le graphique et l’annexe 2 donnent 50 % pour 2020 [1, Ann. 2] [V].</w:t>
      </w:r>
    </w:p>
    <w:p>
      <w:pPr>
        <w:numPr>
          <w:ilvl w:val="1"/>
          <w:numId w:val="1484"/>
        </w:numPr>
        <w:pStyle w:val="Compact"/>
      </w:pPr>
      <w:r>
        <w:t xml:space="preserve">Rural :</w:t>
      </w:r>
      <w:r>
        <w:t xml:space="preserve"> </w:t>
      </w:r>
      <w:r>
        <w:rPr>
          <w:bCs/>
          <w:b/>
        </w:rPr>
        <w:t xml:space="preserve">47,8 % en 2024</w:t>
      </w:r>
      <w:r>
        <w:t xml:space="preserve"> </w:t>
      </w:r>
      <w:r>
        <w:t xml:space="preserve">(18 % en 2020) [1, Ann. 2] [V]. Urbain : [?].</w:t>
      </w:r>
    </w:p>
    <w:p>
      <w:pPr>
        <w:numPr>
          <w:ilvl w:val="0"/>
          <w:numId w:val="1483"/>
        </w:numPr>
        <w:pStyle w:val="Compact"/>
      </w:pPr>
      <w:r>
        <w:rPr>
          <w:bCs/>
          <w:b/>
        </w:rPr>
        <w:t xml:space="preserve">Population sans accès</w:t>
      </w:r>
      <w:r>
        <w:t xml:space="preserve"> </w:t>
      </w:r>
      <w:r>
        <w:t xml:space="preserve">: le pacte vise</w:t>
      </w:r>
      <w:r>
        <w:t xml:space="preserve"> </w:t>
      </w:r>
      <w:r>
        <w:rPr>
          <w:bCs/>
          <w:b/>
        </w:rPr>
        <w:t xml:space="preserve">plus de 3,87 M de personnes supplémentaires</w:t>
      </w:r>
      <w:r>
        <w:t xml:space="preserve"> </w:t>
      </w:r>
      <w:r>
        <w:t xml:space="preserve">d’ici 2030 [1, §1] [V]. Population : 8,28 M (2023) [1, §2.1] [V]. La population 2030 est donnée à 9,6 M [1, Tab. 2] ou à 9 969 milliers [1, Tab. 3] [V] : incohérence interne.</w:t>
      </w:r>
    </w:p>
    <w:p>
      <w:pPr>
        <w:numPr>
          <w:ilvl w:val="0"/>
          <w:numId w:val="1483"/>
        </w:numPr>
        <w:pStyle w:val="Compact"/>
      </w:pPr>
      <w:r>
        <w:rPr>
          <w:bCs/>
          <w:b/>
        </w:rPr>
        <w:t xml:space="preserve">Capacité et mix</w:t>
      </w:r>
      <w:r>
        <w:t xml:space="preserve"> </w:t>
      </w:r>
      <w:r>
        <w:t xml:space="preserve">:</w:t>
      </w:r>
    </w:p>
    <w:p>
      <w:pPr>
        <w:numPr>
          <w:ilvl w:val="1"/>
          <w:numId w:val="1485"/>
        </w:numPr>
        <w:pStyle w:val="Compact"/>
      </w:pPr>
      <w:r>
        <w:rPr>
          <w:bCs/>
          <w:b/>
        </w:rPr>
        <w:t xml:space="preserve">267,5 MW fin 2024</w:t>
      </w:r>
      <w:r>
        <w:t xml:space="preserve"> </w:t>
      </w:r>
      <w:r>
        <w:t xml:space="preserve">sur le réseau interconnecté, dont 70 MWc de solaire (26 %) et 32,5 MW d’hydro (12 %, la moitié de Nangbéto) [1, §2.2.1] [V] ;</w:t>
      </w:r>
    </w:p>
    <w:p>
      <w:pPr>
        <w:numPr>
          <w:ilvl w:val="1"/>
          <w:numId w:val="1485"/>
        </w:numPr>
        <w:pStyle w:val="Compact"/>
      </w:pPr>
      <w:r>
        <w:t xml:space="preserve">production renouvelable d’environ 139 GWh, soit</w:t>
      </w:r>
      <w:r>
        <w:t xml:space="preserve"> </w:t>
      </w:r>
      <w:r>
        <w:rPr>
          <w:bCs/>
          <w:b/>
        </w:rPr>
        <w:t xml:space="preserve">12,5 % de la production domestique</w:t>
      </w:r>
      <w:r>
        <w:t xml:space="preserve"> </w:t>
      </w:r>
      <w:r>
        <w:t xml:space="preserve">(1 113 GWh) [1, Tab. 2] [V] ;</w:t>
      </w:r>
    </w:p>
    <w:p>
      <w:pPr>
        <w:numPr>
          <w:ilvl w:val="1"/>
          <w:numId w:val="1485"/>
        </w:numPr>
        <w:pStyle w:val="Compact"/>
      </w:pPr>
      <w:r>
        <w:t xml:space="preserve">taux de dépendance aux importations : 50 % en 2024 [1, Ann. 2] [V] ;</w:t>
      </w:r>
    </w:p>
    <w:p>
      <w:pPr>
        <w:numPr>
          <w:ilvl w:val="1"/>
          <w:numId w:val="1485"/>
        </w:numPr>
        <w:pStyle w:val="Compact"/>
      </w:pPr>
      <w:r>
        <w:t xml:space="preserve">demande de pointe : 320 MW en 2023 [1, Ann. 2] [V].</w:t>
      </w:r>
    </w:p>
    <w:p>
      <w:pPr>
        <w:numPr>
          <w:ilvl w:val="0"/>
          <w:numId w:val="1483"/>
        </w:numPr>
        <w:pStyle w:val="Compact"/>
      </w:pPr>
      <w:r>
        <w:rPr>
          <w:bCs/>
          <w:b/>
        </w:rPr>
        <w:t xml:space="preserve">Cuisson propre</w:t>
      </w:r>
      <w:r>
        <w:t xml:space="preserve"> </w:t>
      </w:r>
      <w:r>
        <w:t xml:space="preserve">:</w:t>
      </w:r>
      <w:r>
        <w:t xml:space="preserve"> </w:t>
      </w:r>
      <w:r>
        <w:rPr>
          <w:bCs/>
          <w:b/>
        </w:rPr>
        <w:t xml:space="preserve">14 %</w:t>
      </w:r>
      <w:r>
        <w:t xml:space="preserve"> </w:t>
      </w:r>
      <w:r>
        <w:t xml:space="preserve">(référence 2024, Tab. 4) ; le graphique donne 13,3 % pour 2024 [1] [V]. Butane : 11 % (2017) [1, Tab. 2] [V].</w:t>
      </w:r>
    </w:p>
    <w:bookmarkEnd w:id="500"/>
    <w:bookmarkStart w:id="501" w:name="cibles-2030-30"/>
    <w:p>
      <w:pPr>
        <w:pStyle w:val="Heading3"/>
      </w:pPr>
      <w:r>
        <w:t xml:space="preserve">2. Cibles 2030</w:t>
      </w:r>
    </w:p>
    <w:p>
      <w:pPr>
        <w:numPr>
          <w:ilvl w:val="0"/>
          <w:numId w:val="1486"/>
        </w:numPr>
        <w:pStyle w:val="Compact"/>
      </w:pPr>
      <w:r>
        <w:rPr>
          <w:bCs/>
          <w:b/>
        </w:rPr>
        <w:t xml:space="preserve">Accès électricité</w:t>
      </w:r>
      <w:r>
        <w:t xml:space="preserve"> </w:t>
      </w:r>
      <w:r>
        <w:t xml:space="preserve">:</w:t>
      </w:r>
      <w:r>
        <w:t xml:space="preserve"> </w:t>
      </w:r>
      <w:r>
        <w:rPr>
          <w:bCs/>
          <w:b/>
        </w:rPr>
        <w:t xml:space="preserve">100 %</w:t>
      </w:r>
      <w:r>
        <w:t xml:space="preserve"> </w:t>
      </w:r>
      <w:r>
        <w:t xml:space="preserve">[1, §1 et Tab. 2] [V].</w:t>
      </w:r>
    </w:p>
    <w:p>
      <w:pPr>
        <w:numPr>
          <w:ilvl w:val="1"/>
          <w:numId w:val="1487"/>
        </w:numPr>
        <w:pStyle w:val="Compact"/>
      </w:pPr>
      <w:r>
        <w:t xml:space="preserve">Tableau 3 (milliers d’habitants, 2030) : réseau 8 191, mini-réseaux 131, kits 1 647, total 9 969 [1] [V].</w:t>
      </w:r>
    </w:p>
    <w:p>
      <w:pPr>
        <w:numPr>
          <w:ilvl w:val="1"/>
          <w:numId w:val="1487"/>
        </w:numPr>
        <w:pStyle w:val="Compact"/>
      </w:pPr>
      <w:r>
        <w:t xml:space="preserve">Fonds Tinga : 1 300 000 branchements prévus sur 2025-2030 [1, Tab. 1] [V].</w:t>
      </w:r>
    </w:p>
    <w:p>
      <w:pPr>
        <w:numPr>
          <w:ilvl w:val="1"/>
          <w:numId w:val="1487"/>
        </w:numPr>
        <w:pStyle w:val="Compact"/>
      </w:pPr>
      <w:r>
        <w:t xml:space="preserve">Programme CIZO : environ 133 000 kits supplémentaires [1] [V].</w:t>
      </w:r>
    </w:p>
    <w:p>
      <w:pPr>
        <w:numPr>
          <w:ilvl w:val="0"/>
          <w:numId w:val="1486"/>
        </w:numPr>
        <w:pStyle w:val="Compact"/>
      </w:pPr>
      <w:r>
        <w:rPr>
          <w:bCs/>
          <w:b/>
        </w:rPr>
        <w:t xml:space="preserve">Renouvelables</w:t>
      </w:r>
      <w:r>
        <w:t xml:space="preserve"> </w:t>
      </w:r>
      <w:r>
        <w:t xml:space="preserve">: la cible varie selon les passages :</w:t>
      </w:r>
    </w:p>
    <w:p>
      <w:pPr>
        <w:numPr>
          <w:ilvl w:val="1"/>
          <w:numId w:val="1488"/>
        </w:numPr>
        <w:pStyle w:val="Compact"/>
      </w:pPr>
      <w:r>
        <w:t xml:space="preserve">« au moins 50 % » du mix électrique [1, Préambule ; Ann. 2] ;</w:t>
      </w:r>
    </w:p>
    <w:p>
      <w:pPr>
        <w:numPr>
          <w:ilvl w:val="1"/>
          <w:numId w:val="1488"/>
        </w:numPr>
        <w:pStyle w:val="Compact"/>
      </w:pPr>
      <w:r>
        <w:rPr>
          <w:bCs/>
          <w:b/>
        </w:rPr>
        <w:t xml:space="preserve">63 % de la capacité installée</w:t>
      </w:r>
      <w:r>
        <w:t xml:space="preserve"> </w:t>
      </w:r>
      <w:r>
        <w:t xml:space="preserve">(728,5 MW sur 1 154,5 MW) et</w:t>
      </w:r>
      <w:r>
        <w:t xml:space="preserve"> </w:t>
      </w:r>
      <w:r>
        <w:rPr>
          <w:bCs/>
          <w:b/>
        </w:rPr>
        <w:t xml:space="preserve">41 % de la production</w:t>
      </w:r>
      <w:r>
        <w:t xml:space="preserve"> </w:t>
      </w:r>
      <w:r>
        <w:t xml:space="preserve">(1 398 GWh sur 3 418 GWh) [1, Tab. 2] ;</w:t>
      </w:r>
    </w:p>
    <w:p>
      <w:pPr>
        <w:numPr>
          <w:ilvl w:val="1"/>
          <w:numId w:val="1488"/>
        </w:numPr>
        <w:pStyle w:val="Compact"/>
      </w:pPr>
      <w:r>
        <w:t xml:space="preserve">« ≥ 60 % » de la capacité [1, Tab. 7] ;</w:t>
      </w:r>
    </w:p>
    <w:p>
      <w:pPr>
        <w:numPr>
          <w:ilvl w:val="1"/>
          <w:numId w:val="1488"/>
        </w:numPr>
        <w:pStyle w:val="Compact"/>
      </w:pPr>
      <w:r>
        <w:t xml:space="preserve">production renouvelable multipliée par 10, d’environ 140 à environ 1 398 GWh par an [1, §1].</w:t>
      </w:r>
      <w:r>
        <w:t xml:space="preserve"> </w:t>
      </w:r>
      <w:r>
        <w:t xml:space="preserve">Toutes ces valeurs sont [V]. L’incohérence porte sur le dénominateur (capacité ou énergie).</w:t>
      </w:r>
    </w:p>
    <w:p>
      <w:pPr>
        <w:numPr>
          <w:ilvl w:val="0"/>
          <w:numId w:val="1486"/>
        </w:numPr>
        <w:pStyle w:val="Compact"/>
      </w:pPr>
      <w:r>
        <w:rPr>
          <w:bCs/>
          <w:b/>
        </w:rPr>
        <w:t xml:space="preserve">Cuisson propre</w:t>
      </w:r>
      <w:r>
        <w:t xml:space="preserve"> </w:t>
      </w:r>
      <w:r>
        <w:t xml:space="preserve">:</w:t>
      </w:r>
      <w:r>
        <w:t xml:space="preserve"> </w:t>
      </w:r>
      <w:r>
        <w:rPr>
          <w:bCs/>
          <w:b/>
        </w:rPr>
        <w:t xml:space="preserve">80 % des ménages</w:t>
      </w:r>
      <w:r>
        <w:t xml:space="preserve">, plus de 2 M de solutions distribuées, -60 % de consommation de bois-énergie [1, §1.3 et Tab. 2] [V].</w:t>
      </w:r>
    </w:p>
    <w:p>
      <w:pPr>
        <w:numPr>
          <w:ilvl w:val="0"/>
          <w:numId w:val="1486"/>
        </w:numPr>
        <w:pStyle w:val="Compact"/>
      </w:pPr>
      <w:r>
        <w:rPr>
          <w:bCs/>
          <w:b/>
        </w:rPr>
        <w:t xml:space="preserve">Autres</w:t>
      </w:r>
      <w:r>
        <w:t xml:space="preserve"> </w:t>
      </w:r>
      <w:r>
        <w:t xml:space="preserve">:</w:t>
      </w:r>
    </w:p>
    <w:p>
      <w:pPr>
        <w:numPr>
          <w:ilvl w:val="1"/>
          <w:numId w:val="1489"/>
        </w:numPr>
        <w:pStyle w:val="Compact"/>
      </w:pPr>
      <w:r>
        <w:rPr>
          <w:bCs/>
          <w:b/>
        </w:rPr>
        <w:t xml:space="preserve">1,68 Md USD</w:t>
      </w:r>
      <w:r>
        <w:t xml:space="preserve"> </w:t>
      </w:r>
      <w:r>
        <w:t xml:space="preserve">de capitaux privés [1, §1] [V]. Le Tableau 2 écrit « 1,68 Millions USD », coquille évidente [V] ;</w:t>
      </w:r>
    </w:p>
    <w:p>
      <w:pPr>
        <w:numPr>
          <w:ilvl w:val="1"/>
          <w:numId w:val="1489"/>
        </w:numPr>
        <w:pStyle w:val="Compact"/>
      </w:pPr>
      <w:r>
        <w:t xml:space="preserve">pertes : de 16 % à 12 % [1, §1.1] [V] ;</w:t>
      </w:r>
    </w:p>
    <w:p>
      <w:pPr>
        <w:numPr>
          <w:ilvl w:val="1"/>
          <w:numId w:val="1489"/>
        </w:numPr>
        <w:pStyle w:val="Compact"/>
      </w:pPr>
      <w:r>
        <w:t xml:space="preserve">stockage BESS : +156 MWh [1, Tab. 2] [V], et « au moins 400 MWh » selon les études [1, Tab. 4] [V] ;</w:t>
      </w:r>
    </w:p>
    <w:p>
      <w:pPr>
        <w:numPr>
          <w:ilvl w:val="1"/>
          <w:numId w:val="1489"/>
        </w:numPr>
        <w:pStyle w:val="Compact"/>
      </w:pPr>
      <w:r>
        <w:t xml:space="preserve">SAIFI « bien en dessous de 18 » [1, Tab. 4] [V] ;</w:t>
      </w:r>
    </w:p>
    <w:p>
      <w:pPr>
        <w:numPr>
          <w:ilvl w:val="1"/>
          <w:numId w:val="1489"/>
        </w:numPr>
        <w:pStyle w:val="Compact"/>
      </w:pPr>
      <w:r>
        <w:t xml:space="preserve">capacité installée : 1 154,5 MW, 1 161 MW ou 1 187 MW selon les passages [1] [V].</w:t>
      </w:r>
    </w:p>
    <w:bookmarkEnd w:id="501"/>
    <w:bookmarkStart w:id="508" w:name="réformes-promises-6"/>
    <w:p>
      <w:pPr>
        <w:pStyle w:val="Heading3"/>
      </w:pPr>
      <w:r>
        <w:t xml:space="preserve">3. Réformes promises</w:t>
      </w:r>
    </w:p>
    <w:bookmarkStart w:id="502" w:name="tarifs-et-subventions-31"/>
    <w:p>
      <w:pPr>
        <w:pStyle w:val="Heading4"/>
      </w:pPr>
      <w:r>
        <w:t xml:space="preserve">3.1 Tarifs et subventions</w:t>
      </w:r>
    </w:p>
    <w:p>
      <w:pPr>
        <w:numPr>
          <w:ilvl w:val="0"/>
          <w:numId w:val="1490"/>
        </w:numPr>
        <w:pStyle w:val="Compact"/>
      </w:pPr>
      <w:r>
        <w:rPr>
          <w:bCs/>
          <w:b/>
        </w:rPr>
        <w:t xml:space="preserve">Nouvelle grille tarifaire « déjà définie en mai 2025 »</w:t>
      </w:r>
      <w:r>
        <w:t xml:space="preserve">, présentée comme « un jalon essentiel pour garantir une tarification plus juste et soutenable » [1, §1.5] [V].</w:t>
      </w:r>
    </w:p>
    <w:p>
      <w:pPr>
        <w:numPr>
          <w:ilvl w:val="0"/>
          <w:numId w:val="1490"/>
        </w:numPr>
        <w:pStyle w:val="Compact"/>
      </w:pPr>
      <w:r>
        <w:t xml:space="preserve">« Le Gouvernement poursuivra la réforme tarifaire initiée en 2025 par arrêté ministériel, afin d’aligner progressivement les tarifs de l’électricité sur les coûts réels de fourniture, tout en maintenant des mécanismes de protection pour les ménages vulnérables ». L’objectif est l’équilibre financier durable d’ici 2030 [1, §2.6.2] [V].</w:t>
      </w:r>
    </w:p>
    <w:p>
      <w:pPr>
        <w:numPr>
          <w:ilvl w:val="0"/>
          <w:numId w:val="1490"/>
        </w:numPr>
        <w:pStyle w:val="Compact"/>
      </w:pPr>
      <w:r>
        <w:rPr>
          <w:bCs/>
          <w:b/>
        </w:rPr>
        <w:t xml:space="preserve">T4 2028 : révision du cadre tarifaire</w:t>
      </w:r>
      <w:r>
        <w:t xml:space="preserve"> </w:t>
      </w:r>
      <w:r>
        <w:t xml:space="preserve">[1, Tab. 4, Pilier V] [V].</w:t>
      </w:r>
    </w:p>
    <w:p>
      <w:pPr>
        <w:numPr>
          <w:ilvl w:val="0"/>
          <w:numId w:val="1490"/>
        </w:numPr>
        <w:pStyle w:val="Compact"/>
      </w:pPr>
      <w:r>
        <w:rPr>
          <w:bCs/>
          <w:b/>
        </w:rPr>
        <w:t xml:space="preserve">Données de coût et de tarif</w:t>
      </w:r>
      <w:r>
        <w:t xml:space="preserve"> </w:t>
      </w:r>
      <w:r>
        <w:t xml:space="preserve">[1, Ann. 2] [V] :</w:t>
      </w:r>
    </w:p>
    <w:p>
      <w:pPr>
        <w:numPr>
          <w:ilvl w:val="1"/>
          <w:numId w:val="1491"/>
        </w:numPr>
        <w:pStyle w:val="Compact"/>
      </w:pPr>
      <w:r>
        <w:t xml:space="preserve">coût moyen du service :</w:t>
      </w:r>
      <w:r>
        <w:t xml:space="preserve"> </w:t>
      </w:r>
      <w:r>
        <w:rPr>
          <w:bCs/>
          <w:b/>
        </w:rPr>
        <w:t xml:space="preserve">130,0 FCFA/kWh</w:t>
      </w:r>
      <w:r>
        <w:t xml:space="preserve"> </w:t>
      </w:r>
      <w:r>
        <w:t xml:space="preserve">(environ 24 ¢US) puis</w:t>
      </w:r>
      <w:r>
        <w:t xml:space="preserve"> </w:t>
      </w:r>
      <w:r>
        <w:rPr>
          <w:bCs/>
          <w:b/>
        </w:rPr>
        <w:t xml:space="preserve">125,1 FCFA/kWh</w:t>
      </w:r>
      <w:r>
        <w:t xml:space="preserve"> </w:t>
      </w:r>
      <w:r>
        <w:t xml:space="preserve">(environ 23 ¢US). L’attribution aux années 2022 et 2023 est probable mais la mise en page est éclatée ;</w:t>
      </w:r>
    </w:p>
    <w:p>
      <w:pPr>
        <w:numPr>
          <w:ilvl w:val="1"/>
          <w:numId w:val="1491"/>
        </w:numPr>
        <w:pStyle w:val="Compact"/>
      </w:pPr>
      <w:r>
        <w:rPr>
          <w:bCs/>
          <w:b/>
        </w:rPr>
        <w:t xml:space="preserve">tarif moyen : 103,9 FCFA/kWh (2022) et 104,6 FCFA/kWh (2023)</w:t>
      </w:r>
      <w:r>
        <w:t xml:space="preserve"> </w:t>
      </w:r>
      <w:r>
        <w:t xml:space="preserve">;</w:t>
      </w:r>
    </w:p>
    <w:p>
      <w:pPr>
        <w:numPr>
          <w:ilvl w:val="1"/>
          <w:numId w:val="1491"/>
        </w:numPr>
        <w:pStyle w:val="Compact"/>
      </w:pPr>
      <w:r>
        <w:t xml:space="preserve">écart tarif/coût : environ 80-84 % de couverture [E, calcul de l’auteur].</w:t>
      </w:r>
    </w:p>
    <w:p>
      <w:pPr>
        <w:numPr>
          <w:ilvl w:val="0"/>
          <w:numId w:val="1490"/>
        </w:numPr>
        <w:pStyle w:val="Compact"/>
      </w:pPr>
      <w:r>
        <w:t xml:space="preserve">Selon le diagnostic CEET (Tetra Tech 2022, résumé en annexe 4), « les tarifs sont en place depuis plus de dix ans et ne reflètent pas l’évolution récente du secteur » [1, Ann. 4] [V].</w:t>
      </w:r>
    </w:p>
    <w:p>
      <w:pPr>
        <w:numPr>
          <w:ilvl w:val="0"/>
          <w:numId w:val="1490"/>
        </w:numPr>
        <w:pStyle w:val="Compact"/>
      </w:pPr>
      <w:r>
        <w:t xml:space="preserve">Phrase ambiguë : le Togo participe à des rencontres régionales pour « explorer des alternatives viables à l’augmentation des tarifs » [1, §2.6.1] [V].</w:t>
      </w:r>
    </w:p>
    <w:p>
      <w:pPr>
        <w:numPr>
          <w:ilvl w:val="0"/>
          <w:numId w:val="1490"/>
        </w:numPr>
        <w:pStyle w:val="Compact"/>
      </w:pPr>
      <w:r>
        <w:rPr>
          <w:bCs/>
          <w:b/>
        </w:rPr>
        <w:t xml:space="preserve">Fonds Tinga</w:t>
      </w:r>
      <w:r>
        <w:t xml:space="preserve"> </w:t>
      </w:r>
      <w:r>
        <w:t xml:space="preserve">(subventions remboursables aux branchements) : renforcé à hauteur de</w:t>
      </w:r>
      <w:r>
        <w:t xml:space="preserve"> </w:t>
      </w:r>
      <w:r>
        <w:rPr>
          <w:bCs/>
          <w:b/>
        </w:rPr>
        <w:t xml:space="preserve">100 M USD</w:t>
      </w:r>
      <w:r>
        <w:t xml:space="preserve"> </w:t>
      </w:r>
      <w:r>
        <w:t xml:space="preserve">d’ici fin 2025 [1, §1.1] [V].</w:t>
      </w:r>
    </w:p>
    <w:p>
      <w:pPr>
        <w:numPr>
          <w:ilvl w:val="0"/>
          <w:numId w:val="1490"/>
        </w:numPr>
        <w:pStyle w:val="Compact"/>
      </w:pPr>
      <w:r>
        <w:rPr>
          <w:bCs/>
          <w:b/>
        </w:rPr>
        <w:t xml:space="preserve">Chèque CIZO</w:t>
      </w:r>
      <w:r>
        <w:t xml:space="preserve"> </w:t>
      </w:r>
      <w:r>
        <w:t xml:space="preserve">pour les kits solaires [1] [V].</w:t>
      </w:r>
    </w:p>
    <w:p>
      <w:pPr>
        <w:numPr>
          <w:ilvl w:val="0"/>
          <w:numId w:val="1490"/>
        </w:numPr>
        <w:pStyle w:val="Compact"/>
      </w:pPr>
      <w:r>
        <w:t xml:space="preserve">Subvention à la recharge de butane via le mécanisme de prix des produits pétroliers. L’État « étudiera » un ciblage des ménages vulnérables [1, §1.4 et §2.4] [V].</w:t>
      </w:r>
    </w:p>
    <w:p>
      <w:pPr>
        <w:numPr>
          <w:ilvl w:val="0"/>
          <w:numId w:val="1490"/>
        </w:numPr>
        <w:pStyle w:val="Compact"/>
      </w:pPr>
      <w:r>
        <w:t xml:space="preserve">Take-or-pay des IPP : reconnu comme une charge directe pour l’État [1, §2.6.3] [V].</w:t>
      </w:r>
    </w:p>
    <w:p>
      <w:pPr>
        <w:numPr>
          <w:ilvl w:val="0"/>
          <w:numId w:val="1490"/>
        </w:numPr>
        <w:pStyle w:val="Compact"/>
      </w:pPr>
      <w:r>
        <w:t xml:space="preserve">Contenu de la grille de mai 2025 (niveau, tranches) :</w:t>
      </w:r>
      <w:r>
        <w:t xml:space="preserve"> </w:t>
      </w:r>
      <w:r>
        <w:rPr>
          <w:bCs/>
          <w:b/>
        </w:rPr>
        <w:t xml:space="preserve">non détaillé</w:t>
      </w:r>
      <w:r>
        <w:t xml:space="preserve"> </w:t>
      </w:r>
      <w:r>
        <w:t xml:space="preserve">→ [?].</w:t>
      </w:r>
    </w:p>
    <w:bookmarkEnd w:id="502"/>
    <w:bookmarkStart w:id="503" w:name="opérateur-6"/>
    <w:p>
      <w:pPr>
        <w:pStyle w:val="Heading4"/>
      </w:pPr>
      <w:r>
        <w:t xml:space="preserve">3.2 Opérateur</w:t>
      </w:r>
    </w:p>
    <w:p>
      <w:pPr>
        <w:numPr>
          <w:ilvl w:val="0"/>
          <w:numId w:val="1492"/>
        </w:numPr>
        <w:pStyle w:val="Compact"/>
      </w:pPr>
      <w:r>
        <w:rPr>
          <w:bCs/>
          <w:b/>
        </w:rPr>
        <w:t xml:space="preserve">Restructuration de la CEET</w:t>
      </w:r>
      <w:r>
        <w:t xml:space="preserve"> </w:t>
      </w:r>
      <w:r>
        <w:t xml:space="preserve">: réorganisation d’ici le T3 2026 (§1.5) ou en 2027 (Tab. 4) [1] [V]. Les axes repris du rapport Tetra Tech 2022 sont [1, Ann. 4] [V] :</w:t>
      </w:r>
    </w:p>
    <w:p>
      <w:pPr>
        <w:numPr>
          <w:ilvl w:val="1"/>
          <w:numId w:val="1493"/>
        </w:numPr>
        <w:pStyle w:val="Compact"/>
      </w:pPr>
      <w:r>
        <w:t xml:space="preserve">optimisation de l’approvisionnement ;</w:t>
      </w:r>
    </w:p>
    <w:p>
      <w:pPr>
        <w:numPr>
          <w:ilvl w:val="1"/>
          <w:numId w:val="1493"/>
        </w:numPr>
        <w:pStyle w:val="Compact"/>
      </w:pPr>
      <w:r>
        <w:t xml:space="preserve">fiabilisation du réseau ;</w:t>
      </w:r>
    </w:p>
    <w:p>
      <w:pPr>
        <w:numPr>
          <w:ilvl w:val="1"/>
          <w:numId w:val="1493"/>
        </w:numPr>
        <w:pStyle w:val="Compact"/>
      </w:pPr>
      <w:r>
        <w:t xml:space="preserve">performance commerciale : terminaux portables, Programme de Protection des Revenus pour les grands clients (60 % des ventes), prépaiement ciblé, recouvrement des créances âgées ;</w:t>
      </w:r>
    </w:p>
    <w:p>
      <w:pPr>
        <w:numPr>
          <w:ilvl w:val="1"/>
          <w:numId w:val="1493"/>
        </w:numPr>
        <w:pStyle w:val="Compact"/>
      </w:pPr>
      <w:r>
        <w:t xml:space="preserve">système d’information (PGI) ;</w:t>
      </w:r>
    </w:p>
    <w:p>
      <w:pPr>
        <w:numPr>
          <w:ilvl w:val="1"/>
          <w:numId w:val="1493"/>
        </w:numPr>
        <w:pStyle w:val="Compact"/>
      </w:pPr>
      <w:r>
        <w:t xml:space="preserve">gouvernance, dont</w:t>
      </w:r>
      <w:r>
        <w:t xml:space="preserve"> </w:t>
      </w:r>
      <w:r>
        <w:rPr>
          <w:bCs/>
          <w:b/>
        </w:rPr>
        <w:t xml:space="preserve">« Ouverture du capital CEET »</w:t>
      </w:r>
      <w:r>
        <w:t xml:space="preserve">.</w:t>
      </w:r>
    </w:p>
    <w:p>
      <w:pPr>
        <w:numPr>
          <w:ilvl w:val="0"/>
          <w:numId w:val="1492"/>
        </w:numPr>
        <w:pStyle w:val="Compact"/>
      </w:pPr>
      <w:r>
        <w:t xml:space="preserve">Faiblesses citées : coût de service très élevé, chiffre d’affaires inférieur au coût de revient,</w:t>
      </w:r>
      <w:r>
        <w:t xml:space="preserve"> </w:t>
      </w:r>
      <w:r>
        <w:rPr>
          <w:bCs/>
          <w:b/>
        </w:rPr>
        <w:t xml:space="preserve">endettement élevé</w:t>
      </w:r>
      <w:r>
        <w:t xml:space="preserve">, créances clients à un niveau « inquiétant », informatique inadaptée [1, Ann. 4] [V].</w:t>
      </w:r>
    </w:p>
    <w:p>
      <w:pPr>
        <w:numPr>
          <w:ilvl w:val="0"/>
          <w:numId w:val="1492"/>
        </w:numPr>
        <w:pStyle w:val="Compact"/>
      </w:pPr>
      <w:r>
        <w:t xml:space="preserve">Pertes de distribution :</w:t>
      </w:r>
      <w:r>
        <w:t xml:space="preserve"> </w:t>
      </w:r>
      <w:r>
        <w:rPr>
          <w:bCs/>
          <w:b/>
        </w:rPr>
        <w:t xml:space="preserve">16,04 %</w:t>
      </w:r>
      <w:r>
        <w:t xml:space="preserve"> </w:t>
      </w:r>
      <w:r>
        <w:t xml:space="preserve">(2022 et 2023) [1, Ann. 2] [V].</w:t>
      </w:r>
    </w:p>
    <w:p>
      <w:pPr>
        <w:numPr>
          <w:ilvl w:val="0"/>
          <w:numId w:val="1492"/>
        </w:numPr>
        <w:pStyle w:val="Compact"/>
      </w:pPr>
      <w:r>
        <w:rPr>
          <w:bCs/>
          <w:b/>
        </w:rPr>
        <w:t xml:space="preserve">Données suspectes</w:t>
      </w:r>
      <w:r>
        <w:t xml:space="preserve"> </w:t>
      </w:r>
      <w:r>
        <w:t xml:space="preserve">: le pacte attribue à la CEET un « rendement global de 84,99 % à fin 2023 » et une END de 38,8 GWh [1, §2.6.1]. Ce sont</w:t>
      </w:r>
      <w:r>
        <w:t xml:space="preserve"> </w:t>
      </w:r>
      <w:r>
        <w:rPr>
          <w:bCs/>
          <w:b/>
        </w:rPr>
        <w:t xml:space="preserve">les mêmes valeurs que dans le pacte ivoirien</w:t>
      </w:r>
      <w:r>
        <w:t xml:space="preserve"> </w:t>
      </w:r>
      <w:r>
        <w:t xml:space="preserve">pour la CIE (84,99 % ; 38,83 GWh) [V pour la citation ; probable copie à vérifier → ?]. Le SAIFI de 23 et le SAIDI de 52 h sont proches mais différents.</w:t>
      </w:r>
    </w:p>
    <w:p>
      <w:pPr>
        <w:numPr>
          <w:ilvl w:val="0"/>
          <w:numId w:val="1492"/>
        </w:numPr>
        <w:pStyle w:val="Compact"/>
      </w:pPr>
      <w:r>
        <w:t xml:space="preserve">Clients du réseau : 689 380 (2022), 753 195 (2023) [1, Ann. 2] [V].</w:t>
      </w:r>
    </w:p>
    <w:p>
      <w:pPr>
        <w:numPr>
          <w:ilvl w:val="0"/>
          <w:numId w:val="1492"/>
        </w:numPr>
        <w:pStyle w:val="Compact"/>
      </w:pPr>
      <w:r>
        <w:t xml:space="preserve">États financiers certifiés par des commissaires aux comptes [1] [V]. Aucun chiffre financier de la CEET (résultat, dette) n’est donné [?].</w:t>
      </w:r>
    </w:p>
    <w:p>
      <w:pPr>
        <w:numPr>
          <w:ilvl w:val="0"/>
          <w:numId w:val="1492"/>
        </w:numPr>
        <w:pStyle w:val="Compact"/>
      </w:pPr>
      <w:r>
        <w:rPr>
          <w:bCs/>
          <w:b/>
        </w:rPr>
        <w:t xml:space="preserve">CEB</w:t>
      </w:r>
      <w:r>
        <w:t xml:space="preserve"> </w:t>
      </w:r>
      <w:r>
        <w:t xml:space="preserve">: transformation en Gestionnaire de Réseau de Transport autonome (T3 2026) ; « modèle tarifaire viable permettant la couverture des coûts réels » ; plan d’apurement du passif [1, Ann. 7 et Tab. 4] [V].</w:t>
      </w:r>
    </w:p>
    <w:bookmarkEnd w:id="503"/>
    <w:bookmarkStart w:id="504" w:name="régulation-et-gouvernance-21"/>
    <w:p>
      <w:pPr>
        <w:pStyle w:val="Heading4"/>
      </w:pPr>
      <w:r>
        <w:t xml:space="preserve">3.3 Régulation et gouvernance</w:t>
      </w:r>
    </w:p>
    <w:p>
      <w:pPr>
        <w:numPr>
          <w:ilvl w:val="0"/>
          <w:numId w:val="1494"/>
        </w:numPr>
        <w:pStyle w:val="Compact"/>
      </w:pPr>
      <w:r>
        <w:t xml:space="preserve">Révision de la loi n° 2000-012 (secteur de l’électricité) d’ici le</w:t>
      </w:r>
      <w:r>
        <w:t xml:space="preserve"> </w:t>
      </w:r>
      <w:r>
        <w:rPr>
          <w:bCs/>
          <w:b/>
        </w:rPr>
        <w:t xml:space="preserve">T1 2027</w:t>
      </w:r>
      <w:r>
        <w:t xml:space="preserve"> </w:t>
      </w:r>
      <w:r>
        <w:t xml:space="preserve">: pouvoirs renforcés de l’ARSE, statut de « client éligible », séparation des activités, procédures concurrentielles pour les titres [1, §1.1 et §1.5] [V].</w:t>
      </w:r>
    </w:p>
    <w:p>
      <w:pPr>
        <w:numPr>
          <w:ilvl w:val="0"/>
          <w:numId w:val="1494"/>
        </w:numPr>
        <w:pStyle w:val="Compact"/>
      </w:pPr>
      <w:r>
        <w:t xml:space="preserve">Mise à jour du Plan Directeur Production, Transport et Distribution fin 2025 [1, Tab. 4] [V].</w:t>
      </w:r>
    </w:p>
    <w:p>
      <w:pPr>
        <w:numPr>
          <w:ilvl w:val="0"/>
          <w:numId w:val="1494"/>
        </w:numPr>
        <w:pStyle w:val="Compact"/>
      </w:pPr>
      <w:r>
        <w:t xml:space="preserve">Transposition des directives UEMOA (étiquetage, bâtiments, EnR) au T1 2027 [1] [V].</w:t>
      </w:r>
    </w:p>
    <w:p>
      <w:pPr>
        <w:numPr>
          <w:ilvl w:val="0"/>
          <w:numId w:val="1494"/>
        </w:numPr>
        <w:pStyle w:val="Compact"/>
      </w:pPr>
      <w:r>
        <w:t xml:space="preserve">Gouvernance du pacte [1, §3.2] [V] :</w:t>
      </w:r>
    </w:p>
    <w:p>
      <w:pPr>
        <w:numPr>
          <w:ilvl w:val="1"/>
          <w:numId w:val="1495"/>
        </w:numPr>
        <w:pStyle w:val="Compact"/>
      </w:pPr>
      <w:r>
        <w:t xml:space="preserve">Secrétariat Permanent Énergie (décembre 2025) ;</w:t>
      </w:r>
    </w:p>
    <w:p>
      <w:pPr>
        <w:numPr>
          <w:ilvl w:val="1"/>
          <w:numId w:val="1495"/>
        </w:numPr>
        <w:pStyle w:val="Compact"/>
      </w:pPr>
      <w:r>
        <w:t xml:space="preserve">Comité interministériel (septembre 2025) ;</w:t>
      </w:r>
    </w:p>
    <w:p>
      <w:pPr>
        <w:numPr>
          <w:ilvl w:val="1"/>
          <w:numId w:val="1495"/>
        </w:numPr>
        <w:pStyle w:val="Compact"/>
      </w:pPr>
      <w:r>
        <w:t xml:space="preserve">cadre numérique de suivi-évaluation public (décembre 2025) ;</w:t>
      </w:r>
    </w:p>
    <w:p>
      <w:pPr>
        <w:numPr>
          <w:ilvl w:val="1"/>
          <w:numId w:val="1495"/>
        </w:numPr>
        <w:pStyle w:val="Compact"/>
      </w:pPr>
      <w:r>
        <w:t xml:space="preserve">rapport public semestriel.</w:t>
      </w:r>
    </w:p>
    <w:p>
      <w:pPr>
        <w:numPr>
          <w:ilvl w:val="0"/>
          <w:numId w:val="1494"/>
        </w:numPr>
        <w:pStyle w:val="Compact"/>
      </w:pPr>
      <w:r>
        <w:t xml:space="preserve">Coût de la feuille de route : « environ 1,5 millions USD » [1, §3.8.1] [V].</w:t>
      </w:r>
    </w:p>
    <w:bookmarkEnd w:id="504"/>
    <w:bookmarkStart w:id="505" w:name="participation-du-privé-6"/>
    <w:p>
      <w:pPr>
        <w:pStyle w:val="Heading4"/>
      </w:pPr>
      <w:r>
        <w:t xml:space="preserve">3.4 Participation du privé</w:t>
      </w:r>
    </w:p>
    <w:p>
      <w:pPr>
        <w:numPr>
          <w:ilvl w:val="0"/>
          <w:numId w:val="1496"/>
        </w:numPr>
        <w:pStyle w:val="Compact"/>
      </w:pPr>
      <w:r>
        <w:t xml:space="preserve">Appels d’offres concurrentiels d’ici fin 2025 (loi EnR de 2018, Code des marchés publics de 2022) [1, §1.1] [V].</w:t>
      </w:r>
    </w:p>
    <w:p>
      <w:pPr>
        <w:numPr>
          <w:ilvl w:val="0"/>
          <w:numId w:val="1496"/>
        </w:numPr>
        <w:pStyle w:val="Compact"/>
      </w:pPr>
      <w:r>
        <w:t xml:space="preserve">Approche programmatique EnR-PPP avec RELP, appels d’offres de 2025 à 2027 [1, §1.3] [V].</w:t>
      </w:r>
    </w:p>
    <w:p>
      <w:pPr>
        <w:numPr>
          <w:ilvl w:val="0"/>
          <w:numId w:val="1496"/>
        </w:numPr>
        <w:pStyle w:val="Compact"/>
      </w:pPr>
      <w:r>
        <w:t xml:space="preserve">Textes d’application de la loi n° 2018-010 (autoproduction, injection du surplus) d’ici le T1 2027 [1, §1.4] [V].</w:t>
      </w:r>
    </w:p>
    <w:p>
      <w:pPr>
        <w:numPr>
          <w:ilvl w:val="0"/>
          <w:numId w:val="1496"/>
        </w:numPr>
        <w:pStyle w:val="Compact"/>
      </w:pPr>
      <w:r>
        <w:t xml:space="preserve">Processus réglementaire des mini-réseaux privés en 2027 (licences, tarifs, accès des tiers, transfert à la CEET) [1, Tab. 4] [V].</w:t>
      </w:r>
    </w:p>
    <w:p>
      <w:pPr>
        <w:numPr>
          <w:ilvl w:val="0"/>
          <w:numId w:val="1496"/>
        </w:numPr>
        <w:pStyle w:val="Compact"/>
      </w:pPr>
      <w:r>
        <w:t xml:space="preserve">Fonds de garantie pour les PME de kits solaires et fonds d’électrification hors-réseau en 2026 [1, Tab. 4] [V].</w:t>
      </w:r>
    </w:p>
    <w:p>
      <w:pPr>
        <w:numPr>
          <w:ilvl w:val="0"/>
          <w:numId w:val="1496"/>
        </w:numPr>
        <w:pStyle w:val="Compact"/>
      </w:pPr>
      <w:r>
        <w:t xml:space="preserve">Exonérations de droits de douane et de TVA sur les équipements EnR [1, §2.1] [V].</w:t>
      </w:r>
    </w:p>
    <w:p>
      <w:pPr>
        <w:numPr>
          <w:ilvl w:val="0"/>
          <w:numId w:val="1496"/>
        </w:numPr>
        <w:pStyle w:val="Compact"/>
      </w:pPr>
      <w:r>
        <w:t xml:space="preserve">Mobilisation privée passée : 517,5 M USD sur 2011-2024 [1, Tab. 2] [V].</w:t>
      </w:r>
    </w:p>
    <w:bookmarkEnd w:id="505"/>
    <w:bookmarkStart w:id="506" w:name="intégration-régionale-6"/>
    <w:p>
      <w:pPr>
        <w:pStyle w:val="Heading4"/>
      </w:pPr>
      <w:r>
        <w:t xml:space="preserve">3.5 Intégration régionale</w:t>
      </w:r>
    </w:p>
    <w:p>
      <w:pPr>
        <w:numPr>
          <w:ilvl w:val="0"/>
          <w:numId w:val="1497"/>
        </w:numPr>
        <w:pStyle w:val="Compact"/>
      </w:pPr>
      <w:r>
        <w:t xml:space="preserve">Dorsale Nord, Dorsale médiane, renforcement de la Dorsale côtière, BESS régional [1, §1.2] [V].</w:t>
      </w:r>
    </w:p>
    <w:p>
      <w:pPr>
        <w:numPr>
          <w:ilvl w:val="0"/>
          <w:numId w:val="1497"/>
        </w:numPr>
        <w:pStyle w:val="Compact"/>
      </w:pPr>
      <w:r>
        <w:t xml:space="preserve">Encouragement de la CEET à signer l’accord inter-opérateurs et à adopter la méthode APM. Marché day-ahead de l’EEEOA en 2026 [1, §1.2 et Tab. 4] [V].</w:t>
      </w:r>
    </w:p>
    <w:bookmarkEnd w:id="506"/>
    <w:bookmarkStart w:id="507" w:name="autres-6"/>
    <w:p>
      <w:pPr>
        <w:pStyle w:val="Heading4"/>
      </w:pPr>
      <w:r>
        <w:t xml:space="preserve">3.6 Autres</w:t>
      </w:r>
    </w:p>
    <w:p>
      <w:pPr>
        <w:numPr>
          <w:ilvl w:val="0"/>
          <w:numId w:val="1498"/>
        </w:numPr>
        <w:pStyle w:val="Compact"/>
      </w:pPr>
      <w:r>
        <w:t xml:space="preserve">Terminal GNL de 80 000 m³ en 2029 ; centrale à gaz de 250 MW en 2029 [1, Tab. 4] [V].</w:t>
      </w:r>
    </w:p>
    <w:p>
      <w:pPr>
        <w:numPr>
          <w:ilvl w:val="0"/>
          <w:numId w:val="1498"/>
        </w:numPr>
        <w:pStyle w:val="Compact"/>
      </w:pPr>
      <w:r>
        <w:rPr>
          <w:bCs/>
          <w:b/>
        </w:rPr>
        <w:t xml:space="preserve">Nucléaire</w:t>
      </w:r>
      <w:r>
        <w:t xml:space="preserve"> </w:t>
      </w:r>
      <w:r>
        <w:t xml:space="preserve">(microréacteurs modulaires, Togo Atomic Energy Commission) : 73 M USD au budget [1, §1.1 et Tab. 1] [V].</w:t>
      </w:r>
    </w:p>
    <w:p>
      <w:pPr>
        <w:numPr>
          <w:ilvl w:val="0"/>
          <w:numId w:val="1498"/>
        </w:numPr>
        <w:pStyle w:val="Compact"/>
      </w:pPr>
      <w:r>
        <w:t xml:space="preserve">Carburants d’aviation durables : au moins 4 % d’ici 2030 [1, Tab. 4] [V].</w:t>
      </w:r>
    </w:p>
    <w:p>
      <w:pPr>
        <w:numPr>
          <w:ilvl w:val="0"/>
          <w:numId w:val="1498"/>
        </w:numPr>
        <w:pStyle w:val="Compact"/>
      </w:pPr>
      <w:r>
        <w:t xml:space="preserve">Foncier : cité comme obstacle [1, §2.5.3] [V].</w:t>
      </w:r>
    </w:p>
    <w:bookmarkEnd w:id="507"/>
    <w:bookmarkEnd w:id="508"/>
    <w:bookmarkStart w:id="509" w:name="financement-31"/>
    <w:p>
      <w:pPr>
        <w:pStyle w:val="Heading3"/>
      </w:pPr>
      <w:r>
        <w:t xml:space="preserve">4. Financement</w:t>
      </w:r>
    </w:p>
    <w:p>
      <w:pPr>
        <w:numPr>
          <w:ilvl w:val="0"/>
          <w:numId w:val="1499"/>
        </w:numPr>
        <w:pStyle w:val="Compact"/>
      </w:pPr>
      <w:r>
        <w:rPr>
          <w:bCs/>
          <w:b/>
        </w:rPr>
        <w:t xml:space="preserve">Besoin total 2025-2030</w:t>
      </w:r>
      <w:r>
        <w:t xml:space="preserve"> </w:t>
      </w:r>
      <w:r>
        <w:t xml:space="preserve">:</w:t>
      </w:r>
      <w:r>
        <w:t xml:space="preserve"> </w:t>
      </w:r>
      <w:r>
        <w:rPr>
          <w:bCs/>
          <w:b/>
        </w:rPr>
        <w:t xml:space="preserve">2 999 M USD (environ 3,00 Md)</w:t>
      </w:r>
      <w:r>
        <w:t xml:space="preserve">, dont</w:t>
      </w:r>
      <w:r>
        <w:t xml:space="preserve"> </w:t>
      </w:r>
      <w:r>
        <w:rPr>
          <w:bCs/>
          <w:b/>
        </w:rPr>
        <w:t xml:space="preserve">1 318 M USD publics</w:t>
      </w:r>
      <w:r>
        <w:t xml:space="preserve"> </w:t>
      </w:r>
      <w:r>
        <w:t xml:space="preserve">et</w:t>
      </w:r>
      <w:r>
        <w:t xml:space="preserve"> </w:t>
      </w:r>
      <w:r>
        <w:rPr>
          <w:bCs/>
          <w:b/>
        </w:rPr>
        <w:t xml:space="preserve">1 681 M USD privés</w:t>
      </w:r>
      <w:r>
        <w:t xml:space="preserve"> </w:t>
      </w:r>
      <w:r>
        <w:t xml:space="preserve">[1, Tab. 1] [V].</w:t>
      </w:r>
    </w:p>
    <w:p>
      <w:pPr>
        <w:numPr>
          <w:ilvl w:val="0"/>
          <w:numId w:val="1499"/>
        </w:numPr>
        <w:pStyle w:val="Compact"/>
      </w:pPr>
      <w:r>
        <w:t xml:space="preserve">Détail par segment [1, Tab. 1] [V] :</w:t>
      </w:r>
    </w:p>
    <w:p>
      <w:pPr>
        <w:numPr>
          <w:ilvl w:val="1"/>
          <w:numId w:val="1500"/>
        </w:numPr>
        <w:pStyle w:val="Compact"/>
      </w:pPr>
      <w:r>
        <w:t xml:space="preserve">production : 1 558 M USD, entièrement privés (solaire 400 MW : 360 ; hydro 57 MW : 307 ; thermique 211 MW : 392 ; terminal GNL : 500) ;</w:t>
      </w:r>
    </w:p>
    <w:p>
      <w:pPr>
        <w:numPr>
          <w:ilvl w:val="1"/>
          <w:numId w:val="1500"/>
        </w:numPr>
        <w:pStyle w:val="Compact"/>
      </w:pPr>
      <w:r>
        <w:t xml:space="preserve">transport : 446 ;</w:t>
      </w:r>
    </w:p>
    <w:p>
      <w:pPr>
        <w:numPr>
          <w:ilvl w:val="1"/>
          <w:numId w:val="1500"/>
        </w:numPr>
        <w:pStyle w:val="Compact"/>
      </w:pPr>
      <w:r>
        <w:t xml:space="preserve">distribution : 612 ;</w:t>
      </w:r>
    </w:p>
    <w:p>
      <w:pPr>
        <w:numPr>
          <w:ilvl w:val="1"/>
          <w:numId w:val="1500"/>
        </w:numPr>
        <w:pStyle w:val="Compact"/>
      </w:pPr>
      <w:r>
        <w:t xml:space="preserve">nucléaire : 73 ;</w:t>
      </w:r>
    </w:p>
    <w:p>
      <w:pPr>
        <w:numPr>
          <w:ilvl w:val="1"/>
          <w:numId w:val="1500"/>
        </w:numPr>
        <w:pStyle w:val="Compact"/>
      </w:pPr>
      <w:r>
        <w:t xml:space="preserve">cuisson propre : 37 ;</w:t>
      </w:r>
    </w:p>
    <w:p>
      <w:pPr>
        <w:numPr>
          <w:ilvl w:val="1"/>
          <w:numId w:val="1500"/>
        </w:numPr>
        <w:pStyle w:val="Compact"/>
      </w:pPr>
      <w:r>
        <w:t xml:space="preserve">Fonds Tinga : 100 ;</w:t>
      </w:r>
    </w:p>
    <w:p>
      <w:pPr>
        <w:numPr>
          <w:ilvl w:val="1"/>
          <w:numId w:val="1500"/>
        </w:numPr>
        <w:pStyle w:val="Compact"/>
      </w:pPr>
      <w:r>
        <w:t xml:space="preserve">hors-réseau : 99 (privé) ;</w:t>
      </w:r>
    </w:p>
    <w:p>
      <w:pPr>
        <w:numPr>
          <w:ilvl w:val="1"/>
          <w:numId w:val="1500"/>
        </w:numPr>
        <w:pStyle w:val="Compact"/>
      </w:pPr>
      <w:r>
        <w:t xml:space="preserve">assistance technique : 73.</w:t>
      </w:r>
    </w:p>
    <w:p>
      <w:pPr>
        <w:numPr>
          <w:ilvl w:val="0"/>
          <w:numId w:val="1499"/>
        </w:numPr>
        <w:pStyle w:val="Compact"/>
      </w:pPr>
      <w:r>
        <w:t xml:space="preserve">Le pacte ne distingue pas les montants déjà mobilisés de ceux à mobiliser [?].</w:t>
      </w:r>
    </w:p>
    <w:p>
      <w:pPr>
        <w:numPr>
          <w:ilvl w:val="0"/>
          <w:numId w:val="1499"/>
        </w:numPr>
        <w:pStyle w:val="Compact"/>
      </w:pPr>
      <w:r>
        <w:rPr>
          <w:bCs/>
          <w:b/>
        </w:rPr>
        <w:t xml:space="preserve">Engagements cités</w:t>
      </w:r>
      <w:r>
        <w:t xml:space="preserve"> </w:t>
      </w:r>
      <w:r>
        <w:t xml:space="preserve">[1, Ann. 1] [V] :</w:t>
      </w:r>
    </w:p>
    <w:p>
      <w:pPr>
        <w:numPr>
          <w:ilvl w:val="1"/>
          <w:numId w:val="1501"/>
        </w:numPr>
        <w:pStyle w:val="Compact"/>
      </w:pPr>
      <w:r>
        <w:t xml:space="preserve">Banque mondiale : RESPITE Togo (2023-2027, 60,5 M USD, 25 MWc et 36 MWh à Dapaong) ;</w:t>
      </w:r>
      <w:r>
        <w:t xml:space="preserve"> </w:t>
      </w:r>
      <w:r>
        <w:rPr>
          <w:bCs/>
          <w:b/>
        </w:rPr>
        <w:t xml:space="preserve">IDEA (2023-2028, 200 M USD</w:t>
      </w:r>
      <w:r>
        <w:t xml:space="preserve">, 1 526 035 personnes, dont 22,5 M USD pour le Fonds Tinga) ;</w:t>
      </w:r>
    </w:p>
    <w:p>
      <w:pPr>
        <w:numPr>
          <w:ilvl w:val="1"/>
          <w:numId w:val="1501"/>
        </w:numPr>
        <w:pStyle w:val="Compact"/>
      </w:pPr>
      <w:r>
        <w:t xml:space="preserve">BAD/UE : PRAVOST (13,6 M USD) ; BAD et BIsD : 56 mini-réseaux (31 M USD) ;</w:t>
      </w:r>
    </w:p>
    <w:p>
      <w:pPr>
        <w:numPr>
          <w:ilvl w:val="1"/>
          <w:numId w:val="1501"/>
        </w:numPr>
        <w:pStyle w:val="Compact"/>
      </w:pPr>
      <w:r>
        <w:t xml:space="preserve">autres : BOAD (barrage de Titira, centrale de Sokodé) ; AFD/KfW/UE (PERECUT 79,3 M USD) ; Exim India.</w:t>
      </w:r>
    </w:p>
    <w:bookmarkEnd w:id="509"/>
    <w:bookmarkStart w:id="510" w:name="calendrier-et-suivi-31"/>
    <w:p>
      <w:pPr>
        <w:pStyle w:val="Heading3"/>
      </w:pPr>
      <w:r>
        <w:t xml:space="preserve">5. Calendrier et suivi</w:t>
      </w:r>
    </w:p>
    <w:p>
      <w:pPr>
        <w:numPr>
          <w:ilvl w:val="0"/>
          <w:numId w:val="1502"/>
        </w:numPr>
        <w:pStyle w:val="Compact"/>
      </w:pPr>
      <w:r>
        <w:t xml:space="preserve">Phases : lancement (juillet-décembre 2025) ; accélération (2026-2027) ; massification (2028-2029) ; consolidation (2030) [1, Tab. 5] [V].</w:t>
      </w:r>
    </w:p>
    <w:p>
      <w:pPr>
        <w:numPr>
          <w:ilvl w:val="0"/>
          <w:numId w:val="1502"/>
        </w:numPr>
        <w:pStyle w:val="Compact"/>
      </w:pPr>
      <w:r>
        <w:t xml:space="preserve">Jalons clés :</w:t>
      </w:r>
    </w:p>
    <w:p>
      <w:pPr>
        <w:numPr>
          <w:ilvl w:val="1"/>
          <w:numId w:val="1503"/>
        </w:numPr>
        <w:pStyle w:val="Compact"/>
      </w:pPr>
      <w:r>
        <w:t xml:space="preserve">2025 : Secrétariat Permanent, comité interministériel, plan directeur, appels d’offres, Fonds Tinga ;</w:t>
      </w:r>
    </w:p>
    <w:p>
      <w:pPr>
        <w:numPr>
          <w:ilvl w:val="1"/>
          <w:numId w:val="1503"/>
        </w:numPr>
        <w:pStyle w:val="Compact"/>
      </w:pPr>
      <w:r>
        <w:t xml:space="preserve">2026 : restructuration CEET (T3), CEB en GRT, système d’information sectoriel ;</w:t>
      </w:r>
    </w:p>
    <w:p>
      <w:pPr>
        <w:numPr>
          <w:ilvl w:val="1"/>
          <w:numId w:val="1503"/>
        </w:numPr>
        <w:pStyle w:val="Compact"/>
      </w:pPr>
      <w:r>
        <w:t xml:space="preserve">T1 2027 : loi du secteur ;</w:t>
      </w:r>
    </w:p>
    <w:p>
      <w:pPr>
        <w:numPr>
          <w:ilvl w:val="1"/>
          <w:numId w:val="1503"/>
        </w:numPr>
        <w:pStyle w:val="Compact"/>
      </w:pPr>
      <w:r>
        <w:rPr>
          <w:bCs/>
          <w:b/>
        </w:rPr>
        <w:t xml:space="preserve">T4 2028 : révision du cadre tarifaire</w:t>
      </w:r>
      <w:r>
        <w:t xml:space="preserve"> </w:t>
      </w:r>
      <w:r>
        <w:t xml:space="preserve">[1] [V].</w:t>
      </w:r>
    </w:p>
    <w:p>
      <w:pPr>
        <w:numPr>
          <w:ilvl w:val="0"/>
          <w:numId w:val="1502"/>
        </w:numPr>
        <w:pStyle w:val="Compact"/>
      </w:pPr>
      <w:r>
        <w:t xml:space="preserve">Aucun rapport d’avancement publié à la date de consultation [2] [V].</w:t>
      </w:r>
    </w:p>
    <w:bookmarkEnd w:id="510"/>
    <w:bookmarkStart w:id="511" w:name="lecture-critique-analyse-de-lauteur-6"/>
    <w:p>
      <w:pPr>
        <w:pStyle w:val="Heading3"/>
      </w:pPr>
      <w:r>
        <w:t xml:space="preserve">6. Lecture critique (analyse de l’auteur)</w:t>
      </w:r>
    </w:p>
    <w:p>
      <w:pPr>
        <w:numPr>
          <w:ilvl w:val="0"/>
          <w:numId w:val="1504"/>
        </w:numPr>
        <w:pStyle w:val="Compact"/>
      </w:pPr>
      <w:r>
        <w:rPr>
          <w:bCs/>
          <w:b/>
        </w:rPr>
        <w:t xml:space="preserve">Réalisme</w:t>
      </w:r>
      <w:r>
        <w:t xml:space="preserve"> </w:t>
      </w:r>
      <w:r>
        <w:t xml:space="preserve">: passer de 70 % à 100 % en 6 ans est cohérent avec la tendance récente (+20 points sur 2020-2024 selon le pacte), mais l’accès rural (47,8 %) devra plus que doubler [E]. Les cibles renouvelables sont incohérentes (50 %, 60 %, 63 % de la capacité ; 41 % de l’énergie), avec en parallèle 461 MW de thermique (211 MW au tableau, 250 MW en 2029) [E].</w:t>
      </w:r>
    </w:p>
    <w:p>
      <w:pPr>
        <w:numPr>
          <w:ilvl w:val="0"/>
          <w:numId w:val="1504"/>
        </w:numPr>
        <w:pStyle w:val="Compact"/>
      </w:pPr>
      <w:r>
        <w:rPr>
          <w:bCs/>
          <w:b/>
        </w:rPr>
        <w:t xml:space="preserve">Engagements tarifaires</w:t>
      </w:r>
      <w:r>
        <w:t xml:space="preserve"> </w:t>
      </w:r>
      <w:r>
        <w:t xml:space="preserve">:</w:t>
      </w:r>
      <w:r>
        <w:t xml:space="preserve"> </w:t>
      </w:r>
      <w:r>
        <w:rPr>
          <w:bCs/>
          <w:b/>
        </w:rPr>
        <w:t xml:space="preserve">plus précis que la moyenne</w:t>
      </w:r>
      <w:r>
        <w:t xml:space="preserve"> </w:t>
      </w:r>
      <w:r>
        <w:t xml:space="preserve">(grille de mai 2025, alignement progressif sur les coûts, révision du cadre en 2028). Le pacte fournit le coût et le tarif moyens (environ 125-130 contre 104 FCFA/kWh), ce qui permet un suivi. Reste ambigu le passage sur les « alternatives à l’augmentation des tarifs ».</w:t>
      </w:r>
    </w:p>
    <w:p>
      <w:pPr>
        <w:numPr>
          <w:ilvl w:val="0"/>
          <w:numId w:val="1504"/>
        </w:numPr>
        <w:pStyle w:val="Compact"/>
      </w:pPr>
      <w:r>
        <w:rPr>
          <w:bCs/>
          <w:b/>
        </w:rPr>
        <w:t xml:space="preserve">Qualité du document</w:t>
      </w:r>
      <w:r>
        <w:t xml:space="preserve"> </w:t>
      </w:r>
      <w:r>
        <w:t xml:space="preserve">: plusieurs signes de copier-coller depuis le pacte ivoirien (84,99 %, END de 38,8 GWh, structure des paragraphes) et des coquilles (« 1,68 Millions », « 330 kVA ») invitent à</w:t>
      </w:r>
      <w:r>
        <w:t xml:space="preserve"> </w:t>
      </w:r>
      <w:r>
        <w:rPr>
          <w:bCs/>
          <w:b/>
        </w:rPr>
        <w:t xml:space="preserve">vérifier chaque chiffre opérateur</w:t>
      </w:r>
      <w:r>
        <w:t xml:space="preserve"> </w:t>
      </w:r>
      <w:r>
        <w:t xml:space="preserve">en phase 2.</w:t>
      </w:r>
    </w:p>
    <w:p>
      <w:pPr>
        <w:numPr>
          <w:ilvl w:val="0"/>
          <w:numId w:val="1504"/>
        </w:numPr>
        <w:pStyle w:val="Compact"/>
      </w:pPr>
      <w:r>
        <w:rPr>
          <w:bCs/>
          <w:b/>
        </w:rPr>
        <w:t xml:space="preserve">Risques</w:t>
      </w:r>
      <w:r>
        <w:t xml:space="preserve"> </w:t>
      </w:r>
      <w:r>
        <w:t xml:space="preserve">:</w:t>
      </w:r>
    </w:p>
    <w:p>
      <w:pPr>
        <w:numPr>
          <w:ilvl w:val="1"/>
          <w:numId w:val="1505"/>
        </w:numPr>
        <w:pStyle w:val="Compact"/>
      </w:pPr>
      <w:r>
        <w:t xml:space="preserve">take-or-pay des IPP (71 % du parc) ;</w:t>
      </w:r>
    </w:p>
    <w:p>
      <w:pPr>
        <w:numPr>
          <w:ilvl w:val="1"/>
          <w:numId w:val="1505"/>
        </w:numPr>
        <w:pStyle w:val="Compact"/>
      </w:pPr>
      <w:r>
        <w:t xml:space="preserve">dépendance aux importations et au gaz du WAGP ;</w:t>
      </w:r>
    </w:p>
    <w:p>
      <w:pPr>
        <w:numPr>
          <w:ilvl w:val="1"/>
          <w:numId w:val="1505"/>
        </w:numPr>
        <w:pStyle w:val="Compact"/>
      </w:pPr>
      <w:r>
        <w:t xml:space="preserve">endettement de la CEET ;</w:t>
      </w:r>
    </w:p>
    <w:p>
      <w:pPr>
        <w:numPr>
          <w:ilvl w:val="1"/>
          <w:numId w:val="1505"/>
        </w:numPr>
        <w:pStyle w:val="Compact"/>
      </w:pPr>
      <w:r>
        <w:t xml:space="preserve">gouvernance bi-nationale de la CEB ;</w:t>
      </w:r>
    </w:p>
    <w:p>
      <w:pPr>
        <w:numPr>
          <w:ilvl w:val="1"/>
          <w:numId w:val="1505"/>
        </w:numPr>
        <w:pStyle w:val="Compact"/>
      </w:pPr>
      <w:r>
        <w:t xml:space="preserve">financement de la production entièrement attendu du privé (1 558 M USD).</w:t>
      </w:r>
    </w:p>
    <w:p>
      <w:pPr>
        <w:numPr>
          <w:ilvl w:val="0"/>
          <w:numId w:val="1504"/>
        </w:numPr>
        <w:pStyle w:val="Compact"/>
      </w:pPr>
      <w:r>
        <w:rPr>
          <w:bCs/>
          <w:b/>
        </w:rPr>
        <w:t xml:space="preserve">Phase 2 (opérateur)</w:t>
      </w:r>
      <w:r>
        <w:t xml:space="preserve"> </w:t>
      </w:r>
      <w:r>
        <w:t xml:space="preserve">: rapport Tetra Tech 2022 ; plan de restructuration et ouverture du capital de la CEET ; états financiers ; vérification du rendement de 84,99 %.</w:t>
      </w:r>
    </w:p>
    <w:p>
      <w:pPr>
        <w:numPr>
          <w:ilvl w:val="0"/>
          <w:numId w:val="1504"/>
        </w:numPr>
        <w:pStyle w:val="Compact"/>
      </w:pPr>
      <w:r>
        <w:rPr>
          <w:bCs/>
          <w:b/>
        </w:rPr>
        <w:t xml:space="preserve">Phase 3 (tarifs)</w:t>
      </w:r>
      <w:r>
        <w:t xml:space="preserve"> </w:t>
      </w:r>
      <w:r>
        <w:t xml:space="preserve">: arrêté de mai 2025 (niveaux, tranches sociales) ; trajectoire 2025-2030 ; coût du take-or-pay ; Fonds Tinga (remboursement des avances).</w:t>
      </w:r>
    </w:p>
    <w:bookmarkEnd w:id="511"/>
    <w:bookmarkStart w:id="512" w:name="inconnus-données-non-trouvées-31"/>
    <w:p>
      <w:pPr>
        <w:pStyle w:val="Heading3"/>
      </w:pPr>
      <w:r>
        <w:t xml:space="preserve">7. Inconnus / données non trouvées</w:t>
      </w:r>
    </w:p>
    <w:p>
      <w:pPr>
        <w:numPr>
          <w:ilvl w:val="0"/>
          <w:numId w:val="1506"/>
        </w:numPr>
        <w:pStyle w:val="Compact"/>
      </w:pPr>
      <w:r>
        <w:t xml:space="preserve">Contenu et date exacte de la grille tarifaire de mai 2025 [?].</w:t>
      </w:r>
    </w:p>
    <w:p>
      <w:pPr>
        <w:numPr>
          <w:ilvl w:val="0"/>
          <w:numId w:val="1506"/>
        </w:numPr>
        <w:pStyle w:val="Compact"/>
      </w:pPr>
      <w:r>
        <w:t xml:space="preserve">Dettes, résultat net et créances de la CEET [?].</w:t>
      </w:r>
    </w:p>
    <w:p>
      <w:pPr>
        <w:numPr>
          <w:ilvl w:val="0"/>
          <w:numId w:val="1506"/>
        </w:numPr>
        <w:pStyle w:val="Compact"/>
      </w:pPr>
      <w:r>
        <w:t xml:space="preserve">Pertes ATC&amp;C (seules les pertes de distribution, 16,04 %, sont fournies) [?].</w:t>
      </w:r>
    </w:p>
    <w:p>
      <w:pPr>
        <w:numPr>
          <w:ilvl w:val="0"/>
          <w:numId w:val="1506"/>
        </w:numPr>
        <w:pStyle w:val="Compact"/>
      </w:pPr>
      <w:r>
        <w:t xml:space="preserve">Montants déjà mobilisés [?].</w:t>
      </w:r>
    </w:p>
    <w:p>
      <w:pPr>
        <w:numPr>
          <w:ilvl w:val="0"/>
          <w:numId w:val="1506"/>
        </w:numPr>
        <w:pStyle w:val="Compact"/>
      </w:pPr>
      <w:r>
        <w:t xml:space="preserve">Accès urbain [?].</w:t>
      </w:r>
    </w:p>
    <w:p>
      <w:pPr>
        <w:numPr>
          <w:ilvl w:val="0"/>
          <w:numId w:val="1506"/>
        </w:numPr>
        <w:pStyle w:val="Compact"/>
      </w:pPr>
      <w:r>
        <w:t xml:space="preserve">Fiabilité du rendement de 84,99 % (copie probable) [?].</w:t>
      </w:r>
    </w:p>
    <w:bookmarkEnd w:id="512"/>
    <w:bookmarkStart w:id="513" w:name="sources-32"/>
    <w:p>
      <w:pPr>
        <w:pStyle w:val="Heading3"/>
      </w:pPr>
      <w:r>
        <w:t xml:space="preserve">Sources</w:t>
      </w:r>
    </w:p>
    <w:p>
      <w:pPr>
        <w:pStyle w:val="FirstParagraph"/>
      </w:pPr>
      <w:r>
        <w:t xml:space="preserve">[1] République Togolaise, « Pacte National Énergie pour la République Togolaise », septembre 2025, 49 p. (FR). https://www.worldbank.org/content/dam/theworldbankgroupasset/document/2026/m300-energy-compacts/Togo-National-Energy-Compact-Mission-300.pdf</w:t>
      </w:r>
      <w:r>
        <w:t xml:space="preserve"> </w:t>
      </w:r>
      <w:r>
        <w:t xml:space="preserve">[2] Banque mondiale, page « National Energy Compacts », https://www.worldbank.org/ext/en/energizingafrica/national-energy-compacts, consultée le 18/10/2026.</w:t>
      </w:r>
    </w:p>
    <w:p>
      <w:r>
        <w:br w:type="page"/>
      </w:r>
    </w:p>
    <w:bookmarkEnd w:id="513"/>
    <w:bookmarkEnd w:id="514"/>
    <w:bookmarkStart w:id="525" w:name="Xcc33121252b29ad82822f47aa492dd623fa03be"/>
    <w:p>
      <w:pPr>
        <w:pStyle w:val="Heading2"/>
      </w:pPr>
      <w:r>
        <w:t xml:space="preserve">Fiche pacte national de l’énergie — Tanzanie</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515" w:name="métadonnées-32"/>
    <w:p>
      <w:pPr>
        <w:pStyle w:val="Heading3"/>
      </w:pPr>
      <w:r>
        <w:t xml:space="preserve">0. Métadonnées</w:t>
      </w:r>
    </w:p>
    <w:p>
      <w:pPr>
        <w:numPr>
          <w:ilvl w:val="0"/>
          <w:numId w:val="1507"/>
        </w:numPr>
        <w:pStyle w:val="Compact"/>
      </w:pPr>
      <w:r>
        <w:rPr>
          <w:bCs/>
          <w:b/>
        </w:rPr>
        <w:t xml:space="preserve">Cohorte / date de présentation</w:t>
      </w:r>
      <w:r>
        <w:t xml:space="preserve"> </w:t>
      </w:r>
      <w:r>
        <w:t xml:space="preserve">: 1re cohorte, « January 2025 » selon la page Banque mondiale des pactes [3] [V]. Le nom de fichier porte la mention « M300-AES-Compact » et le PDF a été créé le 27 janvier 2025 (métadonnées) — cohérent avec le Sommet africain de l’énergie de Dar es Salaam, janvier 2025 [E].</w:t>
      </w:r>
    </w:p>
    <w:p>
      <w:pPr>
        <w:numPr>
          <w:ilvl w:val="0"/>
          <w:numId w:val="1507"/>
        </w:numPr>
        <w:pStyle w:val="Compact"/>
      </w:pPr>
      <w:r>
        <w:rPr>
          <w:bCs/>
          <w:b/>
        </w:rPr>
        <w:t xml:space="preserve">Document consulté</w:t>
      </w:r>
      <w:r>
        <w:t xml:space="preserve"> </w:t>
      </w:r>
      <w:r>
        <w:t xml:space="preserve">: « National Energy Compact for United Republic of Tanzania », 50 p., anglais, non daté dans le corps du texte [1] [V]. Complété par le « Mission 300 Compact Progress Report — Second cycle of data collection 2025 — Tanzania », mars 2026, 6 p. [2] [V].</w:t>
      </w:r>
    </w:p>
    <w:p>
      <w:pPr>
        <w:numPr>
          <w:ilvl w:val="0"/>
          <w:numId w:val="1507"/>
        </w:numPr>
        <w:pStyle w:val="Compact"/>
      </w:pPr>
      <w:r>
        <w:rPr>
          <w:bCs/>
          <w:b/>
        </w:rPr>
        <w:t xml:space="preserve">Accès au texte intégral</w:t>
      </w:r>
      <w:r>
        <w:t xml:space="preserve"> </w:t>
      </w:r>
      <w:r>
        <w:t xml:space="preserve">:</w:t>
      </w:r>
      <w:r>
        <w:t xml:space="preserve"> </w:t>
      </w:r>
      <w:r>
        <w:rPr>
          <w:bCs/>
          <w:b/>
        </w:rPr>
        <w:t xml:space="preserve">oui</w:t>
      </w:r>
      <w:r>
        <w:t xml:space="preserve"> </w:t>
      </w:r>
      <w:r>
        <w:t xml:space="preserve">— https://www.worldbank.org/content/dam/theworldbankgroupasset/document/2026/m300-energy-compacts/Tanzania-M300-AES-Compact.pdf</w:t>
      </w:r>
    </w:p>
    <w:p>
      <w:pPr>
        <w:numPr>
          <w:ilvl w:val="0"/>
          <w:numId w:val="1507"/>
        </w:numPr>
        <w:pStyle w:val="Compact"/>
      </w:pPr>
      <w:r>
        <w:rPr>
          <w:bCs/>
          <w:b/>
        </w:rPr>
        <w:t xml:space="preserve">Opérateur(s)</w:t>
      </w:r>
      <w:r>
        <w:t xml:space="preserve"> </w:t>
      </w:r>
      <w:r>
        <w:t xml:space="preserve">: TANESCO (Tanzania Electric Supply Company Ltd), publique, verticalement intégrée (production, transport, distribution, vente en gros à Zanzibar, échanges transfrontaliers), ≈ 5,2 M clients (déc. 2024) [1] [V] ; ZECO (Zanzibar Electricity Corporation), verticalement intégrée, 338 578 clients [1] [V]. Agence d’électrification rurale : REA [1] [V].</w:t>
      </w:r>
    </w:p>
    <w:p>
      <w:pPr>
        <w:numPr>
          <w:ilvl w:val="0"/>
          <w:numId w:val="1507"/>
        </w:numPr>
        <w:pStyle w:val="Compact"/>
      </w:pPr>
      <w:r>
        <w:rPr>
          <w:bCs/>
          <w:b/>
        </w:rPr>
        <w:t xml:space="preserve">Régulateur</w:t>
      </w:r>
      <w:r>
        <w:t xml:space="preserve"> </w:t>
      </w:r>
      <w:r>
        <w:t xml:space="preserve">: EWURA (continent) ; ZURA (Zanzibar) [1] [V]. Tutelle : Ministry of Energy (continent), MoWEM (Zanzibar) [1] [V].</w:t>
      </w:r>
    </w:p>
    <w:bookmarkEnd w:id="515"/>
    <w:bookmarkStart w:id="516" w:name="situation-de-départ-selon-le-pacte-32"/>
    <w:p>
      <w:pPr>
        <w:pStyle w:val="Heading3"/>
      </w:pPr>
      <w:r>
        <w:t xml:space="preserve">1. Situation de départ (selon le pacte)</w:t>
      </w:r>
    </w:p>
    <w:p>
      <w:pPr>
        <w:numPr>
          <w:ilvl w:val="0"/>
          <w:numId w:val="1508"/>
        </w:numPr>
        <w:pStyle w:val="Compact"/>
      </w:pPr>
      <w:r>
        <w:rPr>
          <w:bCs/>
          <w:b/>
        </w:rPr>
        <w:t xml:space="preserve">Accès / connectivité</w:t>
      </w:r>
      <w:r>
        <w:t xml:space="preserve"> </w:t>
      </w:r>
      <w:r>
        <w:t xml:space="preserve">: le pacte distingue « accès » (population à &lt; 600 m d’un transformateur) et « connectivité » (population dans des ménages raccordés) [1] [V].</w:t>
      </w:r>
    </w:p>
    <w:p>
      <w:pPr>
        <w:numPr>
          <w:ilvl w:val="1"/>
          <w:numId w:val="1509"/>
        </w:numPr>
        <w:pStyle w:val="Compact"/>
      </w:pPr>
      <w:r>
        <w:t xml:space="preserve">Accès (continent) : 14 % (2011) → 78,4 % (2020, enquête NBS 2019/20) ; urbain 99,6 %, rural 69,6 % [1] [V].</w:t>
      </w:r>
    </w:p>
    <w:p>
      <w:pPr>
        <w:numPr>
          <w:ilvl w:val="1"/>
          <w:numId w:val="1509"/>
        </w:numPr>
        <w:pStyle w:val="Compact"/>
      </w:pPr>
      <w:r>
        <w:t xml:space="preserve">Connectivité nationale : 46 % (2022, Tracking SDG7) ; urbain ≈ 79 %, rural ≈ 36 % [1] [V]. Ailleurs le texte dit « moins de 50 % » de la population connectée sur le continent, ≈ 40 % à Zanzibar [1] [V].</w:t>
      </w:r>
    </w:p>
    <w:p>
      <w:pPr>
        <w:numPr>
          <w:ilvl w:val="1"/>
          <w:numId w:val="1509"/>
        </w:numPr>
        <w:pStyle w:val="Compact"/>
      </w:pPr>
      <w:r>
        <w:t xml:space="preserve">Zanzibar : accès 38,3 % (2011) → 88 % (2020) → 90 % (2023, ZECO) ; connectivité 57 % (2024 selon p. 15 ; « 2020 » selon p. 19 — incohérence interne) [1] [V].</w:t>
      </w:r>
    </w:p>
    <w:p>
      <w:pPr>
        <w:numPr>
          <w:ilvl w:val="1"/>
          <w:numId w:val="1509"/>
        </w:numPr>
        <w:pStyle w:val="Compact"/>
      </w:pPr>
      <w:r>
        <w:t xml:space="preserve">Rythme : ≈ 500 000 raccordements/an (continent), 562 940 nouveaux raccordements en 2024 ; ≈ 63 000/an à Zanzibar [1] [V].</w:t>
      </w:r>
    </w:p>
    <w:p>
      <w:pPr>
        <w:numPr>
          <w:ilvl w:val="0"/>
          <w:numId w:val="1508"/>
        </w:numPr>
        <w:pStyle w:val="Compact"/>
      </w:pPr>
      <w:r>
        <w:rPr>
          <w:bCs/>
          <w:b/>
        </w:rPr>
        <w:t xml:space="preserve">Population sans accès</w:t>
      </w:r>
      <w:r>
        <w:t xml:space="preserve"> </w:t>
      </w:r>
      <w:r>
        <w:t xml:space="preserve">: ≈ un quart de la population du continent sans accès aux services (définition « accès ») [1] [V] ; nombre absolu [?] non donné. Population totale &gt; 61,7 M dont 1,9 M à Zanzibar [1] [V].</w:t>
      </w:r>
    </w:p>
    <w:p>
      <w:pPr>
        <w:numPr>
          <w:ilvl w:val="0"/>
          <w:numId w:val="1508"/>
        </w:numPr>
        <w:pStyle w:val="Compact"/>
      </w:pPr>
      <w:r>
        <w:rPr>
          <w:bCs/>
          <w:b/>
        </w:rPr>
        <w:t xml:space="preserve">Capacité installée (déc. 2024)</w:t>
      </w:r>
      <w:r>
        <w:t xml:space="preserve"> </w:t>
      </w:r>
      <w:r>
        <w:t xml:space="preserve">: 3 404,20 MW — hydro 2 011,27 MW (59,1 %), gaz naturel 1 198,82 MW (35,2 %), fioul/diesel 101,12 MW (3 %), biomasse/cogénération 87,99 MW (2,6 %), solaire PV 5 MW (0,1 %) [1] [V]. Disponibilité : 56,05 % [1] [V]. Pointe : 1 888,72 MW (26 nov. 2024) [1] [V]. Production 2024 : 10 804 110 MWh ; importations 1 264 290 MWh [1] [V]. Part ENR dans la capacité : 61,8 % [1] [V].</w:t>
      </w:r>
    </w:p>
    <w:p>
      <w:pPr>
        <w:numPr>
          <w:ilvl w:val="0"/>
          <w:numId w:val="1508"/>
        </w:numPr>
        <w:pStyle w:val="Compact"/>
      </w:pPr>
      <w:r>
        <w:rPr>
          <w:bCs/>
          <w:b/>
        </w:rPr>
        <w:t xml:space="preserve">Cuisson propre</w:t>
      </w:r>
      <w:r>
        <w:t xml:space="preserve"> </w:t>
      </w:r>
      <w:r>
        <w:t xml:space="preserve">: 6,9 % (2021) [1] [V] ; &gt; 89 % des ménages du continent et &gt; 84 % à Zanzibar utilisent des combustibles traditionnels [1] [V].</w:t>
      </w:r>
    </w:p>
    <w:bookmarkEnd w:id="516"/>
    <w:bookmarkStart w:id="517" w:name="cibles-2030-31"/>
    <w:p>
      <w:pPr>
        <w:pStyle w:val="Heading3"/>
      </w:pPr>
      <w:r>
        <w:t xml:space="preserve">2. Cibles 2030</w:t>
      </w:r>
    </w:p>
    <w:p>
      <w:pPr>
        <w:numPr>
          <w:ilvl w:val="0"/>
          <w:numId w:val="1510"/>
        </w:numPr>
        <w:pStyle w:val="Compact"/>
      </w:pPr>
      <w:r>
        <w:rPr>
          <w:bCs/>
          <w:b/>
        </w:rPr>
        <w:t xml:space="preserve">Électricité</w:t>
      </w:r>
      <w:r>
        <w:t xml:space="preserve"> </w:t>
      </w:r>
      <w:r>
        <w:t xml:space="preserve">: + 8,3 M ménages connectés d’ici 2030 ; connectivité de 46 % (2022) à 75 % (2030) ; nécessite en moyenne 1,6 M raccordements/an de 2025 à 2030 [1] [V]. Le pacte « s’attend » à un accès (définition 600 m) de 100 % en 2030 [1] [V]. Ventilation réseau / hors réseau : non chiffrée en raccordements [?] ; le REMP 2022 cité vise ≈ 70 % de la population par le réseau et ≈ 30 % par le hors-réseau (mini-réseaux, solaire autonome) [1] [V].</w:t>
      </w:r>
    </w:p>
    <w:p>
      <w:pPr>
        <w:numPr>
          <w:ilvl w:val="0"/>
          <w:numId w:val="1510"/>
        </w:numPr>
        <w:pStyle w:val="Compact"/>
      </w:pPr>
      <w:r>
        <w:rPr>
          <w:bCs/>
          <w:b/>
        </w:rPr>
        <w:t xml:space="preserve">Renouvelables</w:t>
      </w:r>
      <w:r>
        <w:t xml:space="preserve"> </w:t>
      </w:r>
      <w:r>
        <w:t xml:space="preserve">: 61,8 % → 75 % du mix (capacité) en 2030 ; ajouts ciblés 463 MW solaire, 500 MW éolien, 130 MW géothermie, 880 MW grande hydro (≈ 1 973 MW, ≈ 4,12 Md USD) [1] [V]. Le préambule parle de « plus de 1 800 MW » et la section 3 de 2 463 MW (incluant gaz) d’ici 2030 — chiffres non alignés [1] [V].</w:t>
      </w:r>
    </w:p>
    <w:p>
      <w:pPr>
        <w:numPr>
          <w:ilvl w:val="0"/>
          <w:numId w:val="1510"/>
        </w:numPr>
        <w:pStyle w:val="Compact"/>
      </w:pPr>
      <w:r>
        <w:rPr>
          <w:bCs/>
          <w:b/>
        </w:rPr>
        <w:t xml:space="preserve">Cuisson propre</w:t>
      </w:r>
      <w:r>
        <w:t xml:space="preserve"> </w:t>
      </w:r>
      <w:r>
        <w:t xml:space="preserve">: 75 % en 2030 (déclaration) et 80 % en 2034 (Stratégie nationale de cuisson propre 2024-2034) ; rythme visé 21 %/an vs 11,9 %/an historique [1] [V].</w:t>
      </w:r>
    </w:p>
    <w:p>
      <w:pPr>
        <w:numPr>
          <w:ilvl w:val="0"/>
          <w:numId w:val="1510"/>
        </w:numPr>
        <w:pStyle w:val="Compact"/>
      </w:pPr>
      <w:r>
        <w:rPr>
          <w:bCs/>
          <w:b/>
        </w:rPr>
        <w:t xml:space="preserve">Capitaux privés mobilisés</w:t>
      </w:r>
      <w:r>
        <w:t xml:space="preserve"> </w:t>
      </w:r>
      <w:r>
        <w:t xml:space="preserve">: 0,5 Md USD (référence) → 4,039 Md USD en 2030 [1] [V].</w:t>
      </w:r>
    </w:p>
    <w:p>
      <w:pPr>
        <w:numPr>
          <w:ilvl w:val="0"/>
          <w:numId w:val="1510"/>
        </w:numPr>
        <w:pStyle w:val="Compact"/>
      </w:pPr>
      <w:r>
        <w:rPr>
          <w:bCs/>
          <w:b/>
        </w:rPr>
        <w:t xml:space="preserve">Autres</w:t>
      </w:r>
      <w:r>
        <w:t xml:space="preserve"> </w:t>
      </w:r>
      <w:r>
        <w:t xml:space="preserve">: interconnexions ≈ 1,5 GW avec Kenya, Zambie, Burundi, Rwanda d’ici 2028 [1] [V] ; pertes T&amp;D TANESCO 14 % avec réduction de 0,05 %/an (Annexe I) [1] [V].</w:t>
      </w:r>
    </w:p>
    <w:bookmarkEnd w:id="517"/>
    <w:bookmarkStart w:id="519" w:name="réformes-promises-cœur-de-lanalyse-25"/>
    <w:p>
      <w:pPr>
        <w:pStyle w:val="Heading3"/>
      </w:pPr>
      <w:r>
        <w:t xml:space="preserve">3. Réformes promises (cœur de l’analyse)</w:t>
      </w:r>
    </w:p>
    <w:bookmarkStart w:id="518" w:name="tarifs-et-subventions-32"/>
    <w:p>
      <w:pPr>
        <w:pStyle w:val="Heading4"/>
      </w:pPr>
      <w:r>
        <w:t xml:space="preserve">3.1 Tarifs et subventions</w:t>
      </w:r>
    </w:p>
    <w:p>
      <w:pPr>
        <w:numPr>
          <w:ilvl w:val="0"/>
          <w:numId w:val="1511"/>
        </w:numPr>
        <w:pStyle w:val="Compact"/>
      </w:pPr>
      <w:r>
        <w:rPr>
          <w:bCs/>
          <w:b/>
        </w:rPr>
        <w:t xml:space="preserve">Étude du coût de service</w:t>
      </w:r>
      <w:r>
        <w:t xml:space="preserve"> </w:t>
      </w:r>
      <w:r>
        <w:t xml:space="preserve">pour déterminer le taux de recouvrement des coûts et méthodologie d’ajustement tarifaire « avec ajustements périodiques — tout en protégeant les pauvres et vulnérables », échéance</w:t>
      </w:r>
      <w:r>
        <w:t xml:space="preserve"> </w:t>
      </w:r>
      <w:r>
        <w:rPr>
          <w:bCs/>
          <w:b/>
        </w:rPr>
        <w:t xml:space="preserve">juin 2026</w:t>
      </w:r>
      <w:r>
        <w:t xml:space="preserve"> </w:t>
      </w:r>
      <w:r>
        <w:t xml:space="preserve">[1] [V] ; repoussée au</w:t>
      </w:r>
      <w:r>
        <w:t xml:space="preserve"> </w:t>
      </w:r>
      <w:r>
        <w:rPr>
          <w:bCs/>
          <w:b/>
        </w:rPr>
        <w:t xml:space="preserve">30 août 2026</w:t>
      </w:r>
      <w:r>
        <w:t xml:space="preserve">, statut « en cours – retards mineurs » au 31/12/2025 [2] [V].</w:t>
      </w:r>
    </w:p>
    <w:p>
      <w:pPr>
        <w:numPr>
          <w:ilvl w:val="0"/>
          <w:numId w:val="1511"/>
        </w:numPr>
        <w:pStyle w:val="Compact"/>
      </w:pPr>
      <w:r>
        <w:rPr>
          <w:bCs/>
          <w:b/>
        </w:rPr>
        <w:t xml:space="preserve">Ajustements tarifaires annuels</w:t>
      </w:r>
      <w:r>
        <w:t xml:space="preserve"> </w:t>
      </w:r>
      <w:r>
        <w:t xml:space="preserve">à mettre en œuvre dès 2027, publiés chaque année 2027, 2028, 2029, 2030 [1] [V].</w:t>
      </w:r>
    </w:p>
    <w:p>
      <w:pPr>
        <w:numPr>
          <w:ilvl w:val="0"/>
          <w:numId w:val="1511"/>
        </w:numPr>
        <w:pStyle w:val="Compact"/>
      </w:pPr>
      <w:r>
        <w:t xml:space="preserve">Appliquer le</w:t>
      </w:r>
      <w:r>
        <w:t xml:space="preserve"> </w:t>
      </w:r>
      <w:r>
        <w:rPr>
          <w:bCs/>
          <w:b/>
        </w:rPr>
        <w:t xml:space="preserve">régime tarifaire pluriannuel incitatif</w:t>
      </w:r>
      <w:r>
        <w:t xml:space="preserve"> </w:t>
      </w:r>
      <w:r>
        <w:t xml:space="preserve">(Electricity and Natural Gas Tariff Application and Rate Setting Rules, EWURA 2021) d’ici juin 2026 ; régime similaire à Zanzibar d’ici juin 2026 [1] [V].</w:t>
      </w:r>
    </w:p>
    <w:p>
      <w:pPr>
        <w:numPr>
          <w:ilvl w:val="0"/>
          <w:numId w:val="1511"/>
        </w:numPr>
        <w:pStyle w:val="Compact"/>
      </w:pPr>
      <w:r>
        <w:t xml:space="preserve">Revoir les</w:t>
      </w:r>
      <w:r>
        <w:t xml:space="preserve"> </w:t>
      </w:r>
      <w:r>
        <w:rPr>
          <w:bCs/>
          <w:b/>
        </w:rPr>
        <w:t xml:space="preserve">structures tarifaires de détail</w:t>
      </w:r>
      <w:r>
        <w:t xml:space="preserve"> </w:t>
      </w:r>
      <w:r>
        <w:t xml:space="preserve">(EWURA et ZURA) d’ici juin 2026 [1] [V] — « en cours – retards mineurs » [2] [V].</w:t>
      </w:r>
    </w:p>
    <w:p>
      <w:pPr>
        <w:numPr>
          <w:ilvl w:val="0"/>
          <w:numId w:val="1511"/>
        </w:numPr>
        <w:pStyle w:val="Compact"/>
      </w:pPr>
      <w:r>
        <w:t xml:space="preserve">Niveau actuel : TANESCO ne recouvre que</w:t>
      </w:r>
      <w:r>
        <w:t xml:space="preserve"> </w:t>
      </w:r>
      <w:r>
        <w:rPr>
          <w:bCs/>
          <w:b/>
        </w:rPr>
        <w:t xml:space="preserve">80 % du coût de fourniture</w:t>
      </w:r>
      <w:r>
        <w:t xml:space="preserve"> </w:t>
      </w:r>
      <w:r>
        <w:t xml:space="preserve">(Plan stratégique TANESCO 2024/25-2034/35 cité) [1] [V] ; ZECO : recouvrement tarifaire</w:t>
      </w:r>
      <w:r>
        <w:t xml:space="preserve"> </w:t>
      </w:r>
      <w:r>
        <w:rPr>
          <w:bCs/>
          <w:b/>
        </w:rPr>
        <w:t xml:space="preserve">81 %</w:t>
      </w:r>
      <w:r>
        <w:t xml:space="preserve"> </w:t>
      </w:r>
      <w:r>
        <w:t xml:space="preserve">[1] [V]. Subventions totales :</w:t>
      </w:r>
      <w:r>
        <w:t xml:space="preserve"> </w:t>
      </w:r>
      <w:r>
        <w:rPr>
          <w:bCs/>
          <w:b/>
        </w:rPr>
        <w:t xml:space="preserve">56,8 M USD/an</w:t>
      </w:r>
      <w:r>
        <w:t xml:space="preserve"> </w:t>
      </w:r>
      <w:r>
        <w:t xml:space="preserve">[1] [V]. Trajectoire vers la pleine couverture des coûts : « à déterminer après l’étude de coût de service de 2026 » [1] [V].</w:t>
      </w:r>
    </w:p>
    <w:p>
      <w:pPr>
        <w:numPr>
          <w:ilvl w:val="0"/>
          <w:numId w:val="1511"/>
        </w:numPr>
        <w:pStyle w:val="Compact"/>
      </w:pPr>
      <w:r>
        <w:rPr>
          <w:bCs/>
          <w:b/>
        </w:rPr>
        <w:t xml:space="preserve">Politique de subvention au raccordement</w:t>
      </w:r>
      <w:r>
        <w:t xml:space="preserve"> </w:t>
      </w:r>
      <w:r>
        <w:t xml:space="preserve">des ménages d’ici juin 2026 [1] [V].</w:t>
      </w:r>
    </w:p>
    <w:p>
      <w:pPr>
        <w:numPr>
          <w:ilvl w:val="0"/>
          <w:numId w:val="1511"/>
        </w:numPr>
        <w:pStyle w:val="Compact"/>
      </w:pPr>
      <w:r>
        <w:rPr>
          <w:bCs/>
          <w:b/>
        </w:rPr>
        <w:t xml:space="preserve">Tarifs SPP (petits producteurs) reflétant les coûts</w:t>
      </w:r>
      <w:r>
        <w:t xml:space="preserve"> </w:t>
      </w:r>
      <w:r>
        <w:t xml:space="preserve">par révision du cadre SPP d’ici juin 2026 [1] [V].</w:t>
      </w:r>
    </w:p>
    <w:p>
      <w:pPr>
        <w:numPr>
          <w:ilvl w:val="0"/>
          <w:numId w:val="1511"/>
        </w:numPr>
        <w:pStyle w:val="Compact"/>
      </w:pPr>
      <w:r>
        <w:t xml:space="preserve">Coût moyen : 0,089 USD/kWh (production) ; 0,085 USD/kWh (importations ; même chiffre donné comme « coût » dans le pilier 5) [1] [V]. Tarif moyen de détail : [?] non donné.</w:t>
      </w:r>
      <w:r>
        <w:t xml:space="preserve"> </w:t>
      </w:r>
      <w:r>
        <w:t xml:space="preserve">#### 3.2 Opérateur</w:t>
      </w:r>
    </w:p>
    <w:p>
      <w:pPr>
        <w:numPr>
          <w:ilvl w:val="0"/>
          <w:numId w:val="1511"/>
        </w:numPr>
        <w:pStyle w:val="Compact"/>
      </w:pPr>
      <w:r>
        <w:rPr>
          <w:bCs/>
          <w:b/>
        </w:rPr>
        <w:t xml:space="preserve">Plans d’amélioration de la performance</w:t>
      </w:r>
      <w:r>
        <w:t xml:space="preserve"> </w:t>
      </w:r>
      <w:r>
        <w:t xml:space="preserve">de TANESCO et ZECO approuvés par le régulateur d’ici juin 2026 (qualité de service, efficacité, transparence, redevabilité) ; EWURA publie chaque année à partir de juin 2027 l’avancement et la performance vs KPI [1] [V].</w:t>
      </w:r>
    </w:p>
    <w:p>
      <w:pPr>
        <w:numPr>
          <w:ilvl w:val="0"/>
          <w:numId w:val="1511"/>
        </w:numPr>
        <w:pStyle w:val="Compact"/>
      </w:pPr>
      <w:r>
        <w:rPr>
          <w:bCs/>
          <w:b/>
        </w:rPr>
        <w:t xml:space="preserve">États financiers audités</w:t>
      </w:r>
      <w:r>
        <w:t xml:space="preserve"> </w:t>
      </w:r>
      <w:r>
        <w:t xml:space="preserve">: TANESCO publiés (FY juin 2023, opinion non qualifiée, mars 2024) ; ZECO non publiés pour FY 2023 ; engagement de publication dans les 9 mois suivant la clôture [1] [V].</w:t>
      </w:r>
    </w:p>
    <w:p>
      <w:pPr>
        <w:numPr>
          <w:ilvl w:val="0"/>
          <w:numId w:val="1511"/>
        </w:numPr>
        <w:pStyle w:val="Compact"/>
      </w:pPr>
      <w:r>
        <w:t xml:space="preserve">Situation : pertes T&amp;D 14,2 % (« acceptables » selon le pacte) ; taux de recouvrement 96 % (2021/22) ; compteurs prépayés depuis 2009 ; 5 276 679 clients dont 5 271 125 prépayés (déc. 2024) ; conversion de &gt; 2 800 Md TZS de dette en fonds propres (juin 2023), ratio fonds propres/actifs 0,14 → 0,28 ; résultat net 20,3 M USD [1] [V]. ZECO : recouvrement 98 % clients privés,</w:t>
      </w:r>
      <w:r>
        <w:t xml:space="preserve"> </w:t>
      </w:r>
      <w:r>
        <w:rPr>
          <w:bCs/>
          <w:b/>
        </w:rPr>
        <w:t xml:space="preserve">29 % administrations</w:t>
      </w:r>
      <w:r>
        <w:t xml:space="preserve"> </w:t>
      </w:r>
      <w:r>
        <w:t xml:space="preserve">(FY 2022) [1] [V].</w:t>
      </w:r>
    </w:p>
    <w:p>
      <w:pPr>
        <w:numPr>
          <w:ilvl w:val="0"/>
          <w:numId w:val="1511"/>
        </w:numPr>
        <w:pStyle w:val="Compact"/>
      </w:pPr>
      <w:r>
        <w:t xml:space="preserve">Indices SAIFI/SAIDI/CAIDI supérieurs aux seuils réglementaires (valeurs [?] non données) [1] [V].</w:t>
      </w:r>
    </w:p>
    <w:p>
      <w:pPr>
        <w:numPr>
          <w:ilvl w:val="0"/>
          <w:numId w:val="1511"/>
        </w:numPr>
        <w:pStyle w:val="Compact"/>
      </w:pPr>
      <w:r>
        <w:t xml:space="preserve">Unité de négoce (trading unit) au sein de TANESCO d’ici déc. 2025 [1] [V].</w:t>
      </w:r>
      <w:r>
        <w:t xml:space="preserve"> </w:t>
      </w:r>
      <w:r>
        <w:t xml:space="preserve">#### 3.3 Régulation et gouvernance</w:t>
      </w:r>
    </w:p>
    <w:p>
      <w:pPr>
        <w:numPr>
          <w:ilvl w:val="0"/>
          <w:numId w:val="1511"/>
        </w:numPr>
        <w:pStyle w:val="Compact"/>
      </w:pPr>
      <w:r>
        <w:t xml:space="preserve">Plan directeur de moindre coût (PSMP/IRP) adopté en 2025, mis à jour tous les 4 ans avec consultation publique [1] [V] (échéance repoussée au 31/12/2028, « en cours » [2] [V]).</w:t>
      </w:r>
    </w:p>
    <w:p>
      <w:pPr>
        <w:numPr>
          <w:ilvl w:val="0"/>
          <w:numId w:val="1511"/>
        </w:numPr>
        <w:pStyle w:val="Compact"/>
      </w:pPr>
      <w:r>
        <w:t xml:space="preserve">Revue de la Politique énergétique nationale 2015 d’ici juin 2027 ; Zanzibar Energy Act d’ici 2026 [1] [V].</w:t>
      </w:r>
    </w:p>
    <w:p>
      <w:pPr>
        <w:numPr>
          <w:ilvl w:val="0"/>
          <w:numId w:val="1511"/>
        </w:numPr>
        <w:pStyle w:val="Compact"/>
      </w:pPr>
      <w:r>
        <w:t xml:space="preserve">Suivi-évaluation intégrant le cadre multi-niveaux (MTF) d’ici juin 2026 [1] [V].</w:t>
      </w:r>
    </w:p>
    <w:p>
      <w:pPr>
        <w:numPr>
          <w:ilvl w:val="0"/>
          <w:numId w:val="1511"/>
        </w:numPr>
        <w:pStyle w:val="Compact"/>
      </w:pPr>
      <w:r>
        <w:t xml:space="preserve">Unité de suivi : Compact Delivery and Monitoring Unit (CDMU) [2] [V].</w:t>
      </w:r>
      <w:r>
        <w:t xml:space="preserve"> </w:t>
      </w:r>
      <w:r>
        <w:t xml:space="preserve">#### 3.4 Participation du privé</w:t>
      </w:r>
    </w:p>
    <w:p>
      <w:pPr>
        <w:numPr>
          <w:ilvl w:val="0"/>
          <w:numId w:val="1511"/>
        </w:numPr>
        <w:pStyle w:val="Compact"/>
      </w:pPr>
      <w:r>
        <w:t xml:space="preserve">Cadre de passation concurrentielle (incluant enchères inversées) d’ici juin 2027 ; programme REI4P d’ici juin 2026 (« retards mineurs ») [1][2] [V].</w:t>
      </w:r>
    </w:p>
    <w:p>
      <w:pPr>
        <w:numPr>
          <w:ilvl w:val="0"/>
          <w:numId w:val="1511"/>
        </w:numPr>
        <w:pStyle w:val="Compact"/>
      </w:pPr>
      <w:r>
        <w:rPr>
          <w:bCs/>
          <w:b/>
        </w:rPr>
        <w:t xml:space="preserve">Projet pilote de transport indépendant (IPT)</w:t>
      </w:r>
      <w:r>
        <w:t xml:space="preserve"> </w:t>
      </w:r>
      <w:r>
        <w:t xml:space="preserve">d’ici 2027, cadre adopté d’ici 2028 [1] [V].</w:t>
      </w:r>
    </w:p>
    <w:p>
      <w:pPr>
        <w:numPr>
          <w:ilvl w:val="0"/>
          <w:numId w:val="1511"/>
        </w:numPr>
        <w:pStyle w:val="Compact"/>
      </w:pPr>
      <w:r>
        <w:t xml:space="preserve">Cadre PPP renforcé (déc. 2025), conseillers en transaction (2027) ; mécanismes de garantie (juin 2027) ; révision des règles de net-metering 2018 (juin 2027) [1] [V].</w:t>
      </w:r>
    </w:p>
    <w:p>
      <w:pPr>
        <w:numPr>
          <w:ilvl w:val="0"/>
          <w:numId w:val="1511"/>
        </w:numPr>
        <w:pStyle w:val="Compact"/>
      </w:pPr>
      <w:r>
        <w:t xml:space="preserve">Mini-réseaux : 68 mini-réseaux privés enregistrés, 22 885 clients [1] [V]. Capacité privée : ≈ 220 MW (gaz) + petite hydro 12,8 MW, biomasse 87,99 MW, solaire 5 MW [1] [V].</w:t>
      </w:r>
    </w:p>
    <w:p>
      <w:pPr>
        <w:numPr>
          <w:ilvl w:val="0"/>
          <w:numId w:val="1511"/>
        </w:numPr>
        <w:pStyle w:val="Compact"/>
      </w:pPr>
      <w:r>
        <w:t xml:space="preserve">Avancement : 143 M USD de capitaux privés mobilisés fin 2025 vs 4,039 Md USD visés ; modèles de PPA/IA révisés [2] [V].</w:t>
      </w:r>
      <w:r>
        <w:t xml:space="preserve"> </w:t>
      </w:r>
      <w:r>
        <w:t xml:space="preserve">#### 3.5 Intégration régionale</w:t>
      </w:r>
    </w:p>
    <w:p>
      <w:pPr>
        <w:numPr>
          <w:ilvl w:val="0"/>
          <w:numId w:val="1511"/>
        </w:numPr>
        <w:pStyle w:val="Compact"/>
      </w:pPr>
      <w:r>
        <w:t xml:space="preserve">Interconnexions en service : Tanzanie–Burundi–Rwanda (Rusumo, mars 2023, 220 kV) ; Kenya–Tanzanie (nov. 2024, membre opérationnel EAPP) ; Tanzanie–Zambie attendue fin 2028 (adhésion opérationnelle SAPP) ; Ouganda–Tanzanie en préparation (605 km, 400 kV) [1] [V].</w:t>
      </w:r>
    </w:p>
    <w:p>
      <w:pPr>
        <w:numPr>
          <w:ilvl w:val="0"/>
          <w:numId w:val="1511"/>
        </w:numPr>
        <w:pStyle w:val="Compact"/>
      </w:pPr>
      <w:r>
        <w:t xml:space="preserve">Harmonisation réglementaire et tarifs de transport avec EAPP et SAPP d’ici juin 2026 ; devenir zone de contrôle EAPP ; besoins ≈ 80 M USD [1] [V].</w:t>
      </w:r>
      <w:r>
        <w:t xml:space="preserve"> </w:t>
      </w:r>
      <w:r>
        <w:t xml:space="preserve">#### 3.6 Autres</w:t>
      </w:r>
    </w:p>
    <w:p>
      <w:pPr>
        <w:numPr>
          <w:ilvl w:val="0"/>
          <w:numId w:val="1511"/>
        </w:numPr>
        <w:pStyle w:val="Compact"/>
      </w:pPr>
      <w:r>
        <w:t xml:space="preserve">Réduction des taxes/droits sur équipements de cuisson propre d’ici juin 2026 ; Fonds national de cuisson propre (juin 2025) ; normes du TBS pour le hors-réseau [1] [V].</w:t>
      </w:r>
    </w:p>
    <w:p>
      <w:pPr>
        <w:numPr>
          <w:ilvl w:val="0"/>
          <w:numId w:val="1511"/>
        </w:numPr>
        <w:pStyle w:val="Compact"/>
      </w:pPr>
      <w:r>
        <w:t xml:space="preserve">Programmes subventionnés : foyers améliorés subventionnés à 75 %, kits GPL subventionnés à 50 % (Annexe IV) [1] [V].</w:t>
      </w:r>
    </w:p>
    <w:bookmarkEnd w:id="518"/>
    <w:bookmarkEnd w:id="519"/>
    <w:bookmarkStart w:id="520" w:name="financement-32"/>
    <w:p>
      <w:pPr>
        <w:pStyle w:val="Heading3"/>
      </w:pPr>
      <w:r>
        <w:t xml:space="preserve">4. Financement</w:t>
      </w:r>
    </w:p>
    <w:p>
      <w:pPr>
        <w:numPr>
          <w:ilvl w:val="0"/>
          <w:numId w:val="1512"/>
        </w:numPr>
        <w:pStyle w:val="Compact"/>
      </w:pPr>
      <w:r>
        <w:rPr>
          <w:bCs/>
          <w:b/>
        </w:rPr>
        <w:t xml:space="preserve">Besoin total à 2030</w:t>
      </w:r>
      <w:r>
        <w:t xml:space="preserve"> </w:t>
      </w:r>
      <w:r>
        <w:t xml:space="preserve">: 12 889,26 M USD — public 8 850,25 M, privé 4 039,01 M (31,3 %) [1] [V]. Ventilation (total) : production 4 124,8 ; transport 1 167,62 ; distribution 1 100 ; réhabilitation 1 398,25 ; dernier kilomètre 3 521,61 ; hors-réseau 129,48 ; cuisson propre 800 ; renforcement des capacités 647,5 (M USD) [1] [V]. Écart annuel : 1,8 Md USD/an public, 0,8 Md USD/an privé [1] [V].</w:t>
      </w:r>
    </w:p>
    <w:p>
      <w:pPr>
        <w:numPr>
          <w:ilvl w:val="0"/>
          <w:numId w:val="1512"/>
        </w:numPr>
        <w:pStyle w:val="Compact"/>
      </w:pPr>
      <w:r>
        <w:rPr>
          <w:bCs/>
          <w:b/>
        </w:rPr>
        <w:t xml:space="preserve">Partenaires cités (Annexe III)</w:t>
      </w:r>
      <w:r>
        <w:t xml:space="preserve"> </w:t>
      </w:r>
      <w:r>
        <w:t xml:space="preserve">: BM — TREEP (535 M USD crédit), ASCENT Tanzanie (300 M USD), interconnexion Tanzanie–Zambie (465 M USD IDA), Zanzibar (117 M USD IDA), interconnexion Ouganda–Tanzanie (515 M USD IDA) [1] [V]. BAD — câble sous-marin Zanzibar (224 M USD), Kakono (161,47 M USD), Malagarasi (140 M USD), Northwest Grid (123,39 M USD), programme transport/distribution (phase 1 : 145 M USD BAD) [1] [V]. Autres : UE, AFD, Suède, Norvège, JICA, UKAid, BII, UNIDO, USAID/Power Africa [1] [V]. Engagement M300 global nouveau : [?] non chiffré par pays dans le pacte.</w:t>
      </w:r>
    </w:p>
    <w:bookmarkEnd w:id="520"/>
    <w:bookmarkStart w:id="521" w:name="calendrier-et-suivi-32"/>
    <w:p>
      <w:pPr>
        <w:pStyle w:val="Heading3"/>
      </w:pPr>
      <w:r>
        <w:t xml:space="preserve">5. Calendrier et suivi</w:t>
      </w:r>
    </w:p>
    <w:p>
      <w:pPr>
        <w:numPr>
          <w:ilvl w:val="0"/>
          <w:numId w:val="1513"/>
        </w:numPr>
        <w:pStyle w:val="Compact"/>
      </w:pPr>
      <w:r>
        <w:t xml:space="preserve">Jalons datés de 2025 à 2030 (voir §3) [1] [V]. Rapport d’avancement semestriel par la CDMU [2] [V].</w:t>
      </w:r>
    </w:p>
    <w:p>
      <w:pPr>
        <w:numPr>
          <w:ilvl w:val="0"/>
          <w:numId w:val="1513"/>
        </w:numPr>
        <w:pStyle w:val="Compact"/>
      </w:pPr>
      <w:r>
        <w:t xml:space="preserve">Au 31/12/2025 : 53 actions de réforme (10 prioritaires) — 8 achevées, 41 en cours, 4 en retard [2] [V]. 711 320 nouveaux raccordements en 2025 ; cuisson propre 23 % ; ENR 65 % de la production [2] [V]. La Banque mondiale annonce 7,5 M de personnes ayant obtenu l’accès en Tanzanie (juin 2026) [4] [V].</w:t>
      </w:r>
    </w:p>
    <w:bookmarkEnd w:id="521"/>
    <w:bookmarkStart w:id="522" w:name="lecture-critique-25"/>
    <w:p>
      <w:pPr>
        <w:pStyle w:val="Heading3"/>
      </w:pPr>
      <w:r>
        <w:t xml:space="preserve">6. Lecture critique</w:t>
      </w:r>
    </w:p>
    <w:p>
      <w:pPr>
        <w:numPr>
          <w:ilvl w:val="0"/>
          <w:numId w:val="1514"/>
        </w:numPr>
        <w:pStyle w:val="Compact"/>
      </w:pPr>
      <w:r>
        <w:rPr>
          <w:bCs/>
          <w:b/>
        </w:rPr>
        <w:t xml:space="preserve">Réalisme</w:t>
      </w:r>
      <w:r>
        <w:t xml:space="preserve"> </w:t>
      </w:r>
      <w:r>
        <w:t xml:space="preserve">: la cible exige ≈ 1,6 M raccordements/an [1] contre 562 940 en 2024 [1] et 711 320 en 2025 [2] — soit un rythme à plus que doubler [E]. La cible cuisson propre (75 % en 2030) est incohérente avec la stratégie nationale (80 % en 2034) reprise dans le même document [E]. Le saut de 6,9 % à 23 % déclaré en 2025 mérite vérification méthodologique [E].</w:t>
      </w:r>
    </w:p>
    <w:p>
      <w:pPr>
        <w:numPr>
          <w:ilvl w:val="0"/>
          <w:numId w:val="1514"/>
        </w:numPr>
        <w:pStyle w:val="Compact"/>
      </w:pPr>
      <w:r>
        <w:rPr>
          <w:bCs/>
          <w:b/>
        </w:rPr>
        <w:t xml:space="preserve">Tarifs</w:t>
      </w:r>
      <w:r>
        <w:t xml:space="preserve"> </w:t>
      </w:r>
      <w:r>
        <w:t xml:space="preserve">: engagements datés et vérifiables (étude coût de service, ajustement annuel, régime pluriannuel), mais</w:t>
      </w:r>
      <w:r>
        <w:t xml:space="preserve"> </w:t>
      </w:r>
      <w:r>
        <w:rPr>
          <w:bCs/>
          <w:b/>
        </w:rPr>
        <w:t xml:space="preserve">aucun niveau ni trajectoire chiffrés</w:t>
      </w:r>
      <w:r>
        <w:t xml:space="preserve"> </w:t>
      </w:r>
      <w:r>
        <w:t xml:space="preserve">; tout est renvoyé à l’étude (déjà en retard). La clause « protéger les pauvres » n’est pas opérationnalisée (pas de tarif social défini) [E].</w:t>
      </w:r>
    </w:p>
    <w:p>
      <w:pPr>
        <w:numPr>
          <w:ilvl w:val="0"/>
          <w:numId w:val="1514"/>
        </w:numPr>
        <w:pStyle w:val="Compact"/>
      </w:pPr>
      <w:r>
        <w:rPr>
          <w:bCs/>
          <w:b/>
        </w:rPr>
        <w:t xml:space="preserve">Opérateur</w:t>
      </w:r>
      <w:r>
        <w:t xml:space="preserve"> </w:t>
      </w:r>
      <w:r>
        <w:t xml:space="preserve">: pas de cible de pertes ambitieuse (–0,05 pt/an) ; arriérés de l’État envers ZECO (29 % de recouvrement) non traités explicitement [E]. Pas de séparation/dégroupage de TANESCO envisagé — le pacte reste dans le modèle intégré, avec ouverture au privé par IPP/IPT [E].</w:t>
      </w:r>
    </w:p>
    <w:p>
      <w:pPr>
        <w:numPr>
          <w:ilvl w:val="0"/>
          <w:numId w:val="1514"/>
        </w:numPr>
        <w:pStyle w:val="Compact"/>
      </w:pPr>
      <w:r>
        <w:rPr>
          <w:bCs/>
          <w:b/>
        </w:rPr>
        <w:t xml:space="preserve">Risques</w:t>
      </w:r>
      <w:r>
        <w:t xml:space="preserve"> </w:t>
      </w:r>
      <w:r>
        <w:t xml:space="preserve">: liquidité de TANESCO, dépendance budgétaire, évacuation de JNHPP (≈ 40 % de la capacité évacuée selon [2]), bancabilité des IPP, qualité des données (dernière enquête 2020).</w:t>
      </w:r>
    </w:p>
    <w:p>
      <w:pPr>
        <w:numPr>
          <w:ilvl w:val="0"/>
          <w:numId w:val="1514"/>
        </w:numPr>
        <w:pStyle w:val="Compact"/>
      </w:pPr>
      <w:r>
        <w:rPr>
          <w:bCs/>
          <w:b/>
        </w:rPr>
        <w:t xml:space="preserve">Phase 2</w:t>
      </w:r>
      <w:r>
        <w:t xml:space="preserve"> </w:t>
      </w:r>
      <w:r>
        <w:t xml:space="preserve">: comptes TANESCO/ZECO, plans de performance approuvés par EWURA, arriérés publics.</w:t>
      </w:r>
      <w:r>
        <w:t xml:space="preserve"> </w:t>
      </w:r>
      <w:r>
        <w:rPr>
          <w:bCs/>
          <w:b/>
        </w:rPr>
        <w:t xml:space="preserve">Phase 3</w:t>
      </w:r>
      <w:r>
        <w:t xml:space="preserve"> </w:t>
      </w:r>
      <w:r>
        <w:t xml:space="preserve">: résultats de l’étude coût de service, structure tarifaire EWURA, subventions 56,8 M USD/an.</w:t>
      </w:r>
    </w:p>
    <w:bookmarkEnd w:id="522"/>
    <w:bookmarkStart w:id="523" w:name="inconnus-données-non-trouvées-32"/>
    <w:p>
      <w:pPr>
        <w:pStyle w:val="Heading3"/>
      </w:pPr>
      <w:r>
        <w:t xml:space="preserve">7. Inconnus / données non trouvées</w:t>
      </w:r>
    </w:p>
    <w:p>
      <w:pPr>
        <w:numPr>
          <w:ilvl w:val="0"/>
          <w:numId w:val="1515"/>
        </w:numPr>
        <w:pStyle w:val="Compact"/>
      </w:pPr>
      <w:r>
        <w:t xml:space="preserve">Tarif moyen de détail et grille tarifaire actuelle [?].</w:t>
      </w:r>
    </w:p>
    <w:p>
      <w:pPr>
        <w:numPr>
          <w:ilvl w:val="0"/>
          <w:numId w:val="1515"/>
        </w:numPr>
        <w:pStyle w:val="Compact"/>
      </w:pPr>
      <w:r>
        <w:t xml:space="preserve">Nombre absolu de personnes sans électricité selon le pacte [?].</w:t>
      </w:r>
    </w:p>
    <w:p>
      <w:pPr>
        <w:numPr>
          <w:ilvl w:val="0"/>
          <w:numId w:val="1515"/>
        </w:numPr>
        <w:pStyle w:val="Compact"/>
      </w:pPr>
      <w:r>
        <w:t xml:space="preserve">Répartition des 8,3 M raccordements entre réseau et hors-réseau [?].</w:t>
      </w:r>
    </w:p>
    <w:p>
      <w:pPr>
        <w:numPr>
          <w:ilvl w:val="0"/>
          <w:numId w:val="1515"/>
        </w:numPr>
        <w:pStyle w:val="Compact"/>
      </w:pPr>
      <w:r>
        <w:t xml:space="preserve">Valeurs SAIFI/SAIDI, délestages [?] (« NA » dans le pacte).</w:t>
      </w:r>
    </w:p>
    <w:p>
      <w:pPr>
        <w:numPr>
          <w:ilvl w:val="0"/>
          <w:numId w:val="1515"/>
        </w:numPr>
        <w:pStyle w:val="Compact"/>
      </w:pPr>
      <w:r>
        <w:t xml:space="preserve">Montant des nouveaux engagements BM/BAD spécifiquement attachés au pacte [?].</w:t>
      </w:r>
    </w:p>
    <w:bookmarkEnd w:id="523"/>
    <w:bookmarkStart w:id="524" w:name="sources-33"/>
    <w:p>
      <w:pPr>
        <w:pStyle w:val="Heading3"/>
      </w:pPr>
      <w:r>
        <w:t xml:space="preserve">Sources</w:t>
      </w:r>
    </w:p>
    <w:p>
      <w:pPr>
        <w:pStyle w:val="FirstParagraph"/>
      </w:pPr>
      <w:r>
        <w:t xml:space="preserve">[1] Gouvernement de la République-Unie de Tanzanie,</w:t>
      </w:r>
      <w:r>
        <w:t xml:space="preserve"> </w:t>
      </w:r>
      <w:r>
        <w:rPr>
          <w:iCs/>
          <w:i/>
        </w:rPr>
        <w:t xml:space="preserve">National Energy Compact for United Republic of Tanzania</w:t>
      </w:r>
      <w:r>
        <w:t xml:space="preserve">, Mission 300, janv. 2025 (PDF créé le 27/01/2025). https://www.worldbank.org/content/dam/theworldbankgroupasset/document/2026/m300-energy-compacts/Tanzania-M300-AES-Compact.pdf (consulté le 18/10/2026)</w:t>
      </w:r>
      <w:r>
        <w:t xml:space="preserve"> </w:t>
      </w:r>
      <w:r>
        <w:t xml:space="preserve">[2] Gouvernement de Tanzanie (CDMU) / Mission 300,</w:t>
      </w:r>
      <w:r>
        <w:t xml:space="preserve"> </w:t>
      </w:r>
      <w:r>
        <w:rPr>
          <w:iCs/>
          <w:i/>
        </w:rPr>
        <w:t xml:space="preserve">Mission 300 Compact Progress Report — Second Cycle of Data Collection 2025 — Tanzania</w:t>
      </w:r>
      <w:r>
        <w:t xml:space="preserve">, mars 2026. https://www.worldbank.org/content/dam/theworldbankgroupasset/document/2026/m300-energy-compacts/progress-reports/tanzania_mission-300_compact-progress-report_q12026.pdf</w:t>
      </w:r>
      <w:r>
        <w:t xml:space="preserve"> </w:t>
      </w:r>
      <w:r>
        <w:t xml:space="preserve">[3] Banque mondiale, page « National Energy Compacts ». https://www.worldbank.org/ext/en/energizingafrica/national-energy-compacts (consultée le 18/10/2026)</w:t>
      </w:r>
      <w:r>
        <w:t xml:space="preserve"> </w:t>
      </w:r>
      <w:r>
        <w:t xml:space="preserve">[4] Banque mondiale, communiqué « Under Mission 300, A New Way of Doing Business Connects Over 50 Million People to Electricity Across Africa », 16/06/2026. https://www.worldbank.org/en/news/press-release/2026/06/16/under-mission-300-a-new-way-of-doing-business-connects-over-50-million-people-to-electricity-across-africa</w:t>
      </w:r>
    </w:p>
    <w:p>
      <w:r>
        <w:br w:type="page"/>
      </w:r>
    </w:p>
    <w:bookmarkEnd w:id="524"/>
    <w:bookmarkEnd w:id="525"/>
    <w:bookmarkStart w:id="536" w:name="fiche-pacte-national-de-lénergie-ouganda"/>
    <w:p>
      <w:pPr>
        <w:pStyle w:val="Heading2"/>
      </w:pPr>
      <w:r>
        <w:t xml:space="preserve">Fiche pacte national de l’énergie — Ouganda</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526" w:name="métadonnées-33"/>
    <w:p>
      <w:pPr>
        <w:pStyle w:val="Heading3"/>
      </w:pPr>
      <w:r>
        <w:t xml:space="preserve">0. Métadonnées</w:t>
      </w:r>
    </w:p>
    <w:p>
      <w:pPr>
        <w:numPr>
          <w:ilvl w:val="0"/>
          <w:numId w:val="1516"/>
        </w:numPr>
        <w:pStyle w:val="Compact"/>
      </w:pPr>
      <w:r>
        <w:rPr>
          <w:bCs/>
          <w:b/>
        </w:rPr>
        <w:t xml:space="preserve">Existence du pacte</w:t>
      </w:r>
      <w:r>
        <w:t xml:space="preserve"> </w:t>
      </w:r>
      <w:r>
        <w:t xml:space="preserve">:</w:t>
      </w:r>
      <w:r>
        <w:t xml:space="preserve"> </w:t>
      </w:r>
      <w:r>
        <w:rPr>
          <w:bCs/>
          <w:b/>
        </w:rPr>
        <w:t xml:space="preserve">confirmée</w:t>
      </w:r>
      <w:r>
        <w:t xml:space="preserve">. Texte publié sur le site de la Banque mondiale (« June 2026 ») [2] [V] ; lancement annoncé à l’Africa Energy Forum dans le communiqué BM du 16/06/2026 [3] [V] ; Energy News Network (09/07/2026) rapporte la signature des six pactes à l’AEF et cite la ministre de l’Énergie</w:t>
      </w:r>
      <w:r>
        <w:t xml:space="preserve"> </w:t>
      </w:r>
      <w:r>
        <w:rPr>
          <w:bCs/>
          <w:b/>
        </w:rPr>
        <w:t xml:space="preserve">Monica Musenero</w:t>
      </w:r>
      <w:r>
        <w:t xml:space="preserve"> </w:t>
      </w:r>
      <w:r>
        <w:t xml:space="preserve">(nommée quelques semaines avant), sans nommer de signataire pour l’Ouganda [4] [S]. La date « juillet 2026 » correspond à l’article ; l’événement se situe la semaine du 16 juin 2026 selon la BM [E].</w:t>
      </w:r>
    </w:p>
    <w:p>
      <w:pPr>
        <w:numPr>
          <w:ilvl w:val="0"/>
          <w:numId w:val="1516"/>
        </w:numPr>
        <w:pStyle w:val="Compact"/>
      </w:pPr>
      <w:r>
        <w:rPr>
          <w:bCs/>
          <w:b/>
        </w:rPr>
        <w:t xml:space="preserve">Cohorte</w:t>
      </w:r>
      <w:r>
        <w:t xml:space="preserve"> </w:t>
      </w:r>
      <w:r>
        <w:t xml:space="preserve">: groupe des six pays de l’AEF 2026 (Burkina Faso, RCA, Djibouti, Gabon, Rwanda, Ouganda) [3] [V].</w:t>
      </w:r>
    </w:p>
    <w:p>
      <w:pPr>
        <w:numPr>
          <w:ilvl w:val="0"/>
          <w:numId w:val="1516"/>
        </w:numPr>
        <w:pStyle w:val="Compact"/>
      </w:pPr>
      <w:r>
        <w:rPr>
          <w:bCs/>
          <w:b/>
        </w:rPr>
        <w:t xml:space="preserve">Document consulté</w:t>
      </w:r>
      <w:r>
        <w:t xml:space="preserve"> </w:t>
      </w:r>
      <w:r>
        <w:t xml:space="preserve">: « National Energy Compact for the Republic of Uganda », 59 p., anglais, PDF créé le 16/06/2026 et modifié le 17/06/2026 [1] [V].</w:t>
      </w:r>
    </w:p>
    <w:p>
      <w:pPr>
        <w:numPr>
          <w:ilvl w:val="0"/>
          <w:numId w:val="1516"/>
        </w:numPr>
        <w:pStyle w:val="Compact"/>
      </w:pPr>
      <w:r>
        <w:rPr>
          <w:bCs/>
          <w:b/>
        </w:rPr>
        <w:t xml:space="preserve">Accès au texte intégral</w:t>
      </w:r>
      <w:r>
        <w:t xml:space="preserve"> </w:t>
      </w:r>
      <w:r>
        <w:t xml:space="preserve">:</w:t>
      </w:r>
      <w:r>
        <w:t xml:space="preserve"> </w:t>
      </w:r>
      <w:r>
        <w:rPr>
          <w:bCs/>
          <w:b/>
        </w:rPr>
        <w:t xml:space="preserve">oui</w:t>
      </w:r>
      <w:r>
        <w:t xml:space="preserve"> </w:t>
      </w:r>
      <w:r>
        <w:t xml:space="preserve">— https://www.worldbank.org/content/dam/theworldbankgroupasset/document/2026/m300-energy-compacts/Uganda-National-Energy-Compact-Mission-300.pdf</w:t>
      </w:r>
    </w:p>
    <w:p>
      <w:pPr>
        <w:numPr>
          <w:ilvl w:val="0"/>
          <w:numId w:val="1516"/>
        </w:numPr>
        <w:pStyle w:val="Compact"/>
      </w:pPr>
      <w:r>
        <w:rPr>
          <w:bCs/>
          <w:b/>
        </w:rPr>
        <w:t xml:space="preserve">Opérateurs</w:t>
      </w:r>
      <w:r>
        <w:t xml:space="preserve"> </w:t>
      </w:r>
      <w:r>
        <w:t xml:space="preserve">: secteur « parmi les plus dégroupés et libéralisés d’Afrique » (Electricity Act 1999, amendé 2022) [1] [V] —</w:t>
      </w:r>
      <w:r>
        <w:t xml:space="preserve"> </w:t>
      </w:r>
      <w:r>
        <w:rPr>
          <w:bCs/>
          <w:b/>
        </w:rPr>
        <w:t xml:space="preserve">UEGCL</w:t>
      </w:r>
      <w:r>
        <w:t xml:space="preserve"> </w:t>
      </w:r>
      <w:r>
        <w:t xml:space="preserve">(production publique : Karuma 600 MW, Isimba 183, Nalubaale 180, Kiira 200) ;</w:t>
      </w:r>
      <w:r>
        <w:t xml:space="preserve"> </w:t>
      </w:r>
      <w:r>
        <w:rPr>
          <w:bCs/>
          <w:b/>
        </w:rPr>
        <w:t xml:space="preserve">UETCL</w:t>
      </w:r>
      <w:r>
        <w:t xml:space="preserve"> </w:t>
      </w:r>
      <w:r>
        <w:t xml:space="preserve">(transport ≥ 132 kV, opérateur système,</w:t>
      </w:r>
      <w:r>
        <w:t xml:space="preserve"> </w:t>
      </w:r>
      <w:r>
        <w:rPr>
          <w:bCs/>
          <w:b/>
        </w:rPr>
        <w:t xml:space="preserve">acheteur unique</w:t>
      </w:r>
      <w:r>
        <w:t xml:space="preserve">) ;</w:t>
      </w:r>
      <w:r>
        <w:t xml:space="preserve"> </w:t>
      </w:r>
      <w:r>
        <w:rPr>
          <w:bCs/>
          <w:b/>
        </w:rPr>
        <w:t xml:space="preserve">UEDCL</w:t>
      </w:r>
      <w:r>
        <w:t xml:space="preserve"> </w:t>
      </w:r>
      <w:r>
        <w:t xml:space="preserve">(distribution publique,</w:t>
      </w:r>
      <w:r>
        <w:t xml:space="preserve"> </w:t>
      </w:r>
      <w:r>
        <w:rPr>
          <w:bCs/>
          <w:b/>
        </w:rPr>
        <w:t xml:space="preserve">reprise de la concession UMEME le 1er avril 2025</w:t>
      </w:r>
      <w:r>
        <w:t xml:space="preserve">, 2,75 M clients fin 2025) ; concessionnaires privés WENRECO (≈ 25 000 clients) et KIS (≈ 4 500) ;</w:t>
      </w:r>
      <w:r>
        <w:t xml:space="preserve"> </w:t>
      </w:r>
      <w:r>
        <w:rPr>
          <w:bCs/>
          <w:b/>
        </w:rPr>
        <w:t xml:space="preserve">UECCC</w:t>
      </w:r>
      <w:r>
        <w:t xml:space="preserve"> </w:t>
      </w:r>
      <w:r>
        <w:t xml:space="preserve">(intermédiaire financier) ; IPP ≈ un tiers de la capacité (dont Bujagali 250 MW) [1] [V]. Projet d’une « Uganda National Electricity Company » regroupant UEGCL, UETCL et UEDCL (examiné en Conseil des ministres en février 2021) [1] [V].</w:t>
      </w:r>
    </w:p>
    <w:p>
      <w:pPr>
        <w:numPr>
          <w:ilvl w:val="0"/>
          <w:numId w:val="1516"/>
        </w:numPr>
        <w:pStyle w:val="Compact"/>
      </w:pPr>
      <w:r>
        <w:rPr>
          <w:bCs/>
          <w:b/>
        </w:rPr>
        <w:t xml:space="preserve">Régulateur</w:t>
      </w:r>
      <w:r>
        <w:t xml:space="preserve"> </w:t>
      </w:r>
      <w:r>
        <w:t xml:space="preserve">:</w:t>
      </w:r>
      <w:r>
        <w:t xml:space="preserve"> </w:t>
      </w:r>
      <w:r>
        <w:rPr>
          <w:bCs/>
          <w:b/>
        </w:rPr>
        <w:t xml:space="preserve">ERA</w:t>
      </w:r>
      <w:r>
        <w:t xml:space="preserve"> </w:t>
      </w:r>
      <w:r>
        <w:t xml:space="preserve">(Electricity Regulatory Authority) — tarifs trimestriels calés sur le coût unitaire, le change et l’inflation [1] [V]. Tutelle : MEMD ; MoFPED [1] [V].</w:t>
      </w:r>
    </w:p>
    <w:bookmarkEnd w:id="526"/>
    <w:bookmarkStart w:id="527" w:name="situation-de-départ-selon-le-pacte-33"/>
    <w:p>
      <w:pPr>
        <w:pStyle w:val="Heading3"/>
      </w:pPr>
      <w:r>
        <w:t xml:space="preserve">1. Situation de départ (selon le pacte)</w:t>
      </w:r>
    </w:p>
    <w:p>
      <w:pPr>
        <w:numPr>
          <w:ilvl w:val="0"/>
          <w:numId w:val="1517"/>
        </w:numPr>
        <w:pStyle w:val="Compact"/>
      </w:pPr>
      <w:r>
        <w:rPr>
          <w:bCs/>
          <w:b/>
        </w:rPr>
        <w:t xml:space="preserve">Accès</w:t>
      </w:r>
      <w:r>
        <w:t xml:space="preserve"> </w:t>
      </w:r>
      <w:r>
        <w:t xml:space="preserve">: ≈</w:t>
      </w:r>
      <w:r>
        <w:t xml:space="preserve"> </w:t>
      </w:r>
      <w:r>
        <w:rPr>
          <w:bCs/>
          <w:b/>
        </w:rPr>
        <w:t xml:space="preserve">60 %</w:t>
      </w:r>
      <w:r>
        <w:t xml:space="preserve"> </w:t>
      </w:r>
      <w:r>
        <w:t xml:space="preserve">(2025), contre ≈ 11 % en 2010 [1] [V] ; rural 43 % (30 % réseau/mini-réseau + 13 % SHS), urbain 80 % [1] [V]. Réseau + mini-réseau national : 47 % ; SHS : 13 % (4 M d’unités cumulées ; ailleurs « ≈ 16 % de l’accès national ») [1] [V].</w:t>
      </w:r>
    </w:p>
    <w:p>
      <w:pPr>
        <w:numPr>
          <w:ilvl w:val="0"/>
          <w:numId w:val="1517"/>
        </w:numPr>
        <w:pStyle w:val="Compact"/>
      </w:pPr>
      <w:r>
        <w:rPr>
          <w:bCs/>
          <w:b/>
        </w:rPr>
        <w:t xml:space="preserve">Population sans accès</w:t>
      </w:r>
      <w:r>
        <w:t xml:space="preserve"> </w:t>
      </w:r>
      <w:r>
        <w:t xml:space="preserve">: ≈ 40 % [1] [V] ; ≈ 18 M de personnes sur ≈ 46 M (recensement 2024) [E].</w:t>
      </w:r>
    </w:p>
    <w:p>
      <w:pPr>
        <w:numPr>
          <w:ilvl w:val="0"/>
          <w:numId w:val="1517"/>
        </w:numPr>
        <w:pStyle w:val="Compact"/>
      </w:pPr>
      <w:r>
        <w:rPr>
          <w:bCs/>
          <w:b/>
        </w:rPr>
        <w:t xml:space="preserve">Capacité</w:t>
      </w:r>
      <w:r>
        <w:t xml:space="preserve"> </w:t>
      </w:r>
      <w:r>
        <w:t xml:space="preserve">:</w:t>
      </w:r>
      <w:r>
        <w:t xml:space="preserve"> </w:t>
      </w:r>
      <w:r>
        <w:rPr>
          <w:bCs/>
          <w:b/>
        </w:rPr>
        <w:t xml:space="preserve">2 098,6 MW</w:t>
      </w:r>
      <w:r>
        <w:t xml:space="preserve"> </w:t>
      </w:r>
      <w:r>
        <w:t xml:space="preserve">(fin 2025, ERA), 95 % renouvelable — hydro 82,1 %, bagasse 9 %, thermique 4,8 %, solaire 4,2 % [1] [V]. Production 8 022 GWh (2025) ; pointe 1 351 MW [1] [V].</w:t>
      </w:r>
      <w:r>
        <w:t xml:space="preserve"> </w:t>
      </w:r>
      <w:r>
        <w:rPr>
          <w:bCs/>
          <w:b/>
        </w:rPr>
        <w:t xml:space="preserve">Facteur de charge de Karuma ≈ 21 %</w:t>
      </w:r>
      <w:r>
        <w:t xml:space="preserve"> </w:t>
      </w:r>
      <w:r>
        <w:t xml:space="preserve">(2025) vs &gt; 50 % visé [1] [V]. Transport 5 383 km ; pertes de transport 2,65 % (T4 2025) [1] [V].</w:t>
      </w:r>
    </w:p>
    <w:p>
      <w:pPr>
        <w:numPr>
          <w:ilvl w:val="0"/>
          <w:numId w:val="1517"/>
        </w:numPr>
        <w:pStyle w:val="Compact"/>
      </w:pPr>
      <w:r>
        <w:rPr>
          <w:bCs/>
          <w:b/>
        </w:rPr>
        <w:t xml:space="preserve">Distribution</w:t>
      </w:r>
      <w:r>
        <w:t xml:space="preserve"> </w:t>
      </w:r>
      <w:r>
        <w:t xml:space="preserve">: pertes</w:t>
      </w:r>
      <w:r>
        <w:t xml:space="preserve"> </w:t>
      </w:r>
      <w:r>
        <w:rPr>
          <w:bCs/>
          <w:b/>
        </w:rPr>
        <w:t xml:space="preserve">18,2 %</w:t>
      </w:r>
      <w:r>
        <w:t xml:space="preserve"> </w:t>
      </w:r>
      <w:r>
        <w:t xml:space="preserve">(T4 2025), dans une bande de 16-18 % depuis 2018 ; pertes commerciales 10-11 % ; recouvrement ≈ 99 % en fin de concession UMEME [1] [V].</w:t>
      </w:r>
    </w:p>
    <w:p>
      <w:pPr>
        <w:numPr>
          <w:ilvl w:val="0"/>
          <w:numId w:val="1517"/>
        </w:numPr>
        <w:pStyle w:val="Compact"/>
      </w:pPr>
      <w:r>
        <w:rPr>
          <w:bCs/>
          <w:b/>
        </w:rPr>
        <w:t xml:space="preserve">Cuisson propre</w:t>
      </w:r>
      <w:r>
        <w:t xml:space="preserve"> </w:t>
      </w:r>
      <w:r>
        <w:t xml:space="preserve">: ≈</w:t>
      </w:r>
      <w:r>
        <w:t xml:space="preserve"> </w:t>
      </w:r>
      <w:r>
        <w:rPr>
          <w:bCs/>
          <w:b/>
        </w:rPr>
        <w:t xml:space="preserve">25 %</w:t>
      </w:r>
      <w:r>
        <w:t xml:space="preserve"> </w:t>
      </w:r>
      <w:r>
        <w:t xml:space="preserve">(NICCS) ; 89 % des ménages utilisent la biomasse solide ; bois/charbon ≈ 85 % de la cuisson [1] [V].</w:t>
      </w:r>
    </w:p>
    <w:p>
      <w:pPr>
        <w:numPr>
          <w:ilvl w:val="0"/>
          <w:numId w:val="1517"/>
        </w:numPr>
        <w:pStyle w:val="Compact"/>
      </w:pPr>
      <w:r>
        <w:rPr>
          <w:bCs/>
          <w:b/>
        </w:rPr>
        <w:t xml:space="preserve">Exportations</w:t>
      </w:r>
      <w:r>
        <w:t xml:space="preserve"> </w:t>
      </w:r>
      <w:r>
        <w:t xml:space="preserve">: 535,9 GWh (2025 ; Kenya 42 %, Tanzanie 36 %, Rwanda 21 %, RDC 1 %) ; recettes ≈ 50 M USD (2025) [1] [V].</w:t>
      </w:r>
    </w:p>
    <w:bookmarkEnd w:id="527"/>
    <w:bookmarkStart w:id="528" w:name="cibles-2030-32"/>
    <w:p>
      <w:pPr>
        <w:pStyle w:val="Heading3"/>
      </w:pPr>
      <w:r>
        <w:t xml:space="preserve">2. Cibles 2030</w:t>
      </w:r>
    </w:p>
    <w:p>
      <w:pPr>
        <w:numPr>
          <w:ilvl w:val="0"/>
          <w:numId w:val="1518"/>
        </w:numPr>
        <w:pStyle w:val="Compact"/>
      </w:pPr>
      <w:r>
        <w:rPr>
          <w:bCs/>
          <w:b/>
        </w:rPr>
        <w:t xml:space="preserve">Particularité</w:t>
      </w:r>
      <w:r>
        <w:t xml:space="preserve"> </w:t>
      </w:r>
      <w:r>
        <w:t xml:space="preserve">: taxonomie</w:t>
      </w:r>
      <w:r>
        <w:t xml:space="preserve"> </w:t>
      </w:r>
      <w:r>
        <w:rPr>
          <w:bCs/>
          <w:b/>
        </w:rPr>
        <w:t xml:space="preserve">Catégorie A</w:t>
      </w:r>
      <w:r>
        <w:t xml:space="preserve"> </w:t>
      </w:r>
      <w:r>
        <w:t xml:space="preserve">(opérationnel au 31/12/2030) /</w:t>
      </w:r>
      <w:r>
        <w:t xml:space="preserve"> </w:t>
      </w:r>
      <w:r>
        <w:rPr>
          <w:bCs/>
          <w:b/>
        </w:rPr>
        <w:t xml:space="preserve">Catégorie B</w:t>
      </w:r>
      <w:r>
        <w:t xml:space="preserve"> </w:t>
      </w:r>
      <w:r>
        <w:t xml:space="preserve">(bouclage financier au 31/12/2030, mise en service après 2030) [1] [V].</w:t>
      </w:r>
    </w:p>
    <w:p>
      <w:pPr>
        <w:numPr>
          <w:ilvl w:val="0"/>
          <w:numId w:val="1518"/>
        </w:numPr>
        <w:pStyle w:val="Compact"/>
      </w:pPr>
      <w:r>
        <w:rPr>
          <w:bCs/>
          <w:b/>
        </w:rPr>
        <w:t xml:space="preserve">Électricité</w:t>
      </w:r>
      <w:r>
        <w:t xml:space="preserve"> </w:t>
      </w:r>
      <w:r>
        <w:t xml:space="preserve">:</w:t>
      </w:r>
      <w:r>
        <w:t xml:space="preserve"> </w:t>
      </w:r>
      <w:r>
        <w:rPr>
          <w:bCs/>
          <w:b/>
        </w:rPr>
        <w:t xml:space="preserve">85 %</w:t>
      </w:r>
      <w:r>
        <w:t xml:space="preserve"> </w:t>
      </w:r>
      <w:r>
        <w:t xml:space="preserve">au 31/12/2030 (déclaration ; &gt; 13 M d’Ougandais en plus) ; le plan d’action retient une fourchette 80-85 % avec « ancre centrale »</w:t>
      </w:r>
      <w:r>
        <w:t xml:space="preserve"> </w:t>
      </w:r>
      <w:r>
        <w:rPr>
          <w:bCs/>
          <w:b/>
        </w:rPr>
        <w:t xml:space="preserve">82 %</w:t>
      </w:r>
      <w:r>
        <w:t xml:space="preserve"> </w:t>
      </w:r>
      <w:r>
        <w:t xml:space="preserve">; ambition de long terme 95 % [1] [V]. Ventilation : réseau + mini-réseaux 47 % → 70 % ; SHS 13 % → 12 % (sic) ; rural 75 %, urbain 95 % [1] [V]. ≈ 2,4 M nouveaux raccordements 2027-2030 (400 000 → 800 000/an) ; 2 712 mini-réseaux (46 aujourd’hui) ; 6 M SHS cumulés [1] [V].</w:t>
      </w:r>
    </w:p>
    <w:p>
      <w:pPr>
        <w:numPr>
          <w:ilvl w:val="0"/>
          <w:numId w:val="1518"/>
        </w:numPr>
        <w:pStyle w:val="Compact"/>
      </w:pPr>
      <w:r>
        <w:rPr>
          <w:bCs/>
          <w:b/>
        </w:rPr>
        <w:t xml:space="preserve">Capacité / ENR</w:t>
      </w:r>
      <w:r>
        <w:t xml:space="preserve"> </w:t>
      </w:r>
      <w:r>
        <w:t xml:space="preserve">: 2 099 MW → ≈</w:t>
      </w:r>
      <w:r>
        <w:t xml:space="preserve"> </w:t>
      </w:r>
      <w:r>
        <w:rPr>
          <w:bCs/>
          <w:b/>
        </w:rPr>
        <w:t xml:space="preserve">8,3 GW</w:t>
      </w:r>
      <w:r>
        <w:t xml:space="preserve"> </w:t>
      </w:r>
      <w:r>
        <w:t xml:space="preserve">« d’ici 2030 », dont seulement</w:t>
      </w:r>
      <w:r>
        <w:t xml:space="preserve"> </w:t>
      </w:r>
      <w:r>
        <w:rPr>
          <w:bCs/>
          <w:b/>
        </w:rPr>
        <w:t xml:space="preserve">≈ 2 500 MW opérationnels</w:t>
      </w:r>
      <w:r>
        <w:t xml:space="preserve"> </w:t>
      </w:r>
      <w:r>
        <w:t xml:space="preserve">(Cat. A, + 400 MW) et ≈ 5 800 MW en bouclage financier (Cat. B) ; part ENR 2030 modélisée à</w:t>
      </w:r>
      <w:r>
        <w:t xml:space="preserve"> </w:t>
      </w:r>
      <w:r>
        <w:rPr>
          <w:bCs/>
          <w:b/>
        </w:rPr>
        <w:t xml:space="preserve">78 %</w:t>
      </w:r>
      <w:r>
        <w:t xml:space="preserve"> </w:t>
      </w:r>
      <w:r>
        <w:t xml:space="preserve">(engagement politique ≥ 90 %) ; 61,3 GW visés en 2040 (scénario « Tenfold Growth ») [1] [V].</w:t>
      </w:r>
    </w:p>
    <w:p>
      <w:pPr>
        <w:numPr>
          <w:ilvl w:val="0"/>
          <w:numId w:val="1518"/>
        </w:numPr>
        <w:pStyle w:val="Compact"/>
      </w:pPr>
      <w:r>
        <w:rPr>
          <w:bCs/>
          <w:b/>
        </w:rPr>
        <w:t xml:space="preserve">Cuisson propre</w:t>
      </w:r>
      <w:r>
        <w:t xml:space="preserve"> </w:t>
      </w:r>
      <w:r>
        <w:t xml:space="preserve">: 25 % →</w:t>
      </w:r>
      <w:r>
        <w:t xml:space="preserve"> </w:t>
      </w:r>
      <w:r>
        <w:rPr>
          <w:bCs/>
          <w:b/>
        </w:rPr>
        <w:t xml:space="preserve">50 %</w:t>
      </w:r>
      <w:r>
        <w:t xml:space="preserve"> </w:t>
      </w:r>
      <w:r>
        <w:t xml:space="preserve">(+ 4,6 M ménages) : 2,5 M GPL, 1,4 M électrique, 0,7 M bioéthanol, 3,5 M foyers améliorés [1] [V].</w:t>
      </w:r>
    </w:p>
    <w:p>
      <w:pPr>
        <w:numPr>
          <w:ilvl w:val="0"/>
          <w:numId w:val="1518"/>
        </w:numPr>
        <w:pStyle w:val="Compact"/>
      </w:pPr>
      <w:r>
        <w:rPr>
          <w:bCs/>
          <w:b/>
        </w:rPr>
        <w:t xml:space="preserve">Capitaux privés</w:t>
      </w:r>
      <w:r>
        <w:t xml:space="preserve"> </w:t>
      </w:r>
      <w:r>
        <w:t xml:space="preserve">:</w:t>
      </w:r>
      <w:r>
        <w:t xml:space="preserve"> </w:t>
      </w:r>
      <w:r>
        <w:rPr>
          <w:bCs/>
          <w:b/>
        </w:rPr>
        <w:t xml:space="preserve">≈ 9,4 Md USD</w:t>
      </w:r>
      <w:r>
        <w:t xml:space="preserve"> </w:t>
      </w:r>
      <w:r>
        <w:t xml:space="preserve">(9,44 Md) additionnels 2026-2030 (Cat. A + B) ; base 0,3-0,5 Md USD/an (2022-2025) [1] [V].</w:t>
      </w:r>
    </w:p>
    <w:p>
      <w:pPr>
        <w:numPr>
          <w:ilvl w:val="0"/>
          <w:numId w:val="1518"/>
        </w:numPr>
        <w:pStyle w:val="Compact"/>
      </w:pPr>
      <w:r>
        <w:rPr>
          <w:bCs/>
          <w:b/>
        </w:rPr>
        <w:t xml:space="preserve">Autres</w:t>
      </w:r>
      <w:r>
        <w:t xml:space="preserve"> </w:t>
      </w:r>
      <w:r>
        <w:t xml:space="preserve">: pertes de distribution &lt; 12 % (2030) ; recouvrement ≥ 95 % ; recettes d’exportation 200-300 M USD/an [1] [V].</w:t>
      </w:r>
    </w:p>
    <w:bookmarkEnd w:id="528"/>
    <w:bookmarkStart w:id="530" w:name="réformes-promises-cœur-de-lanalyse-26"/>
    <w:p>
      <w:pPr>
        <w:pStyle w:val="Heading3"/>
      </w:pPr>
      <w:r>
        <w:t xml:space="preserve">3. Réformes promises (cœur de l’analyse)</w:t>
      </w:r>
    </w:p>
    <w:bookmarkStart w:id="529" w:name="tarifs-et-subventions-33"/>
    <w:p>
      <w:pPr>
        <w:pStyle w:val="Heading4"/>
      </w:pPr>
      <w:r>
        <w:t xml:space="preserve">3.1 Tarifs et subventions</w:t>
      </w:r>
    </w:p>
    <w:p>
      <w:pPr>
        <w:numPr>
          <w:ilvl w:val="0"/>
          <w:numId w:val="1519"/>
        </w:numPr>
        <w:pStyle w:val="Compact"/>
      </w:pPr>
      <w:r>
        <w:rPr>
          <w:bCs/>
          <w:b/>
        </w:rPr>
        <w:t xml:space="preserve">Étude de coût de service</w:t>
      </w:r>
      <w:r>
        <w:t xml:space="preserve"> </w:t>
      </w:r>
      <w:r>
        <w:t xml:space="preserve">(ERA + MEMD) achevée en</w:t>
      </w:r>
      <w:r>
        <w:t xml:space="preserve"> </w:t>
      </w:r>
      <w:r>
        <w:rPr>
          <w:bCs/>
          <w:b/>
        </w:rPr>
        <w:t xml:space="preserve">juin 2026</w:t>
      </w:r>
      <w:r>
        <w:t xml:space="preserve"> </w:t>
      </w:r>
      <w:r>
        <w:t xml:space="preserve">[1] [V].</w:t>
      </w:r>
    </w:p>
    <w:p>
      <w:pPr>
        <w:numPr>
          <w:ilvl w:val="0"/>
          <w:numId w:val="1519"/>
        </w:numPr>
        <w:pStyle w:val="Compact"/>
      </w:pPr>
      <w:r>
        <w:rPr>
          <w:bCs/>
          <w:b/>
        </w:rPr>
        <w:t xml:space="preserve">Ordonnance tarifaire pluriannuelle</w:t>
      </w:r>
      <w:r>
        <w:t xml:space="preserve"> </w:t>
      </w:r>
      <w:r>
        <w:t xml:space="preserve">de l’ERA au</w:t>
      </w:r>
      <w:r>
        <w:t xml:space="preserve"> </w:t>
      </w:r>
      <w:r>
        <w:rPr>
          <w:bCs/>
          <w:b/>
        </w:rPr>
        <w:t xml:space="preserve">T4 2026</w:t>
      </w:r>
      <w:r>
        <w:t xml:space="preserve">, avec</w:t>
      </w:r>
      <w:r>
        <w:t xml:space="preserve"> </w:t>
      </w:r>
      <w:r>
        <w:rPr>
          <w:bCs/>
          <w:b/>
        </w:rPr>
        <w:t xml:space="preserve">trajectoire de convergence (glide path) sur cinq ans</w:t>
      </w:r>
      <w:r>
        <w:t xml:space="preserve"> </w:t>
      </w:r>
      <w:r>
        <w:t xml:space="preserve">et</w:t>
      </w:r>
      <w:r>
        <w:t xml:space="preserve"> </w:t>
      </w:r>
      <w:r>
        <w:rPr>
          <w:bCs/>
          <w:b/>
        </w:rPr>
        <w:t xml:space="preserve">mécanismes d’ajustement automatique</w:t>
      </w:r>
      <w:r>
        <w:t xml:space="preserve"> </w:t>
      </w:r>
      <w:r>
        <w:t xml:space="preserve">(change, inflation, réduction des pertes) [1] [V].</w:t>
      </w:r>
    </w:p>
    <w:p>
      <w:pPr>
        <w:numPr>
          <w:ilvl w:val="0"/>
          <w:numId w:val="1519"/>
        </w:numPr>
        <w:pStyle w:val="Compact"/>
      </w:pPr>
      <w:r>
        <w:rPr>
          <w:bCs/>
          <w:b/>
        </w:rPr>
        <w:t xml:space="preserve">Bloc social (lifeline)</w:t>
      </w:r>
      <w:r>
        <w:t xml:space="preserve"> </w:t>
      </w:r>
      <w:r>
        <w:t xml:space="preserve">redessiné, en vigueur au</w:t>
      </w:r>
      <w:r>
        <w:t xml:space="preserve"> </w:t>
      </w:r>
      <w:r>
        <w:rPr>
          <w:bCs/>
          <w:b/>
        </w:rPr>
        <w:t xml:space="preserve">cycle tarifaire 2027</w:t>
      </w:r>
      <w:r>
        <w:t xml:space="preserve">, ciblé sur les déciles de revenus les plus bas [1] [V].</w:t>
      </w:r>
    </w:p>
    <w:p>
      <w:pPr>
        <w:numPr>
          <w:ilvl w:val="0"/>
          <w:numId w:val="1519"/>
        </w:numPr>
        <w:pStyle w:val="Compact"/>
      </w:pPr>
      <w:r>
        <w:rPr>
          <w:bCs/>
          <w:b/>
        </w:rPr>
        <w:t xml:space="preserve">Cartographie et cantonnement (ring-fencing) des subventions</w:t>
      </w:r>
      <w:r>
        <w:t xml:space="preserve"> </w:t>
      </w:r>
      <w:r>
        <w:t xml:space="preserve">pilotés par le MoFPED (T3 2026) ;</w:t>
      </w:r>
      <w:r>
        <w:t xml:space="preserve"> </w:t>
      </w:r>
      <w:r>
        <w:rPr>
          <w:bCs/>
          <w:b/>
        </w:rPr>
        <w:t xml:space="preserve">plan d’apurement des arriérés</w:t>
      </w:r>
      <w:r>
        <w:t xml:space="preserve"> </w:t>
      </w:r>
      <w:r>
        <w:t xml:space="preserve">(État acheteur) opérationnel au T4 2026 ; revue annuelle 2028-2030 [1] [V]. Base : subventions « fragmentées entre lignes budgétaires » ; arriérés croisés pesant sur le fonds de roulement d’UETCL et UEDCL [1] [V].</w:t>
      </w:r>
    </w:p>
    <w:p>
      <w:pPr>
        <w:numPr>
          <w:ilvl w:val="0"/>
          <w:numId w:val="1519"/>
        </w:numPr>
        <w:pStyle w:val="Compact"/>
      </w:pPr>
      <w:r>
        <w:t xml:space="preserve">Le pacte affirme que les tarifs « reflètent les coûts » d’infrastructure, de change et hydrologiques, tout en reconnaissant l’enjeu d’abordabilité [1] [V].</w:t>
      </w:r>
      <w:r>
        <w:t xml:space="preserve"> </w:t>
      </w:r>
      <w:r>
        <w:rPr>
          <w:bCs/>
          <w:b/>
        </w:rPr>
        <w:t xml:space="preserve">Niveau tarifaire moyen, taux de couverture, montant des subventions : non renseignés</w:t>
      </w:r>
      <w:r>
        <w:t xml:space="preserve"> </w:t>
      </w:r>
      <w:r>
        <w:t xml:space="preserve">(champs vides de l’annexe III) [1] [V].</w:t>
      </w:r>
    </w:p>
    <w:p>
      <w:pPr>
        <w:numPr>
          <w:ilvl w:val="0"/>
          <w:numId w:val="1519"/>
        </w:numPr>
        <w:pStyle w:val="Compact"/>
      </w:pPr>
      <w:r>
        <w:t xml:space="preserve">Achats directs par les gros consommateurs (≥ 1 500 kVA), plafonnés à 30 % de leur consommation [1] [V]. FiT standardisés jusqu’à 50 MW [1] [V].</w:t>
      </w:r>
      <w:r>
        <w:t xml:space="preserve"> </w:t>
      </w:r>
      <w:r>
        <w:t xml:space="preserve">#### 3.2 Opérateur</w:t>
      </w:r>
    </w:p>
    <w:p>
      <w:pPr>
        <w:numPr>
          <w:ilvl w:val="0"/>
          <w:numId w:val="1519"/>
        </w:numPr>
        <w:pStyle w:val="Compact"/>
      </w:pPr>
      <w:r>
        <w:rPr>
          <w:bCs/>
          <w:b/>
        </w:rPr>
        <w:t xml:space="preserve">Transformation d’UEDCL</w:t>
      </w:r>
      <w:r>
        <w:t xml:space="preserve"> </w:t>
      </w:r>
      <w:r>
        <w:t xml:space="preserve">post-UMEME : pertes 16 % (2025) → 15 % (2027) → 13 % (2029) → &lt; 12 % (2030) ; recouvrement ≥ 95 % ; AMI accéléré ; programme national anti-fraude (MEMD/UEDCL/police, T1 2027) ; apurement du stock de demandes de raccordement et régularisation (T4 2028) [1] [V].</w:t>
      </w:r>
    </w:p>
    <w:p>
      <w:pPr>
        <w:numPr>
          <w:ilvl w:val="0"/>
          <w:numId w:val="1519"/>
        </w:numPr>
        <w:pStyle w:val="Compact"/>
      </w:pPr>
      <w:r>
        <w:t xml:space="preserve">Indicateurs SAIDI/SAIFI de référence publiés par l’ERA (T4 2026) avec trajectoire pluriannuelle ; benchmarks trimestriels de recouvrement (FY 2026/27) [1] [V].</w:t>
      </w:r>
    </w:p>
    <w:p>
      <w:pPr>
        <w:numPr>
          <w:ilvl w:val="0"/>
          <w:numId w:val="1519"/>
        </w:numPr>
        <w:pStyle w:val="Compact"/>
      </w:pPr>
      <w:r>
        <w:t xml:space="preserve">Production publique : Karuma &gt; 50 % de facteur de charge (T4 2027) ; réhabilitation de Nalubaale (2029) [1] [V].</w:t>
      </w:r>
    </w:p>
    <w:p>
      <w:pPr>
        <w:numPr>
          <w:ilvl w:val="0"/>
          <w:numId w:val="1519"/>
        </w:numPr>
        <w:pStyle w:val="Compact"/>
      </w:pPr>
      <w:r>
        <w:t xml:space="preserve">Données financières lacunaires : bénéfices UETCL 2024-2025 « missing » ; UMEME : bénéfice après impôt ≈ 171 Md UGX (2023) [1] [V].</w:t>
      </w:r>
      <w:r>
        <w:t xml:space="preserve"> </w:t>
      </w:r>
      <w:r>
        <w:t xml:space="preserve">#### 3.3 Régulation et gouvernance</w:t>
      </w:r>
    </w:p>
    <w:p>
      <w:pPr>
        <w:numPr>
          <w:ilvl w:val="0"/>
          <w:numId w:val="1519"/>
        </w:numPr>
        <w:pStyle w:val="Compact"/>
      </w:pPr>
      <w:r>
        <w:t xml:space="preserve">CDMU sous le MEMD, avec représentation du Bureau du Premier ministre ; rapports trimestriels publics, revue annuelle, tableau de bord numérique [1] [V].</w:t>
      </w:r>
    </w:p>
    <w:p>
      <w:pPr>
        <w:numPr>
          <w:ilvl w:val="0"/>
          <w:numId w:val="1519"/>
        </w:numPr>
        <w:pStyle w:val="Compact"/>
      </w:pPr>
      <w:r>
        <w:t xml:space="preserve">Consolidation éventuelle des entreprises publiques en holding unique (ERA restant indépendante) [1] [V].</w:t>
      </w:r>
      <w:r>
        <w:t xml:space="preserve"> </w:t>
      </w:r>
      <w:r>
        <w:t xml:space="preserve">#### 3.4 Participation du privé</w:t>
      </w:r>
    </w:p>
    <w:p>
      <w:pPr>
        <w:numPr>
          <w:ilvl w:val="0"/>
          <w:numId w:val="1519"/>
        </w:numPr>
        <w:pStyle w:val="Compact"/>
      </w:pPr>
      <w:r>
        <w:rPr>
          <w:bCs/>
          <w:b/>
        </w:rPr>
        <w:t xml:space="preserve">Calendrier d’enchères glissant sur 5 ans</w:t>
      </w:r>
      <w:r>
        <w:t xml:space="preserve"> </w:t>
      </w:r>
      <w:r>
        <w:t xml:space="preserve">(T3 2026) : 1er tour 400 MW solaire + 200 MW petite hydro ; 2e tour (T4 2027) 300 MW géothermie [1] [V].</w:t>
      </w:r>
    </w:p>
    <w:p>
      <w:pPr>
        <w:numPr>
          <w:ilvl w:val="0"/>
          <w:numId w:val="1519"/>
        </w:numPr>
        <w:pStyle w:val="Compact"/>
      </w:pPr>
      <w:r>
        <w:rPr>
          <w:bCs/>
          <w:b/>
        </w:rPr>
        <w:t xml:space="preserve">Transport indépendant (IPT)</w:t>
      </w:r>
      <w:r>
        <w:t xml:space="preserve"> </w:t>
      </w:r>
      <w:r>
        <w:t xml:space="preserve">: projet</w:t>
      </w:r>
      <w:r>
        <w:t xml:space="preserve"> </w:t>
      </w:r>
      <w:r>
        <w:rPr>
          <w:bCs/>
          <w:b/>
        </w:rPr>
        <w:t xml:space="preserve">Amari</w:t>
      </w:r>
      <w:r>
        <w:t xml:space="preserve"> </w:t>
      </w:r>
      <w:r>
        <w:t xml:space="preserve">(Gridworks, EPC Siemens Energy) au</w:t>
      </w:r>
      <w:r>
        <w:t xml:space="preserve"> </w:t>
      </w:r>
      <w:r>
        <w:rPr>
          <w:bCs/>
          <w:b/>
        </w:rPr>
        <w:t xml:space="preserve">bouclage financier en mars 2026</w:t>
      </w:r>
      <w:r>
        <w:t xml:space="preserve">, « premier IPT d’Afrique » selon le pacte ; règles de licence IPT (T4 2026) ; 2e appel d’offres IPT (T2 2027) [1] [V]. (Ailleurs le texte dit Amari « attendu en construction en 2026 ».)</w:t>
      </w:r>
    </w:p>
    <w:p>
      <w:pPr>
        <w:numPr>
          <w:ilvl w:val="0"/>
          <w:numId w:val="1519"/>
        </w:numPr>
        <w:pStyle w:val="Compact"/>
      </w:pPr>
      <w:r>
        <w:t xml:space="preserve">Pipeline licencié de 324,6 MW (31 projets) au bouclage d’ici T4 2027 [1] [V].</w:t>
      </w:r>
    </w:p>
    <w:p>
      <w:pPr>
        <w:numPr>
          <w:ilvl w:val="0"/>
          <w:numId w:val="1519"/>
        </w:numPr>
        <w:pStyle w:val="Compact"/>
      </w:pPr>
      <w:r>
        <w:rPr>
          <w:bCs/>
          <w:b/>
        </w:rPr>
        <w:t xml:space="preserve">Green Energy Facility and Guarantee Fund</w:t>
      </w:r>
      <w:r>
        <w:t xml:space="preserve"> </w:t>
      </w:r>
      <w:r>
        <w:t xml:space="preserve">(UECCC) : 300 M USD (2027) → 800 M USD (2030) ; paquet de gestion du change (MIGA, BAD monnaie locale, TCX, indexation des nouveaux PPA) T4 2027 ; article 6 et obligations vertes [1] [V].</w:t>
      </w:r>
    </w:p>
    <w:p>
      <w:pPr>
        <w:numPr>
          <w:ilvl w:val="0"/>
          <w:numId w:val="1519"/>
        </w:numPr>
        <w:pStyle w:val="Compact"/>
      </w:pPr>
      <w:r>
        <w:t xml:space="preserve">Révision du cadre de concession des mini-réseaux, règles de compensation à l’arrivée du réseau, architecture tarifaire mini-réseaux (2027) [1] [V].</w:t>
      </w:r>
      <w:r>
        <w:t xml:space="preserve"> </w:t>
      </w:r>
      <w:r>
        <w:t xml:space="preserve">#### 3.5 Intégration régionale</w:t>
      </w:r>
    </w:p>
    <w:p>
      <w:pPr>
        <w:numPr>
          <w:ilvl w:val="0"/>
          <w:numId w:val="1519"/>
        </w:numPr>
        <w:pStyle w:val="Compact"/>
      </w:pPr>
      <w:r>
        <w:t xml:space="preserve">Quatre corridors : Tororo–Lessos 400 kV (Kenya, achevé), Olwiyo–Bibia–Juba 400 kV (Soudan du Sud, 2028/29 ; BAD 155 M USD + UE 27 M USD), Masaka–Mutukula–Mwanza 220 kV (Tanzanie, 2029, 255 M USD), Nkenda–Beni–Butembo–Bunia 220 kV (RDC, 2030) [1] [V].</w:t>
      </w:r>
    </w:p>
    <w:p>
      <w:pPr>
        <w:numPr>
          <w:ilvl w:val="0"/>
          <w:numId w:val="1519"/>
        </w:numPr>
        <w:pStyle w:val="Compact"/>
      </w:pPr>
      <w:r>
        <w:t xml:space="preserve">Participation au marché day-ahead de l’EAPP dès son lancement (2027) ; siège du secrétariat de l’IRB à Kampala ; PPA transfrontaliers standardisés (T2 2027) [1] [V].</w:t>
      </w:r>
      <w:r>
        <w:t xml:space="preserve"> </w:t>
      </w:r>
      <w:r>
        <w:t xml:space="preserve">#### 3.6 Autres</w:t>
      </w:r>
    </w:p>
    <w:p>
      <w:pPr>
        <w:numPr>
          <w:ilvl w:val="0"/>
          <w:numId w:val="1519"/>
        </w:numPr>
        <w:pStyle w:val="Compact"/>
      </w:pPr>
      <w:r>
        <w:t xml:space="preserve">Gaz associé du lac Albert pour le GPL (décision du Conseil des ministres T4 2026) ; conformité au règlement européen sur la déforestation (EUDR) ; transition juste [1] [V].</w:t>
      </w:r>
    </w:p>
    <w:bookmarkEnd w:id="529"/>
    <w:bookmarkEnd w:id="530"/>
    <w:bookmarkStart w:id="531" w:name="financement-33"/>
    <w:p>
      <w:pPr>
        <w:pStyle w:val="Heading3"/>
      </w:pPr>
      <w:r>
        <w:t xml:space="preserve">4. Financement</w:t>
      </w:r>
    </w:p>
    <w:p>
      <w:pPr>
        <w:numPr>
          <w:ilvl w:val="0"/>
          <w:numId w:val="1520"/>
        </w:numPr>
        <w:pStyle w:val="Compact"/>
      </w:pPr>
      <w:r>
        <w:rPr>
          <w:bCs/>
          <w:b/>
        </w:rPr>
        <w:t xml:space="preserve">Besoin 2026-2030 (indicatif)</w:t>
      </w:r>
      <w:r>
        <w:t xml:space="preserve"> </w:t>
      </w:r>
      <w:r>
        <w:t xml:space="preserve">:</w:t>
      </w:r>
      <w:r>
        <w:t xml:space="preserve"> </w:t>
      </w:r>
      <w:r>
        <w:rPr>
          <w:bCs/>
          <w:b/>
        </w:rPr>
        <w:t xml:space="preserve">17 700 M USD</w:t>
      </w:r>
      <w:r>
        <w:t xml:space="preserve"> </w:t>
      </w:r>
      <w:r>
        <w:t xml:space="preserve">— public 8 800 M, privé 8 900 M [1] [V]. Production 9 770 (dont Cat. A ≈ 860 M, Cat. B ≈ 8 920 M) ; transport 2 450 ; distribution 2 150 ; hors réseau 1 550 ; cuisson propre 1 450 ; réforme et capacités 330 (M USD) [1] [V].</w:t>
      </w:r>
    </w:p>
    <w:p>
      <w:pPr>
        <w:numPr>
          <w:ilvl w:val="0"/>
          <w:numId w:val="1520"/>
        </w:numPr>
        <w:pStyle w:val="Compact"/>
      </w:pPr>
      <w:r>
        <w:t xml:space="preserve">Note : le plan de financement donne 8,9 Md USD privés, la cible de capitaux privés 9,44 Md USD — écart non expliqué [E].</w:t>
      </w:r>
    </w:p>
    <w:p>
      <w:pPr>
        <w:numPr>
          <w:ilvl w:val="0"/>
          <w:numId w:val="1520"/>
        </w:numPr>
        <w:pStyle w:val="Compact"/>
      </w:pPr>
      <w:r>
        <w:rPr>
          <w:bCs/>
          <w:b/>
        </w:rPr>
        <w:t xml:space="preserve">Partenaires cités</w:t>
      </w:r>
      <w:r>
        <w:t xml:space="preserve"> </w:t>
      </w:r>
      <w:r>
        <w:t xml:space="preserve">: BM — Electricity Access Scale-Up Project (</w:t>
      </w:r>
      <w:r>
        <w:rPr>
          <w:bCs/>
          <w:b/>
        </w:rPr>
        <w:t xml:space="preserve">EASP, 638 M USD</w:t>
      </w:r>
      <w:r>
        <w:t xml:space="preserve">) ; BAD — Olwiyo–Juba (155 M USD) ; GET FiT (KfW, UE, Norvège, Royaume-Uni, Allemagne) ; CCAF capitalisée via ASCENT, BAD, GCF, BM, Total, Shell [1] [V].</w:t>
      </w:r>
    </w:p>
    <w:bookmarkEnd w:id="531"/>
    <w:bookmarkStart w:id="532" w:name="calendrier-et-suivi-33"/>
    <w:p>
      <w:pPr>
        <w:pStyle w:val="Heading3"/>
      </w:pPr>
      <w:r>
        <w:t xml:space="preserve">5. Calendrier et suivi</w:t>
      </w:r>
    </w:p>
    <w:p>
      <w:pPr>
        <w:numPr>
          <w:ilvl w:val="0"/>
          <w:numId w:val="1521"/>
        </w:numPr>
        <w:pStyle w:val="Compact"/>
      </w:pPr>
      <w:r>
        <w:t xml:space="preserve">Jalons trimestriels T2 2026 → 2030 (voir §3) [1] [V]. Pas encore de rapport d’avancement publié [2] [V].</w:t>
      </w:r>
    </w:p>
    <w:bookmarkEnd w:id="532"/>
    <w:bookmarkStart w:id="533" w:name="lecture-critique-26"/>
    <w:p>
      <w:pPr>
        <w:pStyle w:val="Heading3"/>
      </w:pPr>
      <w:r>
        <w:t xml:space="preserve">6. Lecture critique</w:t>
      </w:r>
    </w:p>
    <w:p>
      <w:pPr>
        <w:numPr>
          <w:ilvl w:val="0"/>
          <w:numId w:val="1522"/>
        </w:numPr>
        <w:pStyle w:val="Compact"/>
      </w:pPr>
      <w:r>
        <w:rPr>
          <w:bCs/>
          <w:b/>
        </w:rPr>
        <w:t xml:space="preserve">Réalisme</w:t>
      </w:r>
      <w:r>
        <w:t xml:space="preserve"> </w:t>
      </w:r>
      <w:r>
        <w:t xml:space="preserve">: la cible d’accès (85 %, ancre 82 %) suppose ≈ 4,4 points/an vs 3,3 historiques — ambitieux mais plausible [1] [E]. En revanche, l’affichage « 8,3 GW d’ici 2030 » est trompeur : seuls ≈ 2,5 GW seront opérationnels ; la taxonomie A/B permet d’annoncer de grands chiffres de capacité et de capitaux privés (9,4 Md USD) qui relèvent largement de bouclages financiers post-2030 [E].</w:t>
      </w:r>
    </w:p>
    <w:p>
      <w:pPr>
        <w:numPr>
          <w:ilvl w:val="0"/>
          <w:numId w:val="1522"/>
        </w:numPr>
        <w:pStyle w:val="Compact"/>
      </w:pPr>
      <w:r>
        <w:rPr>
          <w:bCs/>
          <w:b/>
        </w:rPr>
        <w:t xml:space="preserve">Tarifs</w:t>
      </w:r>
      <w:r>
        <w:t xml:space="preserve"> </w:t>
      </w:r>
      <w:r>
        <w:t xml:space="preserve">: engagements</w:t>
      </w:r>
      <w:r>
        <w:t xml:space="preserve"> </w:t>
      </w:r>
      <w:r>
        <w:rPr>
          <w:bCs/>
          <w:b/>
        </w:rPr>
        <w:t xml:space="preserve">précis et datés</w:t>
      </w:r>
      <w:r>
        <w:t xml:space="preserve"> </w:t>
      </w:r>
      <w:r>
        <w:t xml:space="preserve">(CoS juin 2026, ordonnance pluriannuelle T4 2026 avec indexation automatique, lifeline 2027, ring-fencing des subventions, apurement des arriérés). Mais</w:t>
      </w:r>
      <w:r>
        <w:t xml:space="preserve"> </w:t>
      </w:r>
      <w:r>
        <w:rPr>
          <w:bCs/>
          <w:b/>
        </w:rPr>
        <w:t xml:space="preserve">aucune donnée de départ</w:t>
      </w:r>
      <w:r>
        <w:t xml:space="preserve"> </w:t>
      </w:r>
      <w:r>
        <w:t xml:space="preserve">(tarif moyen, couverture, subventions) n’est fournie : impossible de juger l’ampleur de l’ajustement [E]. L’indexation automatique au change transfère le risque PPA en USD aux consommateurs [E].</w:t>
      </w:r>
    </w:p>
    <w:p>
      <w:pPr>
        <w:numPr>
          <w:ilvl w:val="0"/>
          <w:numId w:val="1522"/>
        </w:numPr>
        <w:pStyle w:val="Compact"/>
      </w:pPr>
      <w:r>
        <w:rPr>
          <w:bCs/>
          <w:b/>
        </w:rPr>
        <w:t xml:space="preserve">Opérateur</w:t>
      </w:r>
      <w:r>
        <w:t xml:space="preserve"> </w:t>
      </w:r>
      <w:r>
        <w:t xml:space="preserve">: risque majeur de la reprise publique de la distribution (UMEME → UEDCL) : pertes en hausse (18,2 %) au moment de la transition ; enjeu de maintien du recouvrement ≈ 99 % [E].</w:t>
      </w:r>
    </w:p>
    <w:p>
      <w:pPr>
        <w:numPr>
          <w:ilvl w:val="0"/>
          <w:numId w:val="1522"/>
        </w:numPr>
        <w:pStyle w:val="Compact"/>
      </w:pPr>
      <w:r>
        <w:rPr>
          <w:bCs/>
          <w:b/>
        </w:rPr>
        <w:t xml:space="preserve">Risques</w:t>
      </w:r>
      <w:r>
        <w:t xml:space="preserve"> </w:t>
      </w:r>
      <w:r>
        <w:t xml:space="preserve">: sous-utilisation de Karuma ; le pacte cite lui-même le risque de paiements d’« énergie réputée » (deemed energy) si la production devance la demande, surcapacité nominale vs capacité ferme, change, dépendance aux exportations pour monétiser le surplus [E].</w:t>
      </w:r>
    </w:p>
    <w:p>
      <w:pPr>
        <w:numPr>
          <w:ilvl w:val="0"/>
          <w:numId w:val="1522"/>
        </w:numPr>
        <w:pStyle w:val="Compact"/>
      </w:pPr>
      <w:r>
        <w:rPr>
          <w:bCs/>
          <w:b/>
        </w:rPr>
        <w:t xml:space="preserve">Phase 2</w:t>
      </w:r>
      <w:r>
        <w:t xml:space="preserve"> </w:t>
      </w:r>
      <w:r>
        <w:t xml:space="preserve">: comptes UEDCL post-reprise, arriérés de l’État, coût des PPA.</w:t>
      </w:r>
      <w:r>
        <w:t xml:space="preserve"> </w:t>
      </w:r>
      <w:r>
        <w:rPr>
          <w:bCs/>
          <w:b/>
        </w:rPr>
        <w:t xml:space="preserve">Phase 3</w:t>
      </w:r>
      <w:r>
        <w:t xml:space="preserve"> </w:t>
      </w:r>
      <w:r>
        <w:t xml:space="preserve">: résultats de l’étude CoS 2026, ordonnance tarifaire T4 2026, bloc social 2027.</w:t>
      </w:r>
    </w:p>
    <w:bookmarkEnd w:id="533"/>
    <w:bookmarkStart w:id="534" w:name="inconnus-données-non-trouvées-33"/>
    <w:p>
      <w:pPr>
        <w:pStyle w:val="Heading3"/>
      </w:pPr>
      <w:r>
        <w:t xml:space="preserve">7. Inconnus / données non trouvées</w:t>
      </w:r>
    </w:p>
    <w:p>
      <w:pPr>
        <w:numPr>
          <w:ilvl w:val="0"/>
          <w:numId w:val="1523"/>
        </w:numPr>
        <w:pStyle w:val="Compact"/>
      </w:pPr>
      <w:r>
        <w:t xml:space="preserve">Tarif moyen de détail, taux de couverture des coûts, montant des subventions [?] (annexe vide).</w:t>
      </w:r>
    </w:p>
    <w:p>
      <w:pPr>
        <w:numPr>
          <w:ilvl w:val="0"/>
          <w:numId w:val="1523"/>
        </w:numPr>
        <w:pStyle w:val="Compact"/>
      </w:pPr>
      <w:r>
        <w:t xml:space="preserve">Niveau des arriérés de l’État [?].</w:t>
      </w:r>
    </w:p>
    <w:p>
      <w:pPr>
        <w:numPr>
          <w:ilvl w:val="0"/>
          <w:numId w:val="1523"/>
        </w:numPr>
        <w:pStyle w:val="Compact"/>
      </w:pPr>
      <w:r>
        <w:t xml:space="preserve">Signataire du pacte [?].</w:t>
      </w:r>
    </w:p>
    <w:p>
      <w:pPr>
        <w:numPr>
          <w:ilvl w:val="0"/>
          <w:numId w:val="1523"/>
        </w:numPr>
        <w:pStyle w:val="Compact"/>
      </w:pPr>
      <w:r>
        <w:t xml:space="preserve">Montants BM/BAD au-delà de l’EASP et d’Olwiyo–Juba [?].</w:t>
      </w:r>
    </w:p>
    <w:bookmarkEnd w:id="534"/>
    <w:bookmarkStart w:id="535" w:name="sources-34"/>
    <w:p>
      <w:pPr>
        <w:pStyle w:val="Heading3"/>
      </w:pPr>
      <w:r>
        <w:t xml:space="preserve">Sources</w:t>
      </w:r>
    </w:p>
    <w:p>
      <w:pPr>
        <w:pStyle w:val="FirstParagraph"/>
      </w:pPr>
      <w:r>
        <w:t xml:space="preserve">[1] Gouvernement de la République d’Ouganda,</w:t>
      </w:r>
      <w:r>
        <w:t xml:space="preserve"> </w:t>
      </w:r>
      <w:r>
        <w:rPr>
          <w:iCs/>
          <w:i/>
        </w:rPr>
        <w:t xml:space="preserve">National Energy Compact for the Republic of Uganda</w:t>
      </w:r>
      <w:r>
        <w:t xml:space="preserve">, Mission 300, juin 2026. https://www.worldbank.org/content/dam/theworldbankgroupasset/document/2026/m300-energy-compacts/Uganda-National-Energy-Compact-Mission-300.pdf (consulté le 18/10/2026)</w:t>
      </w:r>
      <w:r>
        <w:t xml:space="preserve"> </w:t>
      </w:r>
      <w:r>
        <w:t xml:space="preserve">[2] Banque mondiale, page « National Energy Compacts ». https://www.worldbank.org/ext/en/energizingafrica/national-energy-compacts (consultée le 18/10/2026)</w:t>
      </w:r>
      <w:r>
        <w:t xml:space="preserve"> </w:t>
      </w:r>
      <w:r>
        <w:t xml:space="preserve">[3] Banque mondiale, communiqué du 16/06/2026. https://www.worldbank.org/en/news/press-release/2026/06/16/under-mission-300-a-new-way-of-doing-business-connects-over-50-million-people-to-electricity-across-africa</w:t>
      </w:r>
      <w:r>
        <w:t xml:space="preserve"> </w:t>
      </w:r>
      <w:r>
        <w:t xml:space="preserve">[4] Energy News Network (ENN Editorial Team), « Mission 300’s map fills in with six new compacts », 09/07/2026. https://energy-news-network.com/?p=17200</w:t>
      </w:r>
    </w:p>
    <w:p>
      <w:r>
        <w:br w:type="page"/>
      </w:r>
    </w:p>
    <w:bookmarkEnd w:id="535"/>
    <w:bookmarkEnd w:id="536"/>
    <w:bookmarkStart w:id="547" w:name="fiche-pacte-national-de-lénergie-zambie"/>
    <w:p>
      <w:pPr>
        <w:pStyle w:val="Heading2"/>
      </w:pPr>
      <w:r>
        <w:t xml:space="preserve">Fiche pacte national de l’énergie — Zambie</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p>
    <w:bookmarkStart w:id="537" w:name="métadonnées-34"/>
    <w:p>
      <w:pPr>
        <w:pStyle w:val="Heading3"/>
      </w:pPr>
      <w:r>
        <w:t xml:space="preserve">0. Métadonnées</w:t>
      </w:r>
    </w:p>
    <w:p>
      <w:pPr>
        <w:numPr>
          <w:ilvl w:val="0"/>
          <w:numId w:val="1524"/>
        </w:numPr>
        <w:pStyle w:val="Compact"/>
      </w:pPr>
      <w:r>
        <w:t xml:space="preserve">Cohorte / date de présentation : 1re cohorte (sommet Mission 300 de janvier 2025 en Tanzanie ; Dar es Salaam [E], lieu non nommé dans le pacte). Le pacte indique sa « signature en janvier 2025 en Tanzanie » et la déclaration présidentielle est datée « January 2025 » [1] [V]. La page Banque mondiale le date « Jan 2025 » [2] [V].</w:t>
      </w:r>
    </w:p>
    <w:p>
      <w:pPr>
        <w:numPr>
          <w:ilvl w:val="0"/>
          <w:numId w:val="1524"/>
        </w:numPr>
        <w:pStyle w:val="Compact"/>
      </w:pPr>
      <w:r>
        <w:t xml:space="preserve">Document consulté : « National Energy Compact for Zambia » (#PoweringAfrica), 40 pages, anglais, PDF hébergé par la Banque mondiale : https://www.worldbank.org/content/dam/theworldbankgroupasset/document/2026/m300-energy-compacts/Zambia-M300-AES-Compact.pdf [1]. Déclaration d’engagement signée par le président Hakainde Hichilema [1] [V].</w:t>
      </w:r>
    </w:p>
    <w:p>
      <w:pPr>
        <w:numPr>
          <w:ilvl w:val="0"/>
          <w:numId w:val="1524"/>
        </w:numPr>
        <w:pStyle w:val="Compact"/>
      </w:pPr>
      <w:r>
        <w:t xml:space="preserve">Accès au texte intégral :</w:t>
      </w:r>
      <w:r>
        <w:t xml:space="preserve"> </w:t>
      </w:r>
      <w:r>
        <w:rPr>
          <w:bCs/>
          <w:b/>
        </w:rPr>
        <w:t xml:space="preserve">oui</w:t>
      </w:r>
      <w:r>
        <w:t xml:space="preserve"> </w:t>
      </w:r>
      <w:r>
        <w:t xml:space="preserve">(PDF complet, texte extrait avec pdftotext). Aucun rapport d’avancement publié sur la page Banque mondiale à la date de consultation (oct. 2026) [2] [V].</w:t>
      </w:r>
    </w:p>
    <w:p>
      <w:pPr>
        <w:numPr>
          <w:ilvl w:val="0"/>
          <w:numId w:val="1524"/>
        </w:numPr>
        <w:pStyle w:val="Compact"/>
      </w:pPr>
      <w:r>
        <w:t xml:space="preserve">Opérateur(s) national(aux) d’électricité : ZESCO Limited (utilité verticalement intégrée, publique) ; opérateurs privés de distribution cités : North Western Power Company, Copperbelt Energy Corporation (CEC) [1] [V]. Agence : Rural Electrification Authority (REA) [1] [V].</w:t>
      </w:r>
    </w:p>
    <w:p>
      <w:pPr>
        <w:numPr>
          <w:ilvl w:val="0"/>
          <w:numId w:val="1524"/>
        </w:numPr>
        <w:pStyle w:val="Compact"/>
      </w:pPr>
      <w:r>
        <w:t xml:space="preserve">Régulateur : Energy Regulation Board (ERB) [1] [V].</w:t>
      </w:r>
    </w:p>
    <w:bookmarkEnd w:id="537"/>
    <w:bookmarkStart w:id="538" w:name="situation-de-départ-selon-le-pacte-34"/>
    <w:p>
      <w:pPr>
        <w:pStyle w:val="Heading3"/>
      </w:pPr>
      <w:r>
        <w:t xml:space="preserve">1. Situation de départ (selon le pacte)</w:t>
      </w:r>
    </w:p>
    <w:p>
      <w:pPr>
        <w:numPr>
          <w:ilvl w:val="0"/>
          <w:numId w:val="1525"/>
        </w:numPr>
        <w:pStyle w:val="Compact"/>
      </w:pPr>
      <w:r>
        <w:t xml:space="preserve">Taux d’accès national / urbain / rural :</w:t>
      </w:r>
      <w:r>
        <w:t xml:space="preserve"> </w:t>
      </w:r>
      <w:r>
        <w:rPr>
          <w:bCs/>
          <w:b/>
        </w:rPr>
        <w:t xml:space="preserve">53,6 %</w:t>
      </w:r>
      <w:r>
        <w:t xml:space="preserve"> </w:t>
      </w:r>
      <w:r>
        <w:t xml:space="preserve">national, 80,3 % urbain, 34,9 % rural (source citée : National Energy Access Survey 2023) [1] [V].</w:t>
      </w:r>
      <w:r>
        <w:t xml:space="preserve"> </w:t>
      </w:r>
      <w:r>
        <w:rPr>
          <w:bCs/>
          <w:b/>
        </w:rPr>
        <w:t xml:space="preserve">Incohérence interne</w:t>
      </w:r>
      <w:r>
        <w:t xml:space="preserve"> </w:t>
      </w:r>
      <w:r>
        <w:t xml:space="preserve">: la déclaration présidentielle et l’annexe II citent</w:t>
      </w:r>
      <w:r>
        <w:t xml:space="preserve"> </w:t>
      </w:r>
      <w:r>
        <w:rPr>
          <w:bCs/>
          <w:b/>
        </w:rPr>
        <w:t xml:space="preserve">47,8 % (2022)</w:t>
      </w:r>
      <w:r>
        <w:t xml:space="preserve"> </w:t>
      </w:r>
      <w:r>
        <w:t xml:space="preserve">[1] [V]. Le pacte indique aussi que seuls 5,6 % des ménages ruraux sont raccordés au réseau national et 16,6 % des ménages ruraux (683 225) disposent d’un système solaire domestique (SHS) [1] [V].</w:t>
      </w:r>
    </w:p>
    <w:p>
      <w:pPr>
        <w:numPr>
          <w:ilvl w:val="0"/>
          <w:numId w:val="1525"/>
        </w:numPr>
        <w:pStyle w:val="Compact"/>
      </w:pPr>
      <w:r>
        <w:t xml:space="preserve">Population sans accès : « environ la moitié de la population » [1] [V] ; pas de chiffre absolu. La cible évoque « 26 millions de personnes supplémentaires » d’ici 2030, soit la population projetée totale de 2030 (26 M) [1] [V] — formulation ambiguë (voir §6).</w:t>
      </w:r>
    </w:p>
    <w:p>
      <w:pPr>
        <w:numPr>
          <w:ilvl w:val="0"/>
          <w:numId w:val="1525"/>
        </w:numPr>
        <w:pStyle w:val="Compact"/>
      </w:pPr>
      <w:r>
        <w:t xml:space="preserve">Capacité installée, mix :</w:t>
      </w:r>
      <w:r>
        <w:t xml:space="preserve"> </w:t>
      </w:r>
      <w:r>
        <w:rPr>
          <w:bCs/>
          <w:b/>
        </w:rPr>
        <w:t xml:space="preserve">3 811,3 MW</w:t>
      </w:r>
      <w:r>
        <w:t xml:space="preserve"> </w:t>
      </w:r>
      <w:r>
        <w:t xml:space="preserve">(réseau + hors réseau) dont hydro 3 164 MW (83 %), charbon 300 MW (9 %), diesel 85 MW (2 %), solaire 122 MW (3 %), fioul lourd 110 MW (3 %) (source citée : ERB Energy Sector Report 2023) [1] [V]. Pointe ≈ 2 500 MW ; production effective tombée à</w:t>
      </w:r>
      <w:r>
        <w:t xml:space="preserve"> </w:t>
      </w:r>
      <w:r>
        <w:rPr>
          <w:bCs/>
          <w:b/>
        </w:rPr>
        <w:t xml:space="preserve">1 019 MW en août 2024</w:t>
      </w:r>
      <w:r>
        <w:t xml:space="preserve"> </w:t>
      </w:r>
      <w:r>
        <w:t xml:space="preserve">(sécheresse) ; déficit estimé à</w:t>
      </w:r>
      <w:r>
        <w:t xml:space="preserve"> </w:t>
      </w:r>
      <w:r>
        <w:rPr>
          <w:bCs/>
          <w:b/>
        </w:rPr>
        <w:t xml:space="preserve">1 500 MW</w:t>
      </w:r>
      <w:r>
        <w:t xml:space="preserve"> </w:t>
      </w:r>
      <w:r>
        <w:t xml:space="preserve">[1] [V]. Délestages : 3 à 7 heures/jour (annexe II) [1] [V].</w:t>
      </w:r>
    </w:p>
    <w:p>
      <w:pPr>
        <w:numPr>
          <w:ilvl w:val="0"/>
          <w:numId w:val="1525"/>
        </w:numPr>
        <w:pStyle w:val="Compact"/>
      </w:pPr>
      <w:r>
        <w:t xml:space="preserve">Accès à la cuisson propre :</w:t>
      </w:r>
      <w:r>
        <w:t xml:space="preserve"> </w:t>
      </w:r>
      <w:r>
        <w:rPr>
          <w:bCs/>
          <w:b/>
        </w:rPr>
        <w:t xml:space="preserve">8,9 %</w:t>
      </w:r>
      <w:r>
        <w:t xml:space="preserve"> </w:t>
      </w:r>
      <w:r>
        <w:t xml:space="preserve">des ménages (LCMS 2022 : bois 51,4 %, charbon de bois 39,2 %) [1] [V] ; le même document cite aussi</w:t>
      </w:r>
      <w:r>
        <w:t xml:space="preserve"> </w:t>
      </w:r>
      <w:r>
        <w:rPr>
          <w:bCs/>
          <w:b/>
        </w:rPr>
        <w:t xml:space="preserve">16,2 %</w:t>
      </w:r>
      <w:r>
        <w:t xml:space="preserve"> </w:t>
      </w:r>
      <w:r>
        <w:t xml:space="preserve">(NEAS 2023 : électricité 15,8 %, GPL 0,3 %, éthanol 0,1 %) [1] [V] — deux bases coexistent, la cible est calculée sur 8,9 %.</w:t>
      </w:r>
    </w:p>
    <w:bookmarkEnd w:id="538"/>
    <w:bookmarkStart w:id="539" w:name="cibles-2030-33"/>
    <w:p>
      <w:pPr>
        <w:pStyle w:val="Heading3"/>
      </w:pPr>
      <w:r>
        <w:t xml:space="preserve">2. Cibles 2030</w:t>
      </w:r>
    </w:p>
    <w:p>
      <w:pPr>
        <w:numPr>
          <w:ilvl w:val="0"/>
          <w:numId w:val="1526"/>
        </w:numPr>
        <w:pStyle w:val="Compact"/>
      </w:pPr>
      <w:r>
        <w:t xml:space="preserve">Accès électricité :</w:t>
      </w:r>
      <w:r>
        <w:t xml:space="preserve"> </w:t>
      </w:r>
      <w:r>
        <w:rPr>
          <w:bCs/>
          <w:b/>
        </w:rPr>
        <w:t xml:space="preserve">100 %</w:t>
      </w:r>
      <w:r>
        <w:t xml:space="preserve"> </w:t>
      </w:r>
      <w:r>
        <w:t xml:space="preserve">en 2030 [1] [V].</w:t>
      </w:r>
    </w:p>
    <w:p>
      <w:pPr>
        <w:numPr>
          <w:ilvl w:val="1"/>
          <w:numId w:val="1527"/>
        </w:numPr>
        <w:pStyle w:val="Compact"/>
      </w:pPr>
      <w:r>
        <w:t xml:space="preserve">Réseau : passer de 60 000 raccordements/an (rythme 2017-2021) à</w:t>
      </w:r>
      <w:r>
        <w:t xml:space="preserve"> </w:t>
      </w:r>
      <w:r>
        <w:rPr>
          <w:bCs/>
          <w:b/>
        </w:rPr>
        <w:t xml:space="preserve">&gt; 120 000/an</w:t>
      </w:r>
      <w:r>
        <w:t xml:space="preserve">, soit</w:t>
      </w:r>
      <w:r>
        <w:t xml:space="preserve"> </w:t>
      </w:r>
      <w:r>
        <w:rPr>
          <w:bCs/>
          <w:b/>
        </w:rPr>
        <w:t xml:space="preserve">1 459 560</w:t>
      </w:r>
      <w:r>
        <w:t xml:space="preserve"> </w:t>
      </w:r>
      <w:r>
        <w:t xml:space="preserve">raccordements supplémentaires d’ici 2030 [1] [V].</w:t>
      </w:r>
    </w:p>
    <w:p>
      <w:pPr>
        <w:numPr>
          <w:ilvl w:val="1"/>
          <w:numId w:val="1527"/>
        </w:numPr>
        <w:pStyle w:val="Compact"/>
      </w:pPr>
      <w:r>
        <w:t xml:space="preserve">Hors réseau (mini-réseaux + SHS) :</w:t>
      </w:r>
      <w:r>
        <w:t xml:space="preserve"> </w:t>
      </w:r>
      <w:r>
        <w:rPr>
          <w:bCs/>
          <w:b/>
        </w:rPr>
        <w:t xml:space="preserve">≥ 294 719 raccordements/an</w:t>
      </w:r>
      <w:r>
        <w:t xml:space="preserve">, soit</w:t>
      </w:r>
      <w:r>
        <w:t xml:space="preserve"> </w:t>
      </w:r>
      <w:r>
        <w:rPr>
          <w:bCs/>
          <w:b/>
        </w:rPr>
        <w:t xml:space="preserve">1 768 311 ménages</w:t>
      </w:r>
      <w:r>
        <w:t xml:space="preserve"> </w:t>
      </w:r>
      <w:r>
        <w:t xml:space="preserve">supplémentaires d’ici 2030 (base : REMP actualisé 2024-2030) [1] [V]. Le plan géospatial de moindre coût estime que jusqu’à</w:t>
      </w:r>
      <w:r>
        <w:t xml:space="preserve"> </w:t>
      </w:r>
      <w:r>
        <w:rPr>
          <w:bCs/>
          <w:b/>
        </w:rPr>
        <w:t xml:space="preserve">72 %</w:t>
      </w:r>
      <w:r>
        <w:t xml:space="preserve"> </w:t>
      </w:r>
      <w:r>
        <w:t xml:space="preserve">de la population pourrait être desservie hors réseau [1] [V].</w:t>
      </w:r>
    </w:p>
    <w:p>
      <w:pPr>
        <w:numPr>
          <w:ilvl w:val="0"/>
          <w:numId w:val="1526"/>
        </w:numPr>
        <w:pStyle w:val="Compact"/>
      </w:pPr>
      <w:r>
        <w:t xml:space="preserve">Part des renouvelables : non-hydro de</w:t>
      </w:r>
      <w:r>
        <w:t xml:space="preserve"> </w:t>
      </w:r>
      <w:r>
        <w:rPr>
          <w:bCs/>
          <w:b/>
        </w:rPr>
        <w:t xml:space="preserve">3 % (182 MW) à 33 %</w:t>
      </w:r>
      <w:r>
        <w:t xml:space="preserve"> </w:t>
      </w:r>
      <w:r>
        <w:t xml:space="preserve">en 2030 (géothermie 0→30 MW, biomasse 0→321 MW, solaire PV 123→2 083 MW, éolien 0→1 192 MW, selon l’IRP) ; 56 % en 2050 [1] [V]. Capacité renouvelable totale de 3 336 MW à</w:t>
      </w:r>
      <w:r>
        <w:t xml:space="preserve"> </w:t>
      </w:r>
      <w:r>
        <w:rPr>
          <w:bCs/>
          <w:b/>
        </w:rPr>
        <w:t xml:space="preserve">9 000 MW</w:t>
      </w:r>
      <w:r>
        <w:t xml:space="preserve"> </w:t>
      </w:r>
      <w:r>
        <w:t xml:space="preserve">[1] [V].</w:t>
      </w:r>
    </w:p>
    <w:p>
      <w:pPr>
        <w:numPr>
          <w:ilvl w:val="0"/>
          <w:numId w:val="1526"/>
        </w:numPr>
        <w:pStyle w:val="Compact"/>
      </w:pPr>
      <w:r>
        <w:t xml:space="preserve">Cuisson propre : de 8,9 % à</w:t>
      </w:r>
      <w:r>
        <w:t xml:space="preserve"> </w:t>
      </w:r>
      <w:r>
        <w:rPr>
          <w:bCs/>
          <w:b/>
        </w:rPr>
        <w:t xml:space="preserve">40 %</w:t>
      </w:r>
      <w:r>
        <w:t xml:space="preserve"> </w:t>
      </w:r>
      <w:r>
        <w:t xml:space="preserve">de la population en 2030 [1] [V].</w:t>
      </w:r>
    </w:p>
    <w:p>
      <w:pPr>
        <w:numPr>
          <w:ilvl w:val="0"/>
          <w:numId w:val="1526"/>
        </w:numPr>
        <w:pStyle w:val="Compact"/>
      </w:pPr>
      <w:r>
        <w:t xml:space="preserve">Autres cibles chiffrées :</w:t>
      </w:r>
    </w:p>
    <w:p>
      <w:pPr>
        <w:numPr>
          <w:ilvl w:val="1"/>
          <w:numId w:val="1528"/>
        </w:numPr>
        <w:pStyle w:val="Compact"/>
      </w:pPr>
      <w:r>
        <w:t xml:space="preserve">Capacité installée totale</w:t>
      </w:r>
      <w:r>
        <w:t xml:space="preserve"> </w:t>
      </w:r>
      <w:r>
        <w:rPr>
          <w:bCs/>
          <w:b/>
        </w:rPr>
        <w:t xml:space="preserve">10 000 MW</w:t>
      </w:r>
      <w:r>
        <w:t xml:space="preserve"> </w:t>
      </w:r>
      <w:r>
        <w:t xml:space="preserve">en 2030 ;</w:t>
      </w:r>
      <w:r>
        <w:t xml:space="preserve"> </w:t>
      </w:r>
      <w:r>
        <w:rPr>
          <w:bCs/>
          <w:b/>
        </w:rPr>
        <w:t xml:space="preserve">+6 200 MW</w:t>
      </w:r>
      <w:r>
        <w:t xml:space="preserve"> </w:t>
      </w:r>
      <w:r>
        <w:t xml:space="preserve">d’ici 2030 pour 7,2 Md US$, dont 90 % renouvelable [1] [V].</w:t>
      </w:r>
    </w:p>
    <w:p>
      <w:pPr>
        <w:numPr>
          <w:ilvl w:val="1"/>
          <w:numId w:val="1528"/>
        </w:numPr>
        <w:pStyle w:val="Compact"/>
      </w:pPr>
      <w:r>
        <w:rPr>
          <w:bCs/>
          <w:b/>
        </w:rPr>
        <w:t xml:space="preserve">3 000 MW de solaire</w:t>
      </w:r>
      <w:r>
        <w:t xml:space="preserve"> </w:t>
      </w:r>
      <w:r>
        <w:t xml:space="preserve">via procédure concurrentielle d’ici 2030 [1] [V] (non cohérent avec les 2 083 MW de PV de la note IRP — voir §6).</w:t>
      </w:r>
    </w:p>
    <w:p>
      <w:pPr>
        <w:numPr>
          <w:ilvl w:val="1"/>
          <w:numId w:val="1528"/>
        </w:numPr>
        <w:pStyle w:val="Compact"/>
      </w:pPr>
      <w:r>
        <w:t xml:space="preserve">Interconnexions : de 2 090 MW (3 lignes : Namibie, RDC, Zimbabwe) à</w:t>
      </w:r>
      <w:r>
        <w:t xml:space="preserve"> </w:t>
      </w:r>
      <w:r>
        <w:rPr>
          <w:bCs/>
          <w:b/>
        </w:rPr>
        <w:t xml:space="preserve">4 050 MW</w:t>
      </w:r>
      <w:r>
        <w:t xml:space="preserve"> </w:t>
      </w:r>
      <w:r>
        <w:t xml:space="preserve">en 2030 via 7 nouvelles interconnexions [1] [V].</w:t>
      </w:r>
    </w:p>
    <w:p>
      <w:pPr>
        <w:numPr>
          <w:ilvl w:val="1"/>
          <w:numId w:val="1528"/>
        </w:numPr>
        <w:pStyle w:val="Compact"/>
      </w:pPr>
      <w:r>
        <w:t xml:space="preserve">Transport : de 12 705 km (2023) à 17 913 km (2030) [1] [V].</w:t>
      </w:r>
    </w:p>
    <w:bookmarkEnd w:id="539"/>
    <w:bookmarkStart w:id="541" w:name="réformes-promises-cœur-de-lanalyse-27"/>
    <w:p>
      <w:pPr>
        <w:pStyle w:val="Heading3"/>
      </w:pPr>
      <w:r>
        <w:t xml:space="preserve">3. Réformes promises (cœur de l’analyse)</w:t>
      </w:r>
    </w:p>
    <w:bookmarkStart w:id="540" w:name="tarifs-et-subventions-34"/>
    <w:p>
      <w:pPr>
        <w:pStyle w:val="Heading4"/>
      </w:pPr>
      <w:r>
        <w:t xml:space="preserve">3.1 Tarifs et subventions</w:t>
      </w:r>
    </w:p>
    <w:p>
      <w:pPr>
        <w:numPr>
          <w:ilvl w:val="0"/>
          <w:numId w:val="1529"/>
        </w:numPr>
        <w:pStyle w:val="Compact"/>
      </w:pPr>
      <w:r>
        <w:rPr>
          <w:bCs/>
          <w:b/>
        </w:rPr>
        <w:t xml:space="preserve">Recouvrement intégral des coûts (« full cost recovery ») d’ici 2027</w:t>
      </w:r>
      <w:r>
        <w:t xml:space="preserve"> </w:t>
      </w:r>
      <w:r>
        <w:t xml:space="preserve">pour ZESCO via ajustements tarifaires, restructuration de la dette et réformes opérationnelles (déclaration présidentielle) [1] [V].</w:t>
      </w:r>
    </w:p>
    <w:p>
      <w:pPr>
        <w:numPr>
          <w:ilvl w:val="0"/>
          <w:numId w:val="1529"/>
        </w:numPr>
        <w:pStyle w:val="Compact"/>
      </w:pPr>
      <w:r>
        <w:rPr>
          <w:bCs/>
          <w:b/>
        </w:rPr>
        <w:t xml:space="preserve">Répercussion (pass-through) des tarifs des IPP à toutes les catégories de clients d’ici 2027</w:t>
      </w:r>
      <w:r>
        <w:t xml:space="preserve"> </w:t>
      </w:r>
      <w:r>
        <w:t xml:space="preserve">[1] [V].</w:t>
      </w:r>
    </w:p>
    <w:p>
      <w:pPr>
        <w:numPr>
          <w:ilvl w:val="0"/>
          <w:numId w:val="1529"/>
        </w:numPr>
        <w:pStyle w:val="Compact"/>
      </w:pPr>
      <w:r>
        <w:t xml:space="preserve">Mise en œuvre d’un cadre tarifaire pluriannuel (Multi-Year Tariff Framework, MYTF) « pour assurer le recouvrement intégral des coûts d’ici 2027 » ; le MYTF est présenté comme « trajectoire progressive vers des tarifs reflétant les coûts » [1] [V].</w:t>
      </w:r>
    </w:p>
    <w:p>
      <w:pPr>
        <w:numPr>
          <w:ilvl w:val="0"/>
          <w:numId w:val="1529"/>
        </w:numPr>
        <w:pStyle w:val="Compact"/>
      </w:pPr>
      <w:r>
        <w:t xml:space="preserve">Indicateur « Utilities achieving at least 100 percent operational cost recovery » : base 2024 =</w:t>
      </w:r>
      <w:r>
        <w:t xml:space="preserve"> </w:t>
      </w:r>
      <w:r>
        <w:rPr>
          <w:bCs/>
          <w:b/>
        </w:rPr>
        <w:t xml:space="preserve">No</w:t>
      </w:r>
      <w:r>
        <w:t xml:space="preserve"> </w:t>
      </w:r>
      <w:r>
        <w:t xml:space="preserve">; cible 2027 [1] [V].</w:t>
      </w:r>
    </w:p>
    <w:p>
      <w:pPr>
        <w:numPr>
          <w:ilvl w:val="0"/>
          <w:numId w:val="1529"/>
        </w:numPr>
        <w:pStyle w:val="Compact"/>
      </w:pPr>
      <w:r>
        <w:t xml:space="preserve">Subventions ciblées hors réseau : financement basé sur les résultats (RBF), « viability gap funding » pour développeurs DRE, crédit à taux bas pour ménages pauvres d’ici 2026 [1] [V].</w:t>
      </w:r>
    </w:p>
    <w:p>
      <w:pPr>
        <w:numPr>
          <w:ilvl w:val="0"/>
          <w:numId w:val="1529"/>
        </w:numPr>
        <w:pStyle w:val="Compact"/>
      </w:pPr>
      <w:r>
        <w:t xml:space="preserve">Diagnostic du pacte : « absence de tarif reflétant les coûts » parmi les obstacles ; « il faut encore que le tarif soit pleinement reflétant les coûts » [1] [V]. Annexe II : tarif moyen, niveau de subvention, trajectoire de recouvrement —</w:t>
      </w:r>
      <w:r>
        <w:t xml:space="preserve"> </w:t>
      </w:r>
      <w:r>
        <w:rPr>
          <w:bCs/>
          <w:b/>
        </w:rPr>
        <w:t xml:space="preserve">« Information not available »</w:t>
      </w:r>
      <w:r>
        <w:t xml:space="preserve"> </w:t>
      </w:r>
      <w:r>
        <w:t xml:space="preserve">[1] [V].</w:t>
      </w:r>
    </w:p>
    <w:p>
      <w:pPr>
        <w:numPr>
          <w:ilvl w:val="0"/>
          <w:numId w:val="1529"/>
        </w:numPr>
        <w:pStyle w:val="Compact"/>
      </w:pPr>
      <w:r>
        <w:t xml:space="preserve">Abordabilité : 16,3 % des ménages ne peuvent payer un service de base de 365 kWh/an (rapport MTF) [1] [V].</w:t>
      </w:r>
      <w:r>
        <w:t xml:space="preserve"> </w:t>
      </w:r>
      <w:r>
        <w:t xml:space="preserve">#### 3.2 Opérateur (redressement, contrats de performance, pertes, recouvrement, compteurs)</w:t>
      </w:r>
    </w:p>
    <w:p>
      <w:pPr>
        <w:numPr>
          <w:ilvl w:val="0"/>
          <w:numId w:val="1529"/>
        </w:numPr>
        <w:pStyle w:val="Compact"/>
      </w:pPr>
      <w:r>
        <w:t xml:space="preserve">Réformes internes à ZESCO pour la viabilité financière et l’efficacité ; recherche d’options d’amélioration du recouvrement « au-delà des ajustements tarifaires » [1] [V].</w:t>
      </w:r>
    </w:p>
    <w:p>
      <w:pPr>
        <w:numPr>
          <w:ilvl w:val="0"/>
          <w:numId w:val="1529"/>
        </w:numPr>
        <w:pStyle w:val="Compact"/>
      </w:pPr>
      <w:r>
        <w:t xml:space="preserve">Restructuration stratégique de la dette de ZESCO (sans montant ni calendrier) [1] [V].</w:t>
      </w:r>
    </w:p>
    <w:p>
      <w:pPr>
        <w:numPr>
          <w:ilvl w:val="0"/>
          <w:numId w:val="1529"/>
        </w:numPr>
        <w:pStyle w:val="Compact"/>
      </w:pPr>
      <w:r>
        <w:t xml:space="preserve">Nouveau cadre de performance clé (KPI) ZESCO–ERB aligné sur le Plan stratégique ZESCO 2022-2031 ; ZESCO sous-performe face aux seuils minimaux de l’ERB (retards de raccordement, coupures, faiblesse financière) [1] [V].</w:t>
      </w:r>
    </w:p>
    <w:p>
      <w:pPr>
        <w:numPr>
          <w:ilvl w:val="0"/>
          <w:numId w:val="1529"/>
        </w:numPr>
        <w:pStyle w:val="Compact"/>
      </w:pPr>
      <w:r>
        <w:t xml:space="preserve">Réduction des pertes techniques et commerciales (réseaux intelligents, comptage, facturation) —</w:t>
      </w:r>
      <w:r>
        <w:t xml:space="preserve"> </w:t>
      </w:r>
      <w:r>
        <w:rPr>
          <w:bCs/>
          <w:b/>
        </w:rPr>
        <w:t xml:space="preserve">aucune cible chiffrée</w:t>
      </w:r>
      <w:r>
        <w:t xml:space="preserve"> </w:t>
      </w:r>
      <w:r>
        <w:t xml:space="preserve">; annexe II : pertes AT&amp;C « Information not available » [1] [V].</w:t>
      </w:r>
    </w:p>
    <w:p>
      <w:pPr>
        <w:numPr>
          <w:ilvl w:val="0"/>
          <w:numId w:val="1529"/>
        </w:numPr>
        <w:pStyle w:val="Compact"/>
      </w:pPr>
      <w:r>
        <w:t xml:space="preserve">Comptage : tous les ménages électrifiés sont dits équipés de compteurs à prépaiement (3 861 557 selon l’annexe II, estimation dérivée de la LCMS 2022) [1] [V] — chiffre à vérifier (voir §7).</w:t>
      </w:r>
    </w:p>
    <w:p>
      <w:pPr>
        <w:numPr>
          <w:ilvl w:val="0"/>
          <w:numId w:val="1529"/>
        </w:numPr>
        <w:pStyle w:val="Compact"/>
      </w:pPr>
      <w:r>
        <w:t xml:space="preserve">Transparence : publication des rapports annuels 4 mois après la clôture et de tous les états financiers audités en retard (indicateur jugé « déjà atteint, 2022 ») [1] [V].</w:t>
      </w:r>
    </w:p>
    <w:p>
      <w:pPr>
        <w:numPr>
          <w:ilvl w:val="0"/>
          <w:numId w:val="1529"/>
        </w:numPr>
        <w:pStyle w:val="Compact"/>
      </w:pPr>
      <w:r>
        <w:t xml:space="preserve">Audits et modernisation des actifs de production existants (cible 2030) [1] [V].</w:t>
      </w:r>
      <w:r>
        <w:t xml:space="preserve"> </w:t>
      </w:r>
      <w:r>
        <w:t xml:space="preserve">#### 3.3 Régulation et gouvernance</w:t>
      </w:r>
    </w:p>
    <w:p>
      <w:pPr>
        <w:numPr>
          <w:ilvl w:val="0"/>
          <w:numId w:val="1529"/>
        </w:numPr>
        <w:pStyle w:val="Compact"/>
      </w:pPr>
      <w:r>
        <w:t xml:space="preserve">Révision de l’Electricity Act n° 11 de 2019 d’ici</w:t>
      </w:r>
      <w:r>
        <w:t xml:space="preserve"> </w:t>
      </w:r>
      <w:r>
        <w:rPr>
          <w:bCs/>
          <w:b/>
        </w:rPr>
        <w:t xml:space="preserve">déc. 2025</w:t>
      </w:r>
      <w:r>
        <w:t xml:space="preserve"> </w:t>
      </w:r>
      <w:r>
        <w:t xml:space="preserve">[1] [V].</w:t>
      </w:r>
    </w:p>
    <w:p>
      <w:pPr>
        <w:numPr>
          <w:ilvl w:val="0"/>
          <w:numId w:val="1529"/>
        </w:numPr>
        <w:pStyle w:val="Compact"/>
      </w:pPr>
      <w:r>
        <w:t xml:space="preserve">Règlements mini-réseaux révisés et adoptés d’ici</w:t>
      </w:r>
      <w:r>
        <w:t xml:space="preserve"> </w:t>
      </w:r>
      <w:r>
        <w:rPr>
          <w:bCs/>
          <w:b/>
        </w:rPr>
        <w:t xml:space="preserve">déc. 2026</w:t>
      </w:r>
      <w:r>
        <w:t xml:space="preserve"> </w:t>
      </w:r>
      <w:r>
        <w:t xml:space="preserve">(le cadre de 2019 était incompatible avec la loi ; un SI approuvé en sept. 2023 n’était pas encore publié) [1] [V].</w:t>
      </w:r>
    </w:p>
    <w:p>
      <w:pPr>
        <w:numPr>
          <w:ilvl w:val="0"/>
          <w:numId w:val="1529"/>
        </w:numPr>
        <w:pStyle w:val="Compact"/>
      </w:pPr>
      <w:r>
        <w:t xml:space="preserve">Création d’un</w:t>
      </w:r>
      <w:r>
        <w:t xml:space="preserve"> </w:t>
      </w:r>
      <w:r>
        <w:rPr>
          <w:bCs/>
          <w:b/>
        </w:rPr>
        <w:t xml:space="preserve">Opérateur indépendant du système et du marché (ISMO)</w:t>
      </w:r>
      <w:r>
        <w:t xml:space="preserve"> </w:t>
      </w:r>
      <w:r>
        <w:t xml:space="preserve">d’ici</w:t>
      </w:r>
      <w:r>
        <w:t xml:space="preserve"> </w:t>
      </w:r>
      <w:r>
        <w:rPr>
          <w:bCs/>
          <w:b/>
        </w:rPr>
        <w:t xml:space="preserve">déc. 2025</w:t>
      </w:r>
      <w:r>
        <w:t xml:space="preserve"> </w:t>
      </w:r>
      <w:r>
        <w:t xml:space="preserve">; cadre d’accès ouvert (Open Access) et net-metering approuvés en juin 2024 [1] [V].</w:t>
      </w:r>
    </w:p>
    <w:p>
      <w:pPr>
        <w:numPr>
          <w:ilvl w:val="0"/>
          <w:numId w:val="1529"/>
        </w:numPr>
        <w:pStyle w:val="Compact"/>
      </w:pPr>
      <w:r>
        <w:t xml:space="preserve">Unité de planification énergétique au MoE (déc. 2025), mise à jour de l’IRP (2026), REMP (juin 2025), Stratégie nationale d’électrification (déc. 2025), stratégie cuisson propre (juin 2025) [1] [V].</w:t>
      </w:r>
    </w:p>
    <w:p>
      <w:pPr>
        <w:numPr>
          <w:ilvl w:val="0"/>
          <w:numId w:val="1529"/>
        </w:numPr>
        <w:pStyle w:val="Compact"/>
      </w:pPr>
      <w:r>
        <w:t xml:space="preserve">Renforcement des capacités de ZESCO, REA et ERB [1] [V].</w:t>
      </w:r>
      <w:r>
        <w:t xml:space="preserve"> </w:t>
      </w:r>
      <w:r>
        <w:t xml:space="preserve">#### 3.4 Participation du privé (producteurs indépendants, concessions, hors réseau)</w:t>
      </w:r>
    </w:p>
    <w:p>
      <w:pPr>
        <w:numPr>
          <w:ilvl w:val="0"/>
          <w:numId w:val="1529"/>
        </w:numPr>
        <w:pStyle w:val="Compact"/>
      </w:pPr>
      <w:r>
        <w:t xml:space="preserve">Mobiliser</w:t>
      </w:r>
      <w:r>
        <w:t xml:space="preserve"> </w:t>
      </w:r>
      <w:r>
        <w:rPr>
          <w:bCs/>
          <w:b/>
        </w:rPr>
        <w:t xml:space="preserve">9,5 Md US$</w:t>
      </w:r>
      <w:r>
        <w:t xml:space="preserve"> </w:t>
      </w:r>
      <w:r>
        <w:t xml:space="preserve">privés sur 11,9 Md US$ (82 %) [1] [V].</w:t>
      </w:r>
    </w:p>
    <w:p>
      <w:pPr>
        <w:numPr>
          <w:ilvl w:val="0"/>
          <w:numId w:val="1529"/>
        </w:numPr>
        <w:pStyle w:val="Compact"/>
      </w:pPr>
      <w:r>
        <w:t xml:space="preserve">Cadre d’achat (Energy Sector Procurement Framework) publié et unité d’achats au MoE d’ici</w:t>
      </w:r>
      <w:r>
        <w:t xml:space="preserve"> </w:t>
      </w:r>
      <w:r>
        <w:rPr>
          <w:bCs/>
          <w:b/>
        </w:rPr>
        <w:t xml:space="preserve">déc. 2025</w:t>
      </w:r>
      <w:r>
        <w:t xml:space="preserve"> </w:t>
      </w:r>
      <w:r>
        <w:t xml:space="preserve">; documents standardisés (PPA, accords de mise en œuvre, de raccordement) d’ici déc. 2025 [1] [V]. Le pacte note qu’il n’existe actuellement</w:t>
      </w:r>
      <w:r>
        <w:t xml:space="preserve"> </w:t>
      </w:r>
      <w:r>
        <w:rPr>
          <w:bCs/>
          <w:b/>
        </w:rPr>
        <w:t xml:space="preserve">aucune politique d’achat</w:t>
      </w:r>
      <w:r>
        <w:t xml:space="preserve"> </w:t>
      </w:r>
      <w:r>
        <w:t xml:space="preserve">pour les renouvelables [1] [V].</w:t>
      </w:r>
    </w:p>
    <w:p>
      <w:pPr>
        <w:numPr>
          <w:ilvl w:val="0"/>
          <w:numId w:val="1529"/>
        </w:numPr>
        <w:pStyle w:val="Compact"/>
      </w:pPr>
      <w:r>
        <w:t xml:space="preserve">Guichet unique de licences (Energy Single Licensing System) [1] [V].</w:t>
      </w:r>
    </w:p>
    <w:p>
      <w:pPr>
        <w:numPr>
          <w:ilvl w:val="0"/>
          <w:numId w:val="1529"/>
        </w:numPr>
        <w:pStyle w:val="Compact"/>
      </w:pPr>
      <w:r>
        <w:t xml:space="preserve">Pilote de</w:t>
      </w:r>
      <w:r>
        <w:t xml:space="preserve"> </w:t>
      </w:r>
      <w:r>
        <w:rPr>
          <w:bCs/>
          <w:b/>
        </w:rPr>
        <w:t xml:space="preserve">PPP/concessions de distribution de taille moyenne</w:t>
      </w:r>
      <w:r>
        <w:t xml:space="preserve"> </w:t>
      </w:r>
      <w:r>
        <w:t xml:space="preserve">dans des provinces mal desservies (base : « No ») [1] [V].</w:t>
      </w:r>
    </w:p>
    <w:p>
      <w:pPr>
        <w:numPr>
          <w:ilvl w:val="0"/>
          <w:numId w:val="1529"/>
        </w:numPr>
        <w:pStyle w:val="Compact"/>
      </w:pPr>
      <w:r>
        <w:t xml:space="preserve">Garanties, fonds d’investissement, SPV, participation des fonds de pension [1] [V].</w:t>
      </w:r>
    </w:p>
    <w:p>
      <w:pPr>
        <w:numPr>
          <w:ilvl w:val="0"/>
          <w:numId w:val="1529"/>
        </w:numPr>
        <w:pStyle w:val="Compact"/>
      </w:pPr>
      <w:r>
        <w:t xml:space="preserve">Le pacte reconnaît que la mauvaise solvabilité de ZESCO a bloqué plusieurs PPA solaires signés, et cite l’IFC jugeant difficile d’attirer du privé dans les mini-réseaux — « la majorité de l’investissement requis devra probablement venir du secteur public » [1] [V].</w:t>
      </w:r>
      <w:r>
        <w:t xml:space="preserve"> </w:t>
      </w:r>
      <w:r>
        <w:t xml:space="preserve">#### 3.5 Intégration régionale (pools énergétiques, interconnexions)</w:t>
      </w:r>
    </w:p>
    <w:p>
      <w:pPr>
        <w:numPr>
          <w:ilvl w:val="0"/>
          <w:numId w:val="1529"/>
        </w:numPr>
        <w:pStyle w:val="Compact"/>
      </w:pPr>
      <w:r>
        <w:t xml:space="preserve">Harmonisation des tarifs de transport avec les voisins et le SAPP : méthodologie d’ici déc. 2025, adoption/application d’ici</w:t>
      </w:r>
      <w:r>
        <w:t xml:space="preserve"> </w:t>
      </w:r>
      <w:r>
        <w:rPr>
          <w:bCs/>
          <w:b/>
        </w:rPr>
        <w:t xml:space="preserve">déc. 2026</w:t>
      </w:r>
      <w:r>
        <w:t xml:space="preserve"> </w:t>
      </w:r>
      <w:r>
        <w:t xml:space="preserve">(le texte cite les deux dates) [1] [V].</w:t>
      </w:r>
    </w:p>
    <w:p>
      <w:pPr>
        <w:numPr>
          <w:ilvl w:val="0"/>
          <w:numId w:val="1529"/>
        </w:numPr>
        <w:pStyle w:val="Compact"/>
      </w:pPr>
      <w:r>
        <w:t xml:space="preserve">Interconnexion Zambie-Tanzanie (ZTIP, ~600 km, 295 M US$ dont 245 M US$ IDA) [1] [V] ; ligne Zambie-RDC (IFC, 167 M US$, 330 kV, 700 MW) [1] [V] ; projet Batoka Gorge (Zambie/Zimbabwe) [1] [V].</w:t>
      </w:r>
      <w:r>
        <w:t xml:space="preserve"> </w:t>
      </w:r>
      <w:r>
        <w:t xml:space="preserve">#### 3.6 Autres (fiscalité, foncier, local content)</w:t>
      </w:r>
    </w:p>
    <w:p>
      <w:pPr>
        <w:numPr>
          <w:ilvl w:val="0"/>
          <w:numId w:val="1529"/>
        </w:numPr>
        <w:pStyle w:val="Compact"/>
      </w:pPr>
      <w:r>
        <w:t xml:space="preserve">Exonérations de droits et allègements fiscaux sur équipements renouvelables et cuisson propre ; politique de</w:t>
      </w:r>
      <w:r>
        <w:t xml:space="preserve"> </w:t>
      </w:r>
      <w:r>
        <w:rPr>
          <w:bCs/>
          <w:b/>
        </w:rPr>
        <w:t xml:space="preserve">droits d’importation nuls</w:t>
      </w:r>
      <w:r>
        <w:t xml:space="preserve"> </w:t>
      </w:r>
      <w:r>
        <w:t xml:space="preserve">avec liste publiée en ligne d’ici 2026 [1] [V].</w:t>
      </w:r>
    </w:p>
    <w:p>
      <w:pPr>
        <w:numPr>
          <w:ilvl w:val="0"/>
          <w:numId w:val="1529"/>
        </w:numPr>
        <w:pStyle w:val="Compact"/>
      </w:pPr>
      <w:r>
        <w:t xml:space="preserve">Normes minimales de qualité DRE/cuisson (tests, certification labo) d’ici 2026 [1] [V].</w:t>
      </w:r>
    </w:p>
    <w:p>
      <w:pPr>
        <w:numPr>
          <w:ilvl w:val="0"/>
          <w:numId w:val="1529"/>
        </w:numPr>
        <w:pStyle w:val="Compact"/>
      </w:pPr>
      <w:r>
        <w:t xml:space="preserve">Chaînes d’approvisionnement locales pour foyers et combustibles (2030) [1] [V]. Formation (GIZ THRIVE) [1] [V].</w:t>
      </w:r>
    </w:p>
    <w:bookmarkEnd w:id="540"/>
    <w:bookmarkEnd w:id="541"/>
    <w:bookmarkStart w:id="542" w:name="financement-34"/>
    <w:p>
      <w:pPr>
        <w:pStyle w:val="Heading3"/>
      </w:pPr>
      <w:r>
        <w:t xml:space="preserve">4. Financement</w:t>
      </w:r>
    </w:p>
    <w:p>
      <w:pPr>
        <w:numPr>
          <w:ilvl w:val="0"/>
          <w:numId w:val="1530"/>
        </w:numPr>
        <w:pStyle w:val="Compact"/>
      </w:pPr>
      <w:r>
        <w:t xml:space="preserve">Besoin total :</w:t>
      </w:r>
      <w:r>
        <w:t xml:space="preserve"> </w:t>
      </w:r>
      <w:r>
        <w:rPr>
          <w:bCs/>
          <w:b/>
        </w:rPr>
        <w:t xml:space="preserve">11 880 M US$</w:t>
      </w:r>
      <w:r>
        <w:t xml:space="preserve"> </w:t>
      </w:r>
      <w:r>
        <w:t xml:space="preserve">d’ici 2030 [1] [V] :</w:t>
      </w:r>
    </w:p>
    <w:p>
      <w:pPr>
        <w:numPr>
          <w:ilvl w:val="1"/>
          <w:numId w:val="1531"/>
        </w:numPr>
        <w:pStyle w:val="Compact"/>
      </w:pPr>
      <w:r>
        <w:t xml:space="preserve">Production 7 224 M (60,8 %) — 90 % privé ; Transport (dont 66 kV) 1 410 M (11,9 %) — 70 % privé ; Distribution 33 kV 506 M (4,3 %) — 1 % privé ; Accès réseau 308 M (2,6 %) — 1 % privé ; Dernier kilomètre 206 M (1,7 %) — 0 % privé (120 000 raccordements/an × 286 US$ = coût standard ZESCO de 8 000 K) ; Hors réseau 2 185 M (18,4 %) — 70 % privé ; Cuisson propre 40,93 M (0,3 %) — 0 % privé [1] [V].</w:t>
      </w:r>
    </w:p>
    <w:p>
      <w:pPr>
        <w:numPr>
          <w:ilvl w:val="1"/>
          <w:numId w:val="1531"/>
        </w:numPr>
        <w:pStyle w:val="Compact"/>
      </w:pPr>
      <w:r>
        <w:t xml:space="preserve">Privé : 9,5 Md US$ (82 %) [1] [V] ; l’annexe II donne un autre découpage (9 Md sur 12 Md, 75 %) [1] [V] — incohérence interne.</w:t>
      </w:r>
    </w:p>
    <w:p>
      <w:pPr>
        <w:numPr>
          <w:ilvl w:val="0"/>
          <w:numId w:val="1530"/>
        </w:numPr>
        <w:pStyle w:val="Compact"/>
      </w:pPr>
      <w:r>
        <w:t xml:space="preserve">Engagements cités :</w:t>
      </w:r>
    </w:p>
    <w:p>
      <w:pPr>
        <w:numPr>
          <w:ilvl w:val="1"/>
          <w:numId w:val="1532"/>
        </w:numPr>
        <w:pStyle w:val="Compact"/>
      </w:pPr>
      <w:r>
        <w:t xml:space="preserve">Banque mondiale : programme NEAT (National Energy Advancement and Transformation, MPA)</w:t>
      </w:r>
      <w:r>
        <w:t xml:space="preserve"> </w:t>
      </w:r>
      <w:r>
        <w:rPr>
          <w:bCs/>
          <w:b/>
        </w:rPr>
        <w:t xml:space="preserve">700 M US$</w:t>
      </w:r>
      <w:r>
        <w:t xml:space="preserve"> </w:t>
      </w:r>
      <w:r>
        <w:t xml:space="preserve">(540 M BM + 160 M autres), 1 million de nouveaux raccordements visés, réformes pour rétablir la viabilité de ZESCO [1] [V] ; ZTIP 245 M US$ IDA [1] [V] ; ASCENT Zambie 2025-2030 (densification réseau, montant « TBA ») [1] [V] ; Lusaka T&amp;D Rehabilitation 246 M US$ (BM, BEI, ZESCO) [1] [V] ; Kariba (BM 75 M US$) [1] [V].</w:t>
      </w:r>
    </w:p>
    <w:p>
      <w:pPr>
        <w:numPr>
          <w:ilvl w:val="1"/>
          <w:numId w:val="1532"/>
        </w:numPr>
        <w:pStyle w:val="Compact"/>
      </w:pPr>
      <w:r>
        <w:t xml:space="preserve">BAD : GETFiT solaire 40 MW (50 M US$ dette privée) ; SEFA Ilute 32 MW (32 M US$ « grant ») ; Kariba 75 M US$ ; Batoka Gorge (conseil ; projet estimé à 5 Md US$) ; SREP PPG éolien 1,15 M US$ [1] [V].</w:t>
      </w:r>
    </w:p>
    <w:p>
      <w:pPr>
        <w:numPr>
          <w:ilvl w:val="1"/>
          <w:numId w:val="1532"/>
        </w:numPr>
        <w:pStyle w:val="Compact"/>
      </w:pPr>
      <w:r>
        <w:t xml:space="preserve">Autres : UE (IAEREP 32 M€, Electrifi 31 M€, MCFA 12,5 M€, Kariba 113 M€), KfW (GET FiT 41 M€, Chishimba 41,5 M€), USAID (A2C 25 M US$, Empower ~6 M US$), FCDO, Suède (BGFA 20 M US$), CIF SREP (40 M US$) [1] [V]. FMI : mention du Resilience and Sustainability Trust [1] [V].</w:t>
      </w:r>
    </w:p>
    <w:bookmarkEnd w:id="542"/>
    <w:bookmarkStart w:id="543" w:name="calendrier-et-suivi-34"/>
    <w:p>
      <w:pPr>
        <w:pStyle w:val="Heading3"/>
      </w:pPr>
      <w:r>
        <w:t xml:space="preserve">5. Calendrier et suivi</w:t>
      </w:r>
    </w:p>
    <w:p>
      <w:pPr>
        <w:numPr>
          <w:ilvl w:val="0"/>
          <w:numId w:val="1533"/>
        </w:numPr>
        <w:pStyle w:val="Compact"/>
      </w:pPr>
      <w:r>
        <w:t xml:space="preserve">Jalons datés principaux [1] [V] : REMP révisé juin 2025 ; stratégie cuisson propre juin 2025 ; cadre de S&amp;E MoE juin 2025 ; procurement framework, unité d’achats, PPA standard, ISMO, révision Electricity Act, Stratégie nationale d’électrification :</w:t>
      </w:r>
      <w:r>
        <w:t xml:space="preserve"> </w:t>
      </w:r>
      <w:r>
        <w:rPr>
          <w:bCs/>
          <w:b/>
        </w:rPr>
        <w:t xml:space="preserve">déc. 2025</w:t>
      </w:r>
      <w:r>
        <w:t xml:space="preserve"> </w:t>
      </w:r>
      <w:r>
        <w:t xml:space="preserve">; transport harmonisé, règlements mini-réseaux, exonérations fiscales :</w:t>
      </w:r>
      <w:r>
        <w:t xml:space="preserve"> </w:t>
      </w:r>
      <w:r>
        <w:rPr>
          <w:bCs/>
          <w:b/>
        </w:rPr>
        <w:t xml:space="preserve">2026</w:t>
      </w:r>
      <w:r>
        <w:t xml:space="preserve"> </w:t>
      </w:r>
      <w:r>
        <w:t xml:space="preserve">; recouvrement intégral des coûts et pass-through IPP :</w:t>
      </w:r>
      <w:r>
        <w:t xml:space="preserve"> </w:t>
      </w:r>
      <w:r>
        <w:rPr>
          <w:bCs/>
          <w:b/>
        </w:rPr>
        <w:t xml:space="preserve">2027</w:t>
      </w:r>
      <w:r>
        <w:t xml:space="preserve"> </w:t>
      </w:r>
      <w:r>
        <w:t xml:space="preserve">; cibles d’accès 2030.</w:t>
      </w:r>
    </w:p>
    <w:p>
      <w:pPr>
        <w:numPr>
          <w:ilvl w:val="0"/>
          <w:numId w:val="1533"/>
        </w:numPr>
        <w:pStyle w:val="Compact"/>
      </w:pPr>
      <w:r>
        <w:t xml:space="preserve">Mécanisme : Energy Compact Task Team (ECTT) maintenue ;</w:t>
      </w:r>
      <w:r>
        <w:t xml:space="preserve"> </w:t>
      </w:r>
      <w:r>
        <w:rPr>
          <w:bCs/>
          <w:b/>
        </w:rPr>
        <w:t xml:space="preserve">Compact Implementation Unit (CIU)</w:t>
      </w:r>
      <w:r>
        <w:t xml:space="preserve"> </w:t>
      </w:r>
      <w:r>
        <w:t xml:space="preserve">au ministère de l’Énergie ; revues semestrielles conjointes ; rapport annuel des KPI au forum africain de haut niveau ; 1re revue annoncée en</w:t>
      </w:r>
      <w:r>
        <w:t xml:space="preserve"> </w:t>
      </w:r>
      <w:r>
        <w:rPr>
          <w:bCs/>
          <w:b/>
        </w:rPr>
        <w:t xml:space="preserve">septembre 2025 au Caire</w:t>
      </w:r>
      <w:r>
        <w:t xml:space="preserve"> </w:t>
      </w:r>
      <w:r>
        <w:t xml:space="preserve">(avec APUA et BAD) [1] [V].</w:t>
      </w:r>
    </w:p>
    <w:p>
      <w:pPr>
        <w:numPr>
          <w:ilvl w:val="0"/>
          <w:numId w:val="1533"/>
        </w:numPr>
        <w:pStyle w:val="Compact"/>
      </w:pPr>
      <w:r>
        <w:t xml:space="preserve">Rapport d’avancement : aucun publié sur la page BM à oct. 2026 [2] [V].</w:t>
      </w:r>
    </w:p>
    <w:bookmarkEnd w:id="543"/>
    <w:bookmarkStart w:id="544" w:name="lecture-critique-27"/>
    <w:p>
      <w:pPr>
        <w:pStyle w:val="Heading3"/>
      </w:pPr>
      <w:r>
        <w:t xml:space="preserve">6. Lecture critique</w:t>
      </w:r>
    </w:p>
    <w:p>
      <w:pPr>
        <w:numPr>
          <w:ilvl w:val="0"/>
          <w:numId w:val="1534"/>
        </w:numPr>
        <w:pStyle w:val="Compact"/>
      </w:pPr>
      <w:r>
        <w:t xml:space="preserve">Réalisme des cibles : passer de ~50 % à 100 % en 6 ans exige de tripler le rythme combiné (≈ 120 000 réseau + ≈ 295 000 hors réseau par an contre 60 000 réseau historiques) [E]. Les ~3,2 millions de raccordements visés (1,46 M + 1,77 M) [1] supposent un marché hors réseau que l’IFC, citée par le pacte lui-même, juge difficile à financer par le privé, alors que le tableau de financement prévoit 70 % de privé pour le hors réseau [E]. La « hausse de 26 millions de personnes » correspond à la population totale 2030, pas à la population sans accès — erreur rédactionnelle probable [E]. Les incohérences internes (53,6 % vs 47,8 % d’accès ; 8,9 % vs 16,2 % cuisson ; 3 000 MW solaire vs 2 083 MW PV dans l’IRP ; 82 % vs 75 % privé) affaiblissent la base de référence [E].</w:t>
      </w:r>
    </w:p>
    <w:p>
      <w:pPr>
        <w:numPr>
          <w:ilvl w:val="0"/>
          <w:numId w:val="1534"/>
        </w:numPr>
        <w:pStyle w:val="Compact"/>
      </w:pPr>
      <w:r>
        <w:t xml:space="preserve">Engagements tarifaires :</w:t>
      </w:r>
      <w:r>
        <w:t xml:space="preserve"> </w:t>
      </w:r>
      <w:r>
        <w:rPr>
          <w:bCs/>
          <w:b/>
        </w:rPr>
        <w:t xml:space="preserve">relativement précis sur l’échéance</w:t>
      </w:r>
      <w:r>
        <w:t xml:space="preserve"> </w:t>
      </w:r>
      <w:r>
        <w:t xml:space="preserve">(recouvrement intégral et pass-through IPP en 2027, via le MYTF) mais</w:t>
      </w:r>
      <w:r>
        <w:t xml:space="preserve"> </w:t>
      </w:r>
      <w:r>
        <w:rPr>
          <w:bCs/>
          <w:b/>
        </w:rPr>
        <w:t xml:space="preserve">sans trajectoire chiffrée</w:t>
      </w:r>
      <w:r>
        <w:t xml:space="preserve"> </w:t>
      </w:r>
      <w:r>
        <w:t xml:space="preserve">(aucun tarif moyen, coût de service, écart ou niveau de subvention : « Information not available ») [E]. Aucun dispositif explicite de protection des ménages vulnérables (tarif social) n’est détaillé côté réseau [E].</w:t>
      </w:r>
    </w:p>
    <w:p>
      <w:pPr>
        <w:numPr>
          <w:ilvl w:val="0"/>
          <w:numId w:val="1534"/>
        </w:numPr>
        <w:pStyle w:val="Compact"/>
      </w:pPr>
      <w:r>
        <w:t xml:space="preserve">Risques principaux : solvabilité de ZESCO (PPA solaires bloqués) ; dépendance hydro (&gt; 80 %) et sécheresse 2024 ; contexte de restructuration de la dette souveraine (programme FMI depuis 2022, cité) ; acceptabilité sociale des hausses tarifaires en période de délestage ; capacité administrative pour tenir ~10 jalons réglementaires en déc. 2025 [E].</w:t>
      </w:r>
    </w:p>
    <w:p>
      <w:pPr>
        <w:numPr>
          <w:ilvl w:val="0"/>
          <w:numId w:val="1534"/>
        </w:numPr>
        <w:pStyle w:val="Compact"/>
      </w:pPr>
      <w:r>
        <w:t xml:space="preserve">Points à approfondir : phase 2 (opérateur) — contenu du KPI framework ZESCO-ERB, montant et plan de restructuration de la dette ZESCO, pertes AT&amp;C réelles, arriérés de l’État, conditions du NEAT MPA (indicateurs liés aux décaissements) ; phase 3 (tarifs) — décisions ERB de hausse tarifaire 2024-2026, contenu exact du MYTF, écart tarif/coût, tarif d’urgence lié à la sécheresse [E].</w:t>
      </w:r>
    </w:p>
    <w:bookmarkEnd w:id="544"/>
    <w:bookmarkStart w:id="545" w:name="inconnus-données-non-trouvées-34"/>
    <w:p>
      <w:pPr>
        <w:pStyle w:val="Heading3"/>
      </w:pPr>
      <w:r>
        <w:t xml:space="preserve">7. Inconnus / données non trouvées</w:t>
      </w:r>
    </w:p>
    <w:p>
      <w:pPr>
        <w:numPr>
          <w:ilvl w:val="0"/>
          <w:numId w:val="1535"/>
        </w:numPr>
        <w:pStyle w:val="Compact"/>
      </w:pPr>
      <w:r>
        <w:t xml:space="preserve">[?] Tarif moyen actuel, coût de service, écart tarifaire, montant des subventions (le pacte indique « Information not available »).</w:t>
      </w:r>
    </w:p>
    <w:p>
      <w:pPr>
        <w:numPr>
          <w:ilvl w:val="0"/>
          <w:numId w:val="1535"/>
        </w:numPr>
        <w:pStyle w:val="Compact"/>
      </w:pPr>
      <w:r>
        <w:t xml:space="preserve">[?] Pertes AT&amp;C et cibles annuelles de réduction (non chiffrées).</w:t>
      </w:r>
    </w:p>
    <w:p>
      <w:pPr>
        <w:numPr>
          <w:ilvl w:val="0"/>
          <w:numId w:val="1535"/>
        </w:numPr>
        <w:pStyle w:val="Compact"/>
      </w:pPr>
      <w:r>
        <w:t xml:space="preserve">[?] Dette de ZESCO, arriérés publics, plan de restructuration du capital (« Information not available »).</w:t>
      </w:r>
    </w:p>
    <w:p>
      <w:pPr>
        <w:numPr>
          <w:ilvl w:val="0"/>
          <w:numId w:val="1535"/>
        </w:numPr>
        <w:pStyle w:val="Compact"/>
      </w:pPr>
      <w:r>
        <w:t xml:space="preserve">[?] Montant du projet ASCENT Zambie (« TBA »).</w:t>
      </w:r>
    </w:p>
    <w:p>
      <w:pPr>
        <w:numPr>
          <w:ilvl w:val="0"/>
          <w:numId w:val="1535"/>
        </w:numPr>
        <w:pStyle w:val="Compact"/>
      </w:pPr>
      <w:r>
        <w:t xml:space="preserve">[?] Rapport d’avancement 2026 (non publié sur la page BM).</w:t>
      </w:r>
    </w:p>
    <w:p>
      <w:pPr>
        <w:numPr>
          <w:ilvl w:val="0"/>
          <w:numId w:val="1535"/>
        </w:numPr>
        <w:pStyle w:val="Compact"/>
      </w:pPr>
      <w:r>
        <w:t xml:space="preserve">[?] Nombre de ménages électrifiés (3 861 557 en annexe II) : incohérent avec un taux d’accès de ~50 % pour ~20,6 M d’habitants — à recouper avec ZamStats.</w:t>
      </w:r>
    </w:p>
    <w:p>
      <w:pPr>
        <w:numPr>
          <w:ilvl w:val="0"/>
          <w:numId w:val="1535"/>
        </w:numPr>
        <w:pStyle w:val="Compact"/>
      </w:pPr>
      <w:r>
        <w:t xml:space="preserve">[?] Statut d’exécution des jalons de déc. 2025 (ISMO, procurement framework, Electricity Act) — non vérifié en phase 1.</w:t>
      </w:r>
    </w:p>
    <w:bookmarkEnd w:id="545"/>
    <w:bookmarkStart w:id="546" w:name="sources-35"/>
    <w:p>
      <w:pPr>
        <w:pStyle w:val="Heading3"/>
      </w:pPr>
      <w:r>
        <w:t xml:space="preserve">Sources</w:t>
      </w:r>
    </w:p>
    <w:p>
      <w:pPr>
        <w:pStyle w:val="FirstParagraph"/>
      </w:pPr>
      <w:r>
        <w:t xml:space="preserve">[1] Gouvernement de la République de Zambie, « National Energy Compact for Zambia », janvier 2025, 40 p., anglais. https://www.worldbank.org/content/dam/theworldbankgroupasset/document/2026/m300-energy-compacts/Zambia-M300-AES-Compact.pdf (consulté le 18/10/2026).</w:t>
      </w:r>
      <w:r>
        <w:t xml:space="preserve"> </w:t>
      </w:r>
      <w:r>
        <w:t xml:space="preserve">[2] Banque mondiale, « National Energy Compacts » (page Mission 300 / Energizing Africa). https://www.worldbank.org/ext/en/energizingafrica/national-energy-compacts (consulté le 18/10/2026).</w:t>
      </w:r>
    </w:p>
    <w:p>
      <w:r>
        <w:br w:type="page"/>
      </w:r>
    </w:p>
    <w:bookmarkEnd w:id="546"/>
    <w:bookmarkEnd w:id="547"/>
    <w:bookmarkStart w:id="563" w:name="X5105ee17126d4b0261b351fc6d615843ffc8c24"/>
    <w:p>
      <w:pPr>
        <w:pStyle w:val="Heading2"/>
      </w:pPr>
      <w:r>
        <w:t xml:space="preserve">Fiche pacte national de l’énergie — Zimbabwe</w:t>
      </w:r>
    </w:p>
    <w:p>
      <w:pPr>
        <w:pStyle w:val="BlockText"/>
      </w:pPr>
      <w:r>
        <w:t xml:space="preserve">Phase 1 — Mission 300 (Banque mondiale / BAD). Chaque donnée chiffrée est suivie de sa source [n] et de l’année.</w:t>
      </w:r>
      <w:r>
        <w:t xml:space="preserve"> </w:t>
      </w:r>
      <w:r>
        <w:t xml:space="preserve">Statuts :</w:t>
      </w:r>
      <w:r>
        <w:t xml:space="preserve"> </w:t>
      </w:r>
      <w:r>
        <w:rPr>
          <w:bCs/>
          <w:b/>
        </w:rPr>
        <w:t xml:space="preserve">[V]</w:t>
      </w:r>
      <w:r>
        <w:t xml:space="preserve"> </w:t>
      </w:r>
      <w:r>
        <w:t xml:space="preserve">vérifié dans le document source ·</w:t>
      </w:r>
      <w:r>
        <w:t xml:space="preserve"> </w:t>
      </w:r>
      <w:r>
        <w:rPr>
          <w:bCs/>
          <w:b/>
        </w:rPr>
        <w:t xml:space="preserve">[S]</w:t>
      </w:r>
      <w:r>
        <w:t xml:space="preserve"> </w:t>
      </w:r>
      <w:r>
        <w:t xml:space="preserve">source secondaire ·</w:t>
      </w:r>
      <w:r>
        <w:t xml:space="preserve"> </w:t>
      </w:r>
      <w:r>
        <w:rPr>
          <w:bCs/>
          <w:b/>
        </w:rPr>
        <w:t xml:space="preserve">[E]</w:t>
      </w:r>
      <w:r>
        <w:t xml:space="preserve"> </w:t>
      </w:r>
      <w:r>
        <w:t xml:space="preserve">estimation/inférence ·</w:t>
      </w:r>
      <w:r>
        <w:t xml:space="preserve"> </w:t>
      </w:r>
      <w:r>
        <w:rPr>
          <w:bCs/>
          <w:b/>
        </w:rPr>
        <w:t xml:space="preserve">[?]</w:t>
      </w:r>
      <w:r>
        <w:t xml:space="preserve"> </w:t>
      </w:r>
      <w:r>
        <w:t xml:space="preserve">inconnu</w:t>
      </w:r>
      <w:r>
        <w:t xml:space="preserve"> </w:t>
      </w:r>
      <w:r>
        <w:t xml:space="preserve">Pays</w:t>
      </w:r>
      <w:r>
        <w:t xml:space="preserve"> </w:t>
      </w:r>
      <w:r>
        <w:rPr>
          <w:bCs/>
          <w:b/>
        </w:rPr>
        <w:t xml:space="preserve">absent des listes de départ</w:t>
      </w:r>
      <w:r>
        <w:t xml:space="preserve"> </w:t>
      </w:r>
      <w:r>
        <w:t xml:space="preserve">: c’est le pays présenté au forum d’octobre 2025 (Africa Capital Markets Forum, Johannesburg).</w:t>
      </w:r>
    </w:p>
    <w:bookmarkStart w:id="548" w:name="métadonnées-35"/>
    <w:p>
      <w:pPr>
        <w:pStyle w:val="Heading3"/>
      </w:pPr>
      <w:r>
        <w:t xml:space="preserve">0. Métadonnées</w:t>
      </w:r>
    </w:p>
    <w:p>
      <w:pPr>
        <w:numPr>
          <w:ilvl w:val="0"/>
          <w:numId w:val="1536"/>
        </w:numPr>
        <w:pStyle w:val="Compact"/>
      </w:pPr>
      <w:r>
        <w:t xml:space="preserve">Cohorte / date de présentation : octobre 2025, Africa Capital Markets Forum (ACMF), Johannesburg, « as part of the second cohort of 18 countries » [V][2]. La page BM indique « October 2025 » [V][3]. Jour exact : [?]. La presse zimbabwéenne parle d’une présentation « jeudi » par le ministre July Moyo, au même forum que le Kenya et le Ghana [S][4].</w:t>
      </w:r>
    </w:p>
    <w:p>
      <w:pPr>
        <w:numPr>
          <w:ilvl w:val="0"/>
          <w:numId w:val="1536"/>
        </w:numPr>
        <w:pStyle w:val="Compact"/>
      </w:pPr>
      <w:r>
        <w:t xml:space="preserve">Document du pacte consulté : « National Energy Compact for the Republic of Zimbabwe », 60 p., en anglais, PDF créé le 03/10/2025 (métadonnées). Il comporte une déclaration signée au nom du président E. D. Mnangagwa et un avant-propos du ministre de l’Énergie et du Développement de l’électricité, July G. Moyo. URL : https://www.worldbank.org/content/dam/theworldbankgroupasset/document/2026/m300-energy-compacts/Zimbabwe-National-Energy-Compact-Mission-300.pdf [V][1]</w:t>
      </w:r>
    </w:p>
    <w:p>
      <w:pPr>
        <w:numPr>
          <w:ilvl w:val="0"/>
          <w:numId w:val="1536"/>
        </w:numPr>
        <w:pStyle w:val="Compact"/>
      </w:pPr>
      <w:r>
        <w:t xml:space="preserve">Document complémentaire : « Zimbabwe Compact Progress Report — First cycle of data collection 2025 », mars 2026, données de l’UMSP/CDMU mises à jour en févr. 2026 [V][2].</w:t>
      </w:r>
    </w:p>
    <w:p>
      <w:pPr>
        <w:numPr>
          <w:ilvl w:val="0"/>
          <w:numId w:val="1536"/>
        </w:numPr>
        <w:pStyle w:val="Compact"/>
      </w:pPr>
      <w:r>
        <w:t xml:space="preserve">Accès au texte intégral : oui (pdftotext). Mise en page complexe : certains tableaux d’annexe sont mal extraits ; ces chiffres sont exclus ou marqués [E].</w:t>
      </w:r>
    </w:p>
    <w:p>
      <w:pPr>
        <w:numPr>
          <w:ilvl w:val="0"/>
          <w:numId w:val="1536"/>
        </w:numPr>
        <w:pStyle w:val="Compact"/>
      </w:pPr>
      <w:r>
        <w:t xml:space="preserve">Opérateurs nationaux d’électricité : ZESA Holdings et ses filiales, ZPC (production), ZETDC (transport, distribution, vente), ZENT et Powertel. L’actionnaire pour le compte de l’État est le Mutapa Investment Fund. L’électrification rurale relève du Rural Electrification Fund (REF) [V][1].</w:t>
      </w:r>
    </w:p>
    <w:p>
      <w:pPr>
        <w:numPr>
          <w:ilvl w:val="0"/>
          <w:numId w:val="1536"/>
        </w:numPr>
        <w:pStyle w:val="Compact"/>
      </w:pPr>
      <w:r>
        <w:t xml:space="preserve">Régulateur : Zimbabwe Energy Regulatory Authority (ZERA) [V][1].</w:t>
      </w:r>
    </w:p>
    <w:p>
      <w:pPr>
        <w:numPr>
          <w:ilvl w:val="0"/>
          <w:numId w:val="1536"/>
        </w:numPr>
        <w:pStyle w:val="Compact"/>
      </w:pPr>
      <w:r>
        <w:t xml:space="preserve">Ministère : Ministry of Energy and Power Development (MoEPD) [V][1].</w:t>
      </w:r>
    </w:p>
    <w:bookmarkEnd w:id="548"/>
    <w:bookmarkStart w:id="549" w:name="situation-de-départ-selon-le-pacte-35"/>
    <w:p>
      <w:pPr>
        <w:pStyle w:val="Heading3"/>
      </w:pPr>
      <w:r>
        <w:t xml:space="preserve">1. Situation de départ (selon le pacte)</w:t>
      </w:r>
    </w:p>
    <w:p>
      <w:pPr>
        <w:numPr>
          <w:ilvl w:val="0"/>
          <w:numId w:val="1537"/>
        </w:numPr>
        <w:pStyle w:val="Compact"/>
      </w:pPr>
      <w:r>
        <w:t xml:space="preserve">Taux d’accès :</w:t>
      </w:r>
      <w:r>
        <w:t xml:space="preserve"> </w:t>
      </w:r>
      <w:r>
        <w:rPr>
          <w:bCs/>
          <w:b/>
        </w:rPr>
        <w:t xml:space="preserve">deux chiffres concurrents</w:t>
      </w:r>
      <w:r>
        <w:t xml:space="preserve"> </w:t>
      </w:r>
      <w:r>
        <w:t xml:space="preserve">dans le pacte [V][1] :</w:t>
      </w:r>
    </w:p>
    <w:p>
      <w:pPr>
        <w:numPr>
          <w:ilvl w:val="1"/>
          <w:numId w:val="1538"/>
        </w:numPr>
        <w:pStyle w:val="Compact"/>
      </w:pPr>
      <w:r>
        <w:t xml:space="preserve">62 % de la population (recensement Zimstat 2022), dont 33,7 % des ménages raccordés au réseau et 28,3 % hors réseau ; urbain 83 %, rural 27 % [V][1] ;</w:t>
      </w:r>
    </w:p>
    <w:p>
      <w:pPr>
        <w:numPr>
          <w:ilvl w:val="1"/>
          <w:numId w:val="1538"/>
        </w:numPr>
        <w:pStyle w:val="Compact"/>
      </w:pPr>
      <w:r>
        <w:t xml:space="preserve">« 41 % » selon la Stratégie nationale d’électrification (NES, 2024), retenu comme base de la cible [V][1].</w:t>
      </w:r>
    </w:p>
    <w:p>
      <w:pPr>
        <w:numPr>
          <w:ilvl w:val="0"/>
          <w:numId w:val="1537"/>
        </w:numPr>
        <w:pStyle w:val="Compact"/>
      </w:pPr>
      <w:r>
        <w:t xml:space="preserve">Population sans accès : environ 2,55 millions de ménages sans service fin 2024, sur 4,3 millions de ménages ; environ 1,76 million de ménages ont accès [V][1]. Population : environ 16,8 millions (2024), 18,3 millions projetés en 2030, soit 4,86 millions de ménages [V][1].</w:t>
      </w:r>
    </w:p>
    <w:p>
      <w:pPr>
        <w:numPr>
          <w:ilvl w:val="0"/>
          <w:numId w:val="1537"/>
        </w:numPr>
        <w:pStyle w:val="Compact"/>
      </w:pPr>
      <w:r>
        <w:t xml:space="preserve">Rythme actuel : 40 000 à 60 000 ménages électrifiés par an, alors que le nombre de ménages croît de 118 000 par an [V][1]. Arriéré de 467 470 demandes de raccordement en attente (mai 2025) [V][1].</w:t>
      </w:r>
    </w:p>
    <w:p>
      <w:pPr>
        <w:numPr>
          <w:ilvl w:val="0"/>
          <w:numId w:val="1537"/>
        </w:numPr>
        <w:pStyle w:val="Compact"/>
      </w:pPr>
      <w:r>
        <w:t xml:space="preserve">Capacité installée : 2 962 MW, dont 1 050 MW de grande hydro (Kariba, 35,4 %), 1 680 MW de charbon (Hwange 1-6 : 920 MW ; Hwange 7-8 : 670 MW ; 56,7 %) et 232 MW de petite hydro, bagasse et solaire IPP (7,8 %) [V][1].</w:t>
      </w:r>
    </w:p>
    <w:p>
      <w:pPr>
        <w:numPr>
          <w:ilvl w:val="1"/>
          <w:numId w:val="1539"/>
        </w:numPr>
        <w:pStyle w:val="Compact"/>
      </w:pPr>
      <w:r>
        <w:t xml:space="preserve">Capacité fiable : 1 200 à 1 600 MW, pour une pointe de 2 000 MW [V][1].</w:t>
      </w:r>
    </w:p>
    <w:p>
      <w:pPr>
        <w:numPr>
          <w:ilvl w:val="1"/>
          <w:numId w:val="1539"/>
        </w:numPr>
        <w:pStyle w:val="Compact"/>
      </w:pPr>
      <w:r>
        <w:t xml:space="preserve">Importations : jusqu’à 500 MW (Eskom, HCB, EDM). Exportations : environ 204 MW [V][1].</w:t>
      </w:r>
    </w:p>
    <w:p>
      <w:pPr>
        <w:numPr>
          <w:ilvl w:val="1"/>
          <w:numId w:val="1539"/>
        </w:numPr>
        <w:pStyle w:val="Compact"/>
      </w:pPr>
      <w:r>
        <w:t xml:space="preserve">Renouvelables, grande hydro incluse : 1 282,3 MW, soit 43 % de la capacité [V][1].</w:t>
      </w:r>
    </w:p>
    <w:p>
      <w:pPr>
        <w:numPr>
          <w:ilvl w:val="0"/>
          <w:numId w:val="1537"/>
        </w:numPr>
        <w:pStyle w:val="Compact"/>
      </w:pPr>
      <w:r>
        <w:t xml:space="preserve">Économie du service :</w:t>
      </w:r>
    </w:p>
    <w:p>
      <w:pPr>
        <w:numPr>
          <w:ilvl w:val="1"/>
          <w:numId w:val="1540"/>
        </w:numPr>
        <w:pStyle w:val="Compact"/>
      </w:pPr>
      <w:r>
        <w:t xml:space="preserve">tarif moyen de 16,08 USc/kWh, après une hausse de 21 % appliquée le 1er déc. 2023 (le tarif moyen était auparavant de 11,3 USc/kWh) [V][1] ;</w:t>
      </w:r>
    </w:p>
    <w:p>
      <w:pPr>
        <w:numPr>
          <w:ilvl w:val="1"/>
          <w:numId w:val="1540"/>
        </w:numPr>
        <w:pStyle w:val="Compact"/>
      </w:pPr>
      <w:r>
        <w:t xml:space="preserve">frais d’utilisation du réseau : 2,43 USc/kWh en transport (TUoS) et 5,19 USc/kWh en distribution (DUoS) [V][1] ;</w:t>
      </w:r>
    </w:p>
    <w:p>
      <w:pPr>
        <w:numPr>
          <w:ilvl w:val="1"/>
          <w:numId w:val="1540"/>
        </w:numPr>
        <w:pStyle w:val="Compact"/>
      </w:pPr>
      <w:r>
        <w:t xml:space="preserve">pertes techniques de 18 à 20 % [V][1] ;</w:t>
      </w:r>
    </w:p>
    <w:p>
      <w:pPr>
        <w:numPr>
          <w:ilvl w:val="1"/>
          <w:numId w:val="1540"/>
        </w:numPr>
        <w:pStyle w:val="Compact"/>
      </w:pPr>
      <w:r>
        <w:t xml:space="preserve">dettes sur importations : 119 M USD au 30/06/2021, dont 91 % en arriérés [V][1] ;</w:t>
      </w:r>
    </w:p>
    <w:p>
      <w:pPr>
        <w:numPr>
          <w:ilvl w:val="1"/>
          <w:numId w:val="1540"/>
        </w:numPr>
        <w:pStyle w:val="Compact"/>
      </w:pPr>
      <w:r>
        <w:t xml:space="preserve">délestages : environ 12-14 h par jour (chiffre d’annexe mal extrait) [E][1] ;</w:t>
      </w:r>
    </w:p>
    <w:p>
      <w:pPr>
        <w:numPr>
          <w:ilvl w:val="1"/>
          <w:numId w:val="1540"/>
        </w:numPr>
        <w:pStyle w:val="Compact"/>
      </w:pPr>
      <w:r>
        <w:t xml:space="preserve">coût des pénuries d’électricité : 6,1 % du PIB en 2022, estimation BM [V][1].</w:t>
      </w:r>
    </w:p>
    <w:p>
      <w:pPr>
        <w:numPr>
          <w:ilvl w:val="0"/>
          <w:numId w:val="1537"/>
        </w:numPr>
        <w:pStyle w:val="Compact"/>
      </w:pPr>
      <w:r>
        <w:t xml:space="preserve">Accès à la cuisson propre : 38,6 % des ménages (Zimstat) ; 61 % utilisent le bois de feu [V][1]. Le rapport d’avancement retient une base de 39 % (2024) [V][2].</w:t>
      </w:r>
    </w:p>
    <w:bookmarkEnd w:id="549"/>
    <w:bookmarkStart w:id="550" w:name="cibles-2030-34"/>
    <w:p>
      <w:pPr>
        <w:pStyle w:val="Heading3"/>
      </w:pPr>
      <w:r>
        <w:t xml:space="preserve">2. Cibles 2030</w:t>
      </w:r>
    </w:p>
    <w:p>
      <w:pPr>
        <w:numPr>
          <w:ilvl w:val="0"/>
          <w:numId w:val="1541"/>
        </w:numPr>
        <w:pStyle w:val="Compact"/>
      </w:pPr>
      <w:r>
        <w:t xml:space="preserve">Accès à l’électricité : 100 % des ménages en 2030 [V][1] :</w:t>
      </w:r>
    </w:p>
    <w:p>
      <w:pPr>
        <w:numPr>
          <w:ilvl w:val="1"/>
          <w:numId w:val="1542"/>
        </w:numPr>
        <w:pStyle w:val="Compact"/>
      </w:pPr>
      <w:r>
        <w:t xml:space="preserve">réseau : 320 000 ménages par an (« starting with 50,000 in 2025 »), soit +1,9 million ;</w:t>
      </w:r>
    </w:p>
    <w:p>
      <w:pPr>
        <w:numPr>
          <w:ilvl w:val="1"/>
          <w:numId w:val="1542"/>
        </w:numPr>
        <w:pStyle w:val="Compact"/>
      </w:pPr>
      <w:r>
        <w:t xml:space="preserve">hors réseau : 200 000 par an, soit +1,2 million, dont le Presidential Rural Solarization Scheme (plus d’un million de ménages ruraux, systèmes solaires de 1 kW) [V][1].</w:t>
      </w:r>
    </w:p>
    <w:p>
      <w:pPr>
        <w:numPr>
          <w:ilvl w:val="0"/>
          <w:numId w:val="1000"/>
        </w:numPr>
        <w:pStyle w:val="Compact"/>
      </w:pPr>
      <w:r>
        <w:t xml:space="preserve">Le rapport d’avancement donne une cible de +3 097 503 raccordements d’ici 2030 [V][2]. Jalon intermédiaire : 450 000 clients raccordés par l’opérateur d’ici fin 2027 [V][1].</w:t>
      </w:r>
    </w:p>
    <w:p>
      <w:pPr>
        <w:numPr>
          <w:ilvl w:val="0"/>
          <w:numId w:val="1541"/>
        </w:numPr>
        <w:pStyle w:val="Compact"/>
      </w:pPr>
      <w:r>
        <w:t xml:space="preserve">Part des renouvelables :</w:t>
      </w:r>
    </w:p>
    <w:p>
      <w:pPr>
        <w:numPr>
          <w:ilvl w:val="1"/>
          <w:numId w:val="1543"/>
        </w:numPr>
        <w:pStyle w:val="Compact"/>
      </w:pPr>
      <w:r>
        <w:t xml:space="preserve">2 640 MW sur 5 432 MW projetés en 2030 (48,6 %), contre 1 282 MW en 2024 [V][1] ;</w:t>
      </w:r>
    </w:p>
    <w:p>
      <w:pPr>
        <w:numPr>
          <w:ilvl w:val="1"/>
          <w:numId w:val="1543"/>
        </w:numPr>
        <w:pStyle w:val="Compact"/>
      </w:pPr>
      <w:r>
        <w:t xml:space="preserve">hors grande hydro : de 7,8 % à</w:t>
      </w:r>
      <w:r>
        <w:t xml:space="preserve"> </w:t>
      </w:r>
      <w:r>
        <w:rPr>
          <w:bCs/>
          <w:b/>
        </w:rPr>
        <w:t xml:space="preserve">29 %</w:t>
      </w:r>
      <w:r>
        <w:t xml:space="preserve"> </w:t>
      </w:r>
      <w:r>
        <w:t xml:space="preserve">(déclaration, plan d’action) ou à</w:t>
      </w:r>
      <w:r>
        <w:t xml:space="preserve"> </w:t>
      </w:r>
      <w:r>
        <w:rPr>
          <w:bCs/>
          <w:b/>
        </w:rPr>
        <w:t xml:space="preserve">31 %</w:t>
      </w:r>
      <w:r>
        <w:t xml:space="preserve"> </w:t>
      </w:r>
      <w:r>
        <w:t xml:space="preserve">(avant-propos) [V][1] ;</w:t>
      </w:r>
    </w:p>
    <w:p>
      <w:pPr>
        <w:numPr>
          <w:ilvl w:val="1"/>
          <w:numId w:val="1543"/>
        </w:numPr>
        <w:pStyle w:val="Compact"/>
      </w:pPr>
      <w:r>
        <w:t xml:space="preserve">comptage net (net metering) : 100 MW fin 2025 (28,5 MW en 2024), puis +200 MW sur 2026-2030 [V][1].</w:t>
      </w:r>
    </w:p>
    <w:p>
      <w:pPr>
        <w:numPr>
          <w:ilvl w:val="0"/>
          <w:numId w:val="1541"/>
        </w:numPr>
        <w:pStyle w:val="Compact"/>
      </w:pPr>
      <w:r>
        <w:t xml:space="preserve">Cuisson propre : de 38,6 % à 70 % ; usage du bois et du charbon de bois réduit de 50 % ; 80 % des bâtiments neufs équipés [V][1].</w:t>
      </w:r>
    </w:p>
    <w:p>
      <w:pPr>
        <w:numPr>
          <w:ilvl w:val="0"/>
          <w:numId w:val="1541"/>
        </w:numPr>
        <w:pStyle w:val="Compact"/>
      </w:pPr>
      <w:r>
        <w:t xml:space="preserve">Autres cibles chiffrées :</w:t>
      </w:r>
    </w:p>
    <w:p>
      <w:pPr>
        <w:numPr>
          <w:ilvl w:val="1"/>
          <w:numId w:val="1544"/>
        </w:numPr>
        <w:pStyle w:val="Compact"/>
      </w:pPr>
      <w:r>
        <w:t xml:space="preserve">capitaux privés : plus de 4,42 Md USD [V][1] ; production : de 1 048,2 M USD à 3,43 Md USD ; transport et distribution : de 88,3 M USD à 220,87 M USD [V][1] ;</w:t>
      </w:r>
    </w:p>
    <w:p>
      <w:pPr>
        <w:numPr>
          <w:ilvl w:val="1"/>
          <w:numId w:val="1544"/>
        </w:numPr>
        <w:pStyle w:val="Compact"/>
      </w:pPr>
      <w:r>
        <w:t xml:space="preserve">part privée de la capacité installée : de 356 MW (12 %) à 2 440,5 MW (45 %) [V][1] ;</w:t>
      </w:r>
    </w:p>
    <w:p>
      <w:pPr>
        <w:numPr>
          <w:ilvl w:val="1"/>
          <w:numId w:val="1544"/>
        </w:numPr>
        <w:pStyle w:val="Compact"/>
      </w:pPr>
      <w:r>
        <w:t xml:space="preserve">1 607 km de nouvelles lignes ; pertes techniques ramenées à 14 % d’ici fin 2030 ; dispositifs anti-intrusion sur au moins 47 000 transformateurs [V][1] ;</w:t>
      </w:r>
    </w:p>
    <w:p>
      <w:pPr>
        <w:numPr>
          <w:ilvl w:val="1"/>
          <w:numId w:val="1544"/>
        </w:numPr>
        <w:pStyle w:val="Compact"/>
      </w:pPr>
      <w:r>
        <w:t xml:space="preserve">remise en puissance de Hwange 1-6, de 400 MW à 800 MW disponibles, d’ici T3 2027 [V][1].</w:t>
      </w:r>
    </w:p>
    <w:bookmarkEnd w:id="550"/>
    <w:bookmarkStart w:id="557" w:name="réformes-promises-cœur-de-lanalyse-28"/>
    <w:p>
      <w:pPr>
        <w:pStyle w:val="Heading3"/>
      </w:pPr>
      <w:r>
        <w:t xml:space="preserve">3. Réformes promises (cœur de l’analyse)</w:t>
      </w:r>
    </w:p>
    <w:bookmarkStart w:id="551" w:name="tarifs-et-subventions-35"/>
    <w:p>
      <w:pPr>
        <w:pStyle w:val="Heading4"/>
      </w:pPr>
      <w:r>
        <w:t xml:space="preserve">3.1 Tarifs et subventions</w:t>
      </w:r>
    </w:p>
    <w:p>
      <w:pPr>
        <w:numPr>
          <w:ilvl w:val="0"/>
          <w:numId w:val="1545"/>
        </w:numPr>
        <w:pStyle w:val="Compact"/>
      </w:pPr>
      <w:r>
        <w:t xml:space="preserve">Atteindre</w:t>
      </w:r>
      <w:r>
        <w:t xml:space="preserve"> </w:t>
      </w:r>
      <w:r>
        <w:rPr>
          <w:bCs/>
          <w:b/>
        </w:rPr>
        <w:t xml:space="preserve">au moins 100 % de recouvrement des coûts d’exploitation, en monnaie locale et en devises</w:t>
      </w:r>
      <w:r>
        <w:t xml:space="preserve">, d’ici T4 2027 [V][1]. L’objectif est daté « exercice 2027 » dans le résumé [V][1].</w:t>
      </w:r>
    </w:p>
    <w:p>
      <w:pPr>
        <w:numPr>
          <w:ilvl w:val="0"/>
          <w:numId w:val="1545"/>
        </w:numPr>
        <w:pStyle w:val="Compact"/>
      </w:pPr>
      <w:r>
        <w:t xml:space="preserve">Revoir l’impact des tarifs pour actualiser le Tariff Code (2013) et le Cost of Service Study (2020) d’ici T4 2026 [V][1].</w:t>
      </w:r>
    </w:p>
    <w:p>
      <w:pPr>
        <w:numPr>
          <w:ilvl w:val="0"/>
          <w:numId w:val="1545"/>
        </w:numPr>
        <w:pStyle w:val="Compact"/>
      </w:pPr>
      <w:r>
        <w:t xml:space="preserve">Le pacte affirme que la plupart des catégories de clients sont déjà au tarif reflétant les coûts [V][1]. Le système multidevises, en vigueur jusqu’en 2030, complique la planification financière [V][1].</w:t>
      </w:r>
    </w:p>
    <w:p>
      <w:pPr>
        <w:numPr>
          <w:ilvl w:val="0"/>
          <w:numId w:val="1545"/>
        </w:numPr>
        <w:pStyle w:val="Compact"/>
      </w:pPr>
      <w:r>
        <w:t xml:space="preserve">Montant des subventions : « No data » dans l’annexe II [V][1].</w:t>
      </w:r>
    </w:p>
    <w:p>
      <w:pPr>
        <w:numPr>
          <w:ilvl w:val="0"/>
          <w:numId w:val="1545"/>
        </w:numPr>
        <w:pStyle w:val="Compact"/>
      </w:pPr>
      <w:r>
        <w:t xml:space="preserve">Réduire les frais d’utilisation des réseaux (TUoS, DUoS) d’ici T4 2025 pour encourager l’accès des tiers [V][1].</w:t>
      </w:r>
    </w:p>
    <w:bookmarkEnd w:id="551"/>
    <w:bookmarkStart w:id="552" w:name="Xb23d98fbb2f99f56d62bd255df8e133470d30f2"/>
    <w:p>
      <w:pPr>
        <w:pStyle w:val="Heading4"/>
      </w:pPr>
      <w:r>
        <w:t xml:space="preserve">3.2 Opérateur (redressement, contrats de performance, pertes, recouvrement, compteurs)</w:t>
      </w:r>
    </w:p>
    <w:p>
      <w:pPr>
        <w:numPr>
          <w:ilvl w:val="0"/>
          <w:numId w:val="1546"/>
        </w:numPr>
        <w:pStyle w:val="Compact"/>
      </w:pPr>
      <w:r>
        <w:t xml:space="preserve">Compteurs prépayés et intelligents pour tous les clients d’ici T4 2025. Le pacte indique que la plupart des clients domestiques sont déjà en prépaiement et qu’au moins 50 % des clients éligibles au compteur intelligent sont équipés [V][1].</w:t>
      </w:r>
    </w:p>
    <w:p>
      <w:pPr>
        <w:numPr>
          <w:ilvl w:val="0"/>
          <w:numId w:val="1546"/>
        </w:numPr>
        <w:pStyle w:val="Compact"/>
      </w:pPr>
      <w:r>
        <w:t xml:space="preserve">Revoir et mettre en œuvre le Performance Improvement Plan de ZPC et ZETDC, élaboré en 2018 avec la BM, d’ici T1 2027 [V][1].</w:t>
      </w:r>
    </w:p>
    <w:p>
      <w:pPr>
        <w:numPr>
          <w:ilvl w:val="0"/>
          <w:numId w:val="1546"/>
        </w:numPr>
        <w:pStyle w:val="Compact"/>
      </w:pPr>
      <w:r>
        <w:t xml:space="preserve">Régler la dette historique de l’opérateur dans le cadre de la résolution de la dette nationale d’ici T4 2027. Durcir les conditions de nouvel endettement d’ici T4 2026 [V][1].</w:t>
      </w:r>
    </w:p>
    <w:p>
      <w:pPr>
        <w:numPr>
          <w:ilvl w:val="0"/>
          <w:numId w:val="1546"/>
        </w:numPr>
        <w:pStyle w:val="Compact"/>
      </w:pPr>
      <w:r>
        <w:t xml:space="preserve">Nouvelle structure de l’opérateur d’ici T4 2025. Étude d’un cadre intégré des entreprises publiques d’ici T4 2026 [V][1].</w:t>
      </w:r>
    </w:p>
    <w:p>
      <w:pPr>
        <w:numPr>
          <w:ilvl w:val="0"/>
          <w:numId w:val="1546"/>
        </w:numPr>
        <w:pStyle w:val="Compact"/>
      </w:pPr>
      <w:r>
        <w:t xml:space="preserve">Comptes audités : ZESA les publie et les dépose au Parlement. Engagement de régularité d’ici T1 2026 [V][1].</w:t>
      </w:r>
    </w:p>
    <w:p>
      <w:pPr>
        <w:numPr>
          <w:ilvl w:val="0"/>
          <w:numId w:val="1546"/>
        </w:numPr>
        <w:pStyle w:val="Compact"/>
      </w:pPr>
      <w:r>
        <w:t xml:space="preserve">Pertes techniques ramenées à 14 % ; Hwange remis en puissance ; stockage par batteries (BESS) d’ici T2 2027 [V][1].</w:t>
      </w:r>
    </w:p>
    <w:bookmarkEnd w:id="552"/>
    <w:bookmarkStart w:id="553" w:name="régulation-et-gouvernance-22"/>
    <w:p>
      <w:pPr>
        <w:pStyle w:val="Heading4"/>
      </w:pPr>
      <w:r>
        <w:t xml:space="preserve">3.3 Régulation et gouvernance</w:t>
      </w:r>
    </w:p>
    <w:p>
      <w:pPr>
        <w:numPr>
          <w:ilvl w:val="0"/>
          <w:numId w:val="1547"/>
        </w:numPr>
        <w:pStyle w:val="Compact"/>
      </w:pPr>
      <w:r>
        <w:t xml:space="preserve">Plan national intégré des ressources énergétiques (NIERP) d’ici T4 2025. Plan intégré de moindre coût d’ici T2 2026. Unité de planification au MoEPD d’ici T2 2026 [V][1].</w:t>
      </w:r>
    </w:p>
    <w:p>
      <w:pPr>
        <w:numPr>
          <w:ilvl w:val="0"/>
          <w:numId w:val="1547"/>
        </w:numPr>
        <w:pStyle w:val="Compact"/>
      </w:pPr>
      <w:r>
        <w:t xml:space="preserve">Politique énergétique nationale (NEP) actualisée d’ici T3 2025 (plan d’action), d’ici T4 2026 pour son opérationnalisation [V][1].</w:t>
      </w:r>
    </w:p>
    <w:p>
      <w:pPr>
        <w:numPr>
          <w:ilvl w:val="0"/>
          <w:numId w:val="1547"/>
        </w:numPr>
        <w:pStyle w:val="Compact"/>
      </w:pPr>
      <w:r>
        <w:t xml:space="preserve">Cadre réglementaire des mini-réseaux (MGRF) d’ici T4 2025. Règles d’accès des tiers d’ici T1 2026. Licences secondaires de distribution et de vente au détail d’ici T1 2026 [V][1].</w:t>
      </w:r>
    </w:p>
    <w:p>
      <w:pPr>
        <w:numPr>
          <w:ilvl w:val="0"/>
          <w:numId w:val="1547"/>
        </w:numPr>
        <w:pStyle w:val="Compact"/>
      </w:pPr>
      <w:r>
        <w:t xml:space="preserve">Stratégie de cuisson propre (NCCS) approuvée d’ici T3 2025, opérationnalisée d’ici T4 2026 [V][1].</w:t>
      </w:r>
    </w:p>
    <w:p>
      <w:pPr>
        <w:numPr>
          <w:ilvl w:val="0"/>
          <w:numId w:val="1547"/>
        </w:numPr>
        <w:pStyle w:val="Compact"/>
      </w:pPr>
      <w:r>
        <w:t xml:space="preserve">Suivi : enquête MTF achevée d’ici T2 2026 ; unité de mise en œuvre intersectorielle d’ici T3 2026 ; rapports annuels [V][1].</w:t>
      </w:r>
    </w:p>
    <w:p>
      <w:pPr>
        <w:numPr>
          <w:ilvl w:val="0"/>
          <w:numId w:val="1547"/>
        </w:numPr>
        <w:pStyle w:val="Compact"/>
      </w:pPr>
      <w:r>
        <w:t xml:space="preserve">Marché de gros domestique en cours de création par la ZERA. Plateforme d’échanges d’énergie d’ici T4 2027 [V][1].</w:t>
      </w:r>
    </w:p>
    <w:bookmarkEnd w:id="553"/>
    <w:bookmarkStart w:id="554" w:name="X9958137a3f8179d50e6c373fefc309f26f3a5da"/>
    <w:p>
      <w:pPr>
        <w:pStyle w:val="Heading4"/>
      </w:pPr>
      <w:r>
        <w:t xml:space="preserve">3.4 Participation du privé (producteurs indépendants, concessions, hors réseau)</w:t>
      </w:r>
    </w:p>
    <w:p>
      <w:pPr>
        <w:numPr>
          <w:ilvl w:val="0"/>
          <w:numId w:val="1548"/>
        </w:numPr>
        <w:pStyle w:val="Compact"/>
      </w:pPr>
      <w:r>
        <w:t xml:space="preserve">Cadre d’appel d’offres concurrentiel pour les renouvelables d’ici T2 2026, pour sortir des offres spontanées. À ce jour, 7 130 MW de licences ont été accordées à des projets non sollicités, pour environ 11 Md USD (mars 2025) [V][1].</w:t>
      </w:r>
    </w:p>
    <w:p>
      <w:pPr>
        <w:numPr>
          <w:ilvl w:val="0"/>
          <w:numId w:val="1548"/>
        </w:numPr>
        <w:pStyle w:val="Compact"/>
      </w:pPr>
      <w:r>
        <w:t xml:space="preserve">Government Project Support Agreement (GPSA) à tester et adopter d’ici T4 2025 : garantie d’un tarif reflétant les coûts, d’enlèvement de l’électricité et de rapatriement des fonds. Lettres de confort de la Banque centrale (RBZ) sur la convertibilité. Feuille de route vers la convertibilité monétaire d’ici T4 2025 [V][1].</w:t>
      </w:r>
    </w:p>
    <w:p>
      <w:pPr>
        <w:numPr>
          <w:ilvl w:val="0"/>
          <w:numId w:val="1548"/>
        </w:numPr>
        <w:pStyle w:val="Compact"/>
      </w:pPr>
      <w:r>
        <w:t xml:space="preserve">Exemption de licence pour les projets d’autoconsommation de moins de 5 MW, et simple enregistrement des projets de moins de 5 MW, d’ici T1 2026 [V][1]. Guichet unique ZIDA d’ici T4 2026 [V][1].</w:t>
      </w:r>
    </w:p>
    <w:p>
      <w:pPr>
        <w:numPr>
          <w:ilvl w:val="0"/>
          <w:numId w:val="1548"/>
        </w:numPr>
        <w:pStyle w:val="Compact"/>
      </w:pPr>
      <w:r>
        <w:t xml:space="preserve">Financement basé sur les résultats (RBF) et subventions ciblées d’ici T4 2026. Exonérations fiscales et douanières d’ici T4 2026. Lignes de crédit via les institutions de microfinance [V][1].</w:t>
      </w:r>
    </w:p>
    <w:p>
      <w:pPr>
        <w:numPr>
          <w:ilvl w:val="0"/>
          <w:numId w:val="1548"/>
        </w:numPr>
        <w:pStyle w:val="Compact"/>
      </w:pPr>
      <w:r>
        <w:t xml:space="preserve">Montants mobilisés par le privé dans la production : 657 M USD (projets opérationnels) et 391 M USD (en construction) ; 8,656 Md USD de projets en préparation [V][1].</w:t>
      </w:r>
    </w:p>
    <w:bookmarkEnd w:id="554"/>
    <w:bookmarkStart w:id="555" w:name="X79ebcc5e9cea82af19c20709130e8223fdd02db"/>
    <w:p>
      <w:pPr>
        <w:pStyle w:val="Heading4"/>
      </w:pPr>
      <w:r>
        <w:t xml:space="preserve">3.5 Intégration régionale (pools énergétiques, interconnexions)</w:t>
      </w:r>
    </w:p>
    <w:p>
      <w:pPr>
        <w:numPr>
          <w:ilvl w:val="0"/>
          <w:numId w:val="1549"/>
        </w:numPr>
        <w:pStyle w:val="Compact"/>
      </w:pPr>
      <w:r>
        <w:t xml:space="preserve">Membre du SAPP (corridor central de transport). Interconnexions MOZISA et ZIZABONA. Soutien à la facilité régionale de financement des lignes (RTIFF) du SAPP [V][1].</w:t>
      </w:r>
    </w:p>
    <w:p>
      <w:pPr>
        <w:numPr>
          <w:ilvl w:val="0"/>
          <w:numId w:val="1549"/>
        </w:numPr>
        <w:pStyle w:val="Compact"/>
      </w:pPr>
      <w:r>
        <w:t xml:space="preserve">Modèle de transporteur indépendant (IPT) d’ici T4 2025. Tarification du transport alignée sur les normes du SAPP d’ici T4 2026 [V][1].</w:t>
      </w:r>
    </w:p>
    <w:p>
      <w:pPr>
        <w:numPr>
          <w:ilvl w:val="0"/>
          <w:numId w:val="1549"/>
        </w:numPr>
        <w:pStyle w:val="Compact"/>
      </w:pPr>
      <w:r>
        <w:t xml:space="preserve">Batoka Gorge (2 400 MW, dont 1 200 MW pour le Zimbabwe) [V][1] :</w:t>
      </w:r>
    </w:p>
    <w:p>
      <w:pPr>
        <w:numPr>
          <w:ilvl w:val="1"/>
          <w:numId w:val="1550"/>
        </w:numPr>
        <w:pStyle w:val="Compact"/>
      </w:pPr>
      <w:r>
        <w:t xml:space="preserve">études de faisabilité d’ici T3 2026 ;</w:t>
      </w:r>
    </w:p>
    <w:p>
      <w:pPr>
        <w:numPr>
          <w:ilvl w:val="1"/>
          <w:numId w:val="1550"/>
        </w:numPr>
        <w:pStyle w:val="Compact"/>
      </w:pPr>
      <w:r>
        <w:t xml:space="preserve">choix du développeur d’ici T2 2027 ;</w:t>
      </w:r>
    </w:p>
    <w:p>
      <w:pPr>
        <w:numPr>
          <w:ilvl w:val="1"/>
          <w:numId w:val="1550"/>
        </w:numPr>
        <w:pStyle w:val="Compact"/>
      </w:pPr>
      <w:r>
        <w:t xml:space="preserve">bouclage financier d’ici T4 2028 ;</w:t>
      </w:r>
    </w:p>
    <w:p>
      <w:pPr>
        <w:numPr>
          <w:ilvl w:val="1"/>
          <w:numId w:val="1550"/>
        </w:numPr>
        <w:pStyle w:val="Compact"/>
      </w:pPr>
      <w:r>
        <w:t xml:space="preserve">début des travaux au T1 2029.</w:t>
      </w:r>
    </w:p>
    <w:p>
      <w:pPr>
        <w:numPr>
          <w:ilvl w:val="0"/>
          <w:numId w:val="1549"/>
        </w:numPr>
        <w:pStyle w:val="Compact"/>
      </w:pPr>
      <w:r>
        <w:t xml:space="preserve">Avancement : ZIZABONA « 35 % Complete », MOZISA « 15 % Complete » [V][2].</w:t>
      </w:r>
    </w:p>
    <w:bookmarkEnd w:id="555"/>
    <w:bookmarkStart w:id="556" w:name="X14a18a82a6c8aa8adb826892800c37495ededed"/>
    <w:p>
      <w:pPr>
        <w:pStyle w:val="Heading4"/>
      </w:pPr>
      <w:r>
        <w:t xml:space="preserve">3.6 Autres (fiscalité, foncier, local content)</w:t>
      </w:r>
    </w:p>
    <w:p>
      <w:pPr>
        <w:numPr>
          <w:ilvl w:val="0"/>
          <w:numId w:val="1551"/>
        </w:numPr>
        <w:pStyle w:val="Compact"/>
      </w:pPr>
      <w:r>
        <w:t xml:space="preserve">Cadre de transition énergétique juste avec la BM d’ici T4 2026 [V][1].</w:t>
      </w:r>
    </w:p>
    <w:p>
      <w:pPr>
        <w:numPr>
          <w:ilvl w:val="0"/>
          <w:numId w:val="1551"/>
        </w:numPr>
        <w:pStyle w:val="Compact"/>
      </w:pPr>
      <w:r>
        <w:t xml:space="preserve">Technologies de « charbon propre » présentées comme une opportunité [V][1].</w:t>
      </w:r>
    </w:p>
    <w:p>
      <w:pPr>
        <w:numPr>
          <w:ilvl w:val="0"/>
          <w:numId w:val="1551"/>
        </w:numPr>
        <w:pStyle w:val="Compact"/>
      </w:pPr>
      <w:r>
        <w:t xml:space="preserve">Pôles d’innovation universitaires pour la fabrication locale de foyers [V][1].</w:t>
      </w:r>
    </w:p>
    <w:p>
      <w:pPr>
        <w:numPr>
          <w:ilvl w:val="0"/>
          <w:numId w:val="1551"/>
        </w:numPr>
        <w:pStyle w:val="Compact"/>
      </w:pPr>
      <w:r>
        <w:t xml:space="preserve">Pas d’engagement sur le foncier, hormis la mention d’une « Availability of land » pour le solaire [V][1].</w:t>
      </w:r>
    </w:p>
    <w:bookmarkEnd w:id="556"/>
    <w:bookmarkEnd w:id="557"/>
    <w:bookmarkStart w:id="558" w:name="financement-35"/>
    <w:p>
      <w:pPr>
        <w:pStyle w:val="Heading3"/>
      </w:pPr>
      <w:r>
        <w:t xml:space="preserve">4. Financement</w:t>
      </w:r>
    </w:p>
    <w:p>
      <w:pPr>
        <w:numPr>
          <w:ilvl w:val="0"/>
          <w:numId w:val="1552"/>
        </w:numPr>
      </w:pPr>
      <w:r>
        <w:t xml:space="preserve">Besoin total sur 2025-2030 :</w:t>
      </w:r>
      <w:r>
        <w:t xml:space="preserve"> </w:t>
      </w:r>
      <w:r>
        <w:rPr>
          <w:bCs/>
          <w:b/>
        </w:rPr>
        <w:t xml:space="preserve">9 134 890 000 USD</w:t>
      </w:r>
      <w:r>
        <w:t xml:space="preserve">, soit environ 1,5 Md USD par an [V][1] :</w:t>
      </w:r>
    </w:p>
    <w:tbl>
      <w:tblPr>
        <w:tblStyle w:val="Table"/>
        <w:tblW w:type="dxa" w:w="14570"/>
        <w:tblLook w:firstRow="1" w:lastRow="0" w:firstColumn="0" w:lastColumn="0" w:noHBand="0" w:noVBand="0" w:val="0020"/>
        <w:jc w:val="start"/>
        <w:tblInd w:w="720" w:type="dxa"/>
      </w:tblPr>
      <w:tblGrid>
        <w:gridCol w:w="5938"/>
        <w:gridCol w:w="4162"/>
        <w:gridCol w:w="2129"/>
        <w:gridCol w:w="2339"/>
      </w:tblGrid>
      <w:tr>
        <w:trPr>
          <w:tblHeader w:val="true"/>
        </w:trPr>
        <w:tc>
          <w:tcPr>
            <w:tcW w:w="5938" w:type="dxa"/>
          </w:tcPr>
          <w:tcPr/>
          <w:p>
            <w:pPr>
              <w:pStyle w:val="Compact"/>
              <w:jc w:val="left"/>
            </w:pPr>
            <w:r>
              <w:t xml:space="preserve">Poste</w:t>
            </w:r>
          </w:p>
        </w:tc>
        <w:tc>
          <w:tcPr>
            <w:tcW w:w="4162" w:type="dxa"/>
          </w:tcPr>
          <w:tcPr/>
          <w:p>
            <w:pPr>
              <w:pStyle w:val="Compact"/>
              <w:jc w:val="left"/>
            </w:pPr>
            <w:r>
              <w:t xml:space="preserve">Montant (USD)</w:t>
            </w:r>
          </w:p>
        </w:tc>
        <w:tc>
          <w:tcPr>
            <w:tcW w:w="2129" w:type="dxa"/>
          </w:tcPr>
          <w:tcPr/>
          <w:p>
            <w:pPr>
              <w:pStyle w:val="Compact"/>
              <w:jc w:val="left"/>
            </w:pPr>
            <w:r>
              <w:t xml:space="preserve">Part privée</w:t>
            </w:r>
          </w:p>
        </w:tc>
        <w:tc>
          <w:tcPr>
            <w:tcW w:w="2339" w:type="dxa"/>
          </w:tcPr>
          <w:tcPr/>
          <w:p>
            <w:pPr>
              <w:pStyle w:val="Compact"/>
              <w:jc w:val="left"/>
            </w:pPr>
            <w:r>
              <w:t xml:space="preserve">Part publique</w:t>
            </w:r>
          </w:p>
        </w:tc>
      </w:tr>
      <w:tr>
        <w:tc>
          <w:tcPr>
            <w:tcW w:w="5938" w:type="dxa"/>
          </w:tcPr>
          <w:tcPr/>
          <w:p>
            <w:pPr>
              <w:pStyle w:val="Compact"/>
              <w:jc w:val="left"/>
            </w:pPr>
            <w:r>
              <w:t xml:space="preserve">Production</w:t>
            </w:r>
          </w:p>
        </w:tc>
        <w:tc>
          <w:tcPr>
            <w:tcW w:w="4162" w:type="dxa"/>
          </w:tcPr>
          <w:tcPr/>
          <w:p>
            <w:pPr>
              <w:pStyle w:val="Compact"/>
              <w:jc w:val="left"/>
            </w:pPr>
            <w:r>
              <w:t xml:space="preserve">3 811 000 000</w:t>
            </w:r>
          </w:p>
        </w:tc>
        <w:tc>
          <w:tcPr>
            <w:tcW w:w="2129" w:type="dxa"/>
          </w:tcPr>
          <w:tcPr/>
          <w:p>
            <w:pPr>
              <w:pStyle w:val="Compact"/>
              <w:jc w:val="left"/>
            </w:pPr>
            <w:r>
              <w:t xml:space="preserve">90 %</w:t>
            </w:r>
          </w:p>
        </w:tc>
        <w:tc>
          <w:tcPr>
            <w:tcW w:w="2339" w:type="dxa"/>
          </w:tcPr>
          <w:tcPr/>
          <w:p>
            <w:pPr>
              <w:pStyle w:val="Compact"/>
              <w:jc w:val="left"/>
            </w:pPr>
            <w:r>
              <w:t xml:space="preserve">10 %</w:t>
            </w:r>
          </w:p>
        </w:tc>
      </w:tr>
      <w:tr>
        <w:tc>
          <w:tcPr>
            <w:tcW w:w="5938" w:type="dxa"/>
          </w:tcPr>
          <w:tcPr/>
          <w:p>
            <w:pPr>
              <w:pStyle w:val="Compact"/>
              <w:jc w:val="left"/>
            </w:pPr>
            <w:r>
              <w:t xml:space="preserve">Lignes de transport (réhabilitation, renforcement, extension)</w:t>
            </w:r>
          </w:p>
        </w:tc>
        <w:tc>
          <w:tcPr>
            <w:tcW w:w="4162" w:type="dxa"/>
          </w:tcPr>
          <w:tcPr/>
          <w:p>
            <w:pPr>
              <w:pStyle w:val="Compact"/>
              <w:jc w:val="left"/>
            </w:pPr>
            <w:r>
              <w:t xml:space="preserve">765 550 000</w:t>
            </w:r>
          </w:p>
        </w:tc>
        <w:tc>
          <w:tcPr>
            <w:tcW w:w="2129" w:type="dxa"/>
          </w:tcPr>
          <w:tcPr/>
          <w:p>
            <w:pPr>
              <w:pStyle w:val="Compact"/>
              <w:jc w:val="left"/>
            </w:pPr>
            <w:r>
              <w:t xml:space="preserve">25 %</w:t>
            </w:r>
          </w:p>
        </w:tc>
        <w:tc>
          <w:tcPr>
            <w:tcW w:w="2339" w:type="dxa"/>
          </w:tcPr>
          <w:tcPr/>
          <w:p>
            <w:pPr>
              <w:pStyle w:val="Compact"/>
              <w:jc w:val="left"/>
            </w:pPr>
            <w:r>
              <w:t xml:space="preserve">75 %</w:t>
            </w:r>
          </w:p>
        </w:tc>
      </w:tr>
      <w:tr>
        <w:tc>
          <w:tcPr>
            <w:tcW w:w="5938" w:type="dxa"/>
          </w:tcPr>
          <w:tcPr/>
          <w:p>
            <w:pPr>
              <w:pStyle w:val="Compact"/>
              <w:jc w:val="left"/>
            </w:pPr>
            <w:r>
              <w:t xml:space="preserve">Transformateurs et postes</w:t>
            </w:r>
          </w:p>
        </w:tc>
        <w:tc>
          <w:tcPr>
            <w:tcW w:w="4162" w:type="dxa"/>
          </w:tcPr>
          <w:tcPr/>
          <w:p>
            <w:pPr>
              <w:pStyle w:val="Compact"/>
              <w:jc w:val="left"/>
            </w:pPr>
            <w:r>
              <w:t xml:space="preserve">202 840 000</w:t>
            </w:r>
          </w:p>
        </w:tc>
        <w:tc>
          <w:tcPr>
            <w:tcW w:w="2129" w:type="dxa"/>
          </w:tcPr>
          <w:tcPr/>
          <w:p>
            <w:pPr>
              <w:pStyle w:val="Compact"/>
              <w:jc w:val="left"/>
            </w:pPr>
            <w:r>
              <w:t xml:space="preserve">0 %</w:t>
            </w:r>
          </w:p>
        </w:tc>
        <w:tc>
          <w:tcPr>
            <w:tcW w:w="2339" w:type="dxa"/>
          </w:tcPr>
          <w:tcPr/>
          <w:p>
            <w:pPr>
              <w:pStyle w:val="Compact"/>
              <w:jc w:val="left"/>
            </w:pPr>
            <w:r>
              <w:t xml:space="preserve">100 %</w:t>
            </w:r>
          </w:p>
        </w:tc>
      </w:tr>
      <w:tr>
        <w:tc>
          <w:tcPr>
            <w:tcW w:w="5938" w:type="dxa"/>
          </w:tcPr>
          <w:tcPr/>
          <w:p>
            <w:pPr>
              <w:pStyle w:val="Compact"/>
              <w:jc w:val="left"/>
            </w:pPr>
            <w:r>
              <w:t xml:space="preserve">Réseau primaire de distribution</w:t>
            </w:r>
          </w:p>
        </w:tc>
        <w:tc>
          <w:tcPr>
            <w:tcW w:w="4162" w:type="dxa"/>
          </w:tcPr>
          <w:tcPr/>
          <w:p>
            <w:pPr>
              <w:pStyle w:val="Compact"/>
              <w:jc w:val="left"/>
            </w:pPr>
            <w:r>
              <w:t xml:space="preserve">147 400 000</w:t>
            </w:r>
          </w:p>
        </w:tc>
        <w:tc>
          <w:tcPr>
            <w:tcW w:w="2129" w:type="dxa"/>
          </w:tcPr>
          <w:tcPr/>
          <w:p>
            <w:pPr>
              <w:pStyle w:val="Compact"/>
              <w:jc w:val="left"/>
            </w:pPr>
            <w:r>
              <w:t xml:space="preserve">20 %</w:t>
            </w:r>
          </w:p>
        </w:tc>
        <w:tc>
          <w:tcPr>
            <w:tcW w:w="2339" w:type="dxa"/>
          </w:tcPr>
          <w:tcPr/>
          <w:p>
            <w:pPr>
              <w:pStyle w:val="Compact"/>
              <w:jc w:val="left"/>
            </w:pPr>
            <w:r>
              <w:t xml:space="preserve">80 %</w:t>
            </w:r>
          </w:p>
        </w:tc>
      </w:tr>
      <w:tr>
        <w:tc>
          <w:tcPr>
            <w:tcW w:w="5938" w:type="dxa"/>
          </w:tcPr>
          <w:tcPr/>
          <w:p>
            <w:pPr>
              <w:pStyle w:val="Compact"/>
              <w:jc w:val="left"/>
            </w:pPr>
            <w:r>
              <w:t xml:space="preserve">Accès réseau</w:t>
            </w:r>
          </w:p>
        </w:tc>
        <w:tc>
          <w:tcPr>
            <w:tcW w:w="4162" w:type="dxa"/>
          </w:tcPr>
          <w:tcPr/>
          <w:p>
            <w:pPr>
              <w:pStyle w:val="Compact"/>
              <w:jc w:val="left"/>
            </w:pPr>
            <w:r>
              <w:t xml:space="preserve">2 965 200 000</w:t>
            </w:r>
          </w:p>
        </w:tc>
        <w:tc>
          <w:tcPr>
            <w:tcW w:w="2129" w:type="dxa"/>
          </w:tcPr>
          <w:tcPr/>
          <w:p>
            <w:pPr>
              <w:pStyle w:val="Compact"/>
              <w:jc w:val="left"/>
            </w:pPr>
            <w:r>
              <w:t xml:space="preserve">0 %</w:t>
            </w:r>
          </w:p>
        </w:tc>
        <w:tc>
          <w:tcPr>
            <w:tcW w:w="2339" w:type="dxa"/>
          </w:tcPr>
          <w:tcPr/>
          <w:p>
            <w:pPr>
              <w:pStyle w:val="Compact"/>
              <w:jc w:val="left"/>
            </w:pPr>
            <w:r>
              <w:t xml:space="preserve">100 %</w:t>
            </w:r>
          </w:p>
        </w:tc>
      </w:tr>
      <w:tr>
        <w:tc>
          <w:tcPr>
            <w:tcW w:w="5938" w:type="dxa"/>
          </w:tcPr>
          <w:tcPr/>
          <w:p>
            <w:pPr>
              <w:pStyle w:val="Compact"/>
              <w:jc w:val="left"/>
            </w:pPr>
            <w:r>
              <w:t xml:space="preserve">Solaire autonome</w:t>
            </w:r>
          </w:p>
        </w:tc>
        <w:tc>
          <w:tcPr>
            <w:tcW w:w="4162" w:type="dxa"/>
          </w:tcPr>
          <w:tcPr/>
          <w:p>
            <w:pPr>
              <w:pStyle w:val="Compact"/>
              <w:jc w:val="left"/>
            </w:pPr>
            <w:r>
              <w:t xml:space="preserve">405 200 000</w:t>
            </w:r>
          </w:p>
        </w:tc>
        <w:tc>
          <w:tcPr>
            <w:tcW w:w="2129" w:type="dxa"/>
          </w:tcPr>
          <w:tcPr/>
          <w:p>
            <w:pPr>
              <w:pStyle w:val="Compact"/>
              <w:jc w:val="left"/>
            </w:pPr>
            <w:r>
              <w:t xml:space="preserve">70 %</w:t>
            </w:r>
          </w:p>
        </w:tc>
        <w:tc>
          <w:tcPr>
            <w:tcW w:w="2339" w:type="dxa"/>
          </w:tcPr>
          <w:tcPr/>
          <w:p>
            <w:pPr>
              <w:pStyle w:val="Compact"/>
              <w:jc w:val="left"/>
            </w:pPr>
            <w:r>
              <w:t xml:space="preserve">30 %</w:t>
            </w:r>
          </w:p>
        </w:tc>
      </w:tr>
      <w:tr>
        <w:tc>
          <w:tcPr>
            <w:tcW w:w="5938" w:type="dxa"/>
          </w:tcPr>
          <w:tcPr/>
          <w:p>
            <w:pPr>
              <w:pStyle w:val="Compact"/>
              <w:jc w:val="left"/>
            </w:pPr>
            <w:r>
              <w:t xml:space="preserve">Mini-réseaux</w:t>
            </w:r>
          </w:p>
        </w:tc>
        <w:tc>
          <w:tcPr>
            <w:tcW w:w="4162" w:type="dxa"/>
          </w:tcPr>
          <w:tcPr/>
          <w:p>
            <w:pPr>
              <w:pStyle w:val="Compact"/>
              <w:jc w:val="left"/>
            </w:pPr>
            <w:r>
              <w:t xml:space="preserve">46 200 000</w:t>
            </w:r>
          </w:p>
        </w:tc>
        <w:tc>
          <w:tcPr>
            <w:tcW w:w="2129" w:type="dxa"/>
          </w:tcPr>
          <w:tcPr/>
          <w:p>
            <w:pPr>
              <w:pStyle w:val="Compact"/>
              <w:jc w:val="left"/>
            </w:pPr>
            <w:r>
              <w:t xml:space="preserve">50 %</w:t>
            </w:r>
          </w:p>
        </w:tc>
        <w:tc>
          <w:tcPr>
            <w:tcW w:w="2339" w:type="dxa"/>
          </w:tcPr>
          <w:tcPr/>
          <w:p>
            <w:pPr>
              <w:pStyle w:val="Compact"/>
              <w:jc w:val="left"/>
            </w:pPr>
            <w:r>
              <w:t xml:space="preserve">50 %</w:t>
            </w:r>
          </w:p>
        </w:tc>
      </w:tr>
      <w:tr>
        <w:tc>
          <w:tcPr>
            <w:tcW w:w="5938" w:type="dxa"/>
          </w:tcPr>
          <w:tcPr/>
          <w:p>
            <w:pPr>
              <w:pStyle w:val="Compact"/>
              <w:jc w:val="left"/>
            </w:pPr>
            <w:r>
              <w:t xml:space="preserve">Cuisson propre</w:t>
            </w:r>
          </w:p>
        </w:tc>
        <w:tc>
          <w:tcPr>
            <w:tcW w:w="4162" w:type="dxa"/>
          </w:tcPr>
          <w:tcPr/>
          <w:p>
            <w:pPr>
              <w:pStyle w:val="Compact"/>
              <w:jc w:val="left"/>
            </w:pPr>
            <w:r>
              <w:t xml:space="preserve">791 500 000</w:t>
            </w:r>
          </w:p>
        </w:tc>
        <w:tc>
          <w:tcPr>
            <w:tcW w:w="2129" w:type="dxa"/>
          </w:tcPr>
          <w:tcPr/>
          <w:p>
            <w:pPr>
              <w:pStyle w:val="Compact"/>
              <w:jc w:val="left"/>
            </w:pPr>
            <w:r>
              <w:t xml:space="preserve">70 %</w:t>
            </w:r>
          </w:p>
        </w:tc>
        <w:tc>
          <w:tcPr>
            <w:tcW w:w="2339" w:type="dxa"/>
          </w:tcPr>
          <w:tcPr/>
          <w:p>
            <w:pPr>
              <w:pStyle w:val="Compact"/>
              <w:jc w:val="left"/>
            </w:pPr>
            <w:r>
              <w:t xml:space="preserve">30 %</w:t>
            </w:r>
          </w:p>
        </w:tc>
      </w:tr>
    </w:tbl>
    <w:p>
      <w:pPr>
        <w:numPr>
          <w:ilvl w:val="0"/>
          <w:numId w:val="1000"/>
        </w:numPr>
      </w:pPr>
      <w:r>
        <w:t xml:space="preserve">Au-delà de 2030, l’enveloppe atteint 16,8 Md USD, dont 10,9 Md USD de production pour 10 938 MW [V][1].</w:t>
      </w:r>
    </w:p>
    <w:p>
      <w:pPr>
        <w:numPr>
          <w:ilvl w:val="0"/>
          <w:numId w:val="1552"/>
        </w:numPr>
      </w:pPr>
      <w:r>
        <w:t xml:space="preserve">Cuisson (NCCS) : 44 % autofinancement des usagers (344 M USD), 7 % fournisseurs (59 M USD), 49 % partenaires (387,8 M USD) [V][1].</w:t>
      </w:r>
    </w:p>
    <w:p>
      <w:pPr>
        <w:numPr>
          <w:ilvl w:val="0"/>
          <w:numId w:val="1552"/>
        </w:numPr>
      </w:pPr>
      <w:r>
        <w:t xml:space="preserve">Électrification (NES) : 3,4 Md USD d’ici 2030, dont 3,1 Md USD pour l’État (environ 515 M USD par an) et 0,3 Md USD pour le privé [V][1]. Le pacte rappelle que l’électrification rurale est financée surtout par une taxe sur le tarif (REF) [V][1].</w:t>
      </w:r>
    </w:p>
    <w:p>
      <w:pPr>
        <w:numPr>
          <w:ilvl w:val="0"/>
          <w:numId w:val="1552"/>
        </w:numPr>
      </w:pPr>
      <w:r>
        <w:t xml:space="preserve">Engagements cités (extrait de l’annexe 5) : réhabilitation de Kariba, 294 M USD (UE, BM, BAD, Suède, ZRA), 2014-2026 [V][1]. Le reste de l’annexe des partenaires n’a pas été dépouillé lors de cette phase [?].</w:t>
      </w:r>
    </w:p>
    <w:p>
      <w:pPr>
        <w:numPr>
          <w:ilvl w:val="0"/>
          <w:numId w:val="1552"/>
        </w:numPr>
      </w:pPr>
      <w:r>
        <w:t xml:space="preserve">Capitaux privés mobilisés en 2025 : 487,75 M USD, soit 687,75 M USD cumulés sur 2024-2025 [V][2].</w:t>
      </w:r>
    </w:p>
    <w:bookmarkEnd w:id="558"/>
    <w:bookmarkStart w:id="559" w:name="calendrier-et-suivi-35"/>
    <w:p>
      <w:pPr>
        <w:pStyle w:val="Heading3"/>
      </w:pPr>
      <w:r>
        <w:t xml:space="preserve">5. Calendrier et suivi</w:t>
      </w:r>
    </w:p>
    <w:p>
      <w:pPr>
        <w:numPr>
          <w:ilvl w:val="0"/>
          <w:numId w:val="1553"/>
        </w:numPr>
        <w:pStyle w:val="Compact"/>
      </w:pPr>
      <w:r>
        <w:t xml:space="preserve">Jalons datés : T3 2025 (NEP, NCCS) ; T4 2025 (NIERP, NES, MGRF, GPSA, compteurs pour tous, nouvelle structure de l’opérateur) ; T1-T2 2026 ; T4 2026 ; T4 2027 (recouvrement des coûts à 100 %, dette historique, lignes régionales) ; T4 2028 (bouclage Batoka) ; T4 2030 [V][1].</w:t>
      </w:r>
    </w:p>
    <w:p>
      <w:pPr>
        <w:numPr>
          <w:ilvl w:val="0"/>
          <w:numId w:val="1553"/>
        </w:numPr>
        <w:pStyle w:val="Compact"/>
      </w:pPr>
      <w:r>
        <w:t xml:space="preserve">Résultats au 31/12/2025 [V][2] :</w:t>
      </w:r>
    </w:p>
    <w:p>
      <w:pPr>
        <w:numPr>
          <w:ilvl w:val="1"/>
          <w:numId w:val="1554"/>
        </w:numPr>
        <w:pStyle w:val="Compact"/>
      </w:pPr>
      <w:r>
        <w:t xml:space="preserve">+50 000 raccordements (environ 200 000 personnes) ;</w:t>
      </w:r>
    </w:p>
    <w:p>
      <w:pPr>
        <w:numPr>
          <w:ilvl w:val="1"/>
          <w:numId w:val="1554"/>
        </w:numPr>
        <w:pStyle w:val="Compact"/>
      </w:pPr>
      <w:r>
        <w:t xml:space="preserve">cuisson propre à 45,7 % (base 39 %) ;</w:t>
      </w:r>
    </w:p>
    <w:p>
      <w:pPr>
        <w:numPr>
          <w:ilvl w:val="1"/>
          <w:numId w:val="1554"/>
        </w:numPr>
        <w:pStyle w:val="Compact"/>
      </w:pPr>
      <w:r>
        <w:t xml:space="preserve">renouvelables à 42,5 % de la production (base 43 %, donc</w:t>
      </w:r>
      <w:r>
        <w:t xml:space="preserve"> </w:t>
      </w:r>
      <w:r>
        <w:rPr>
          <w:bCs/>
          <w:b/>
        </w:rPr>
        <w:t xml:space="preserve">en recul</w:t>
      </w:r>
      <w:r>
        <w:t xml:space="preserve">) ;</w:t>
      </w:r>
    </w:p>
    <w:p>
      <w:pPr>
        <w:numPr>
          <w:ilvl w:val="1"/>
          <w:numId w:val="1554"/>
        </w:numPr>
        <w:pStyle w:val="Compact"/>
      </w:pPr>
      <w:r>
        <w:t xml:space="preserve">487,75 M USD de capitaux privés mobilisés en 2025.</w:t>
      </w:r>
    </w:p>
    <w:p>
      <w:pPr>
        <w:numPr>
          <w:ilvl w:val="0"/>
          <w:numId w:val="1553"/>
        </w:numPr>
        <w:pStyle w:val="Compact"/>
      </w:pPr>
      <w:r>
        <w:t xml:space="preserve">Réformes [V][2] : 71 actions, dont 10 prioritaires. 5 achevées (dont 1 prioritaire, la NES), 50 en cours (dont 5 prioritaires), 16 en retard (dont 4 prioritaires). Les quatre prioritaires en retard :</w:t>
      </w:r>
    </w:p>
    <w:p>
      <w:pPr>
        <w:numPr>
          <w:ilvl w:val="1"/>
          <w:numId w:val="1555"/>
        </w:numPr>
        <w:pStyle w:val="Compact"/>
      </w:pPr>
      <w:r>
        <w:t xml:space="preserve">NCCS (échéance 30/09/2025) ;</w:t>
      </w:r>
    </w:p>
    <w:p>
      <w:pPr>
        <w:numPr>
          <w:ilvl w:val="1"/>
          <w:numId w:val="1555"/>
        </w:numPr>
        <w:pStyle w:val="Compact"/>
      </w:pPr>
      <w:r>
        <w:t xml:space="preserve">NEP (30/09/2025) ;</w:t>
      </w:r>
    </w:p>
    <w:p>
      <w:pPr>
        <w:numPr>
          <w:ilvl w:val="1"/>
          <w:numId w:val="1555"/>
        </w:numPr>
        <w:pStyle w:val="Compact"/>
      </w:pPr>
      <w:r>
        <w:t xml:space="preserve">MGRF (31/12/2025) ;</w:t>
      </w:r>
    </w:p>
    <w:p>
      <w:pPr>
        <w:numPr>
          <w:ilvl w:val="1"/>
          <w:numId w:val="1555"/>
        </w:numPr>
        <w:pStyle w:val="Compact"/>
      </w:pPr>
      <w:r>
        <w:t xml:space="preserve">très probablement « Implement the new structure for the national utility » (pilier V, échéance 31/12/2025) : l’attribution ligne à ligne repose sur une extraction en colonnes [E].</w:t>
      </w:r>
    </w:p>
    <w:bookmarkEnd w:id="559"/>
    <w:bookmarkStart w:id="560" w:name="lecture-critique-28"/>
    <w:p>
      <w:pPr>
        <w:pStyle w:val="Heading3"/>
      </w:pPr>
      <w:r>
        <w:t xml:space="preserve">6. Lecture critique</w:t>
      </w:r>
    </w:p>
    <w:p>
      <w:pPr>
        <w:numPr>
          <w:ilvl w:val="0"/>
          <w:numId w:val="1556"/>
        </w:numPr>
        <w:pStyle w:val="Compact"/>
      </w:pPr>
      <w:r>
        <w:rPr>
          <w:bCs/>
          <w:b/>
        </w:rPr>
        <w:t xml:space="preserve">Réalisme des cibles.</w:t>
      </w:r>
      <w:r>
        <w:t xml:space="preserve"> </w:t>
      </w:r>
      <w:r>
        <w:t xml:space="preserve">Passer de 40 000–60 000 ménages électrifiés par an à 520 000 par an multiplie le rythme par 9 à 13 [E, calcul]. Le résultat de 2025 (50 000) correspond au rythme historique, pas à la trajectoire [V][2]. La base de 41 % (NES), contre 62 % (recensement), montre que la mesure même de l’accès est fragile [V][1]. La part des renouvelables recule en 2025 [V][2].</w:t>
      </w:r>
    </w:p>
    <w:p>
      <w:pPr>
        <w:numPr>
          <w:ilvl w:val="0"/>
          <w:numId w:val="1556"/>
        </w:numPr>
        <w:pStyle w:val="Compact"/>
      </w:pPr>
      <w:r>
        <w:rPr>
          <w:bCs/>
          <w:b/>
        </w:rPr>
        <w:t xml:space="preserve">Engagements tarifaires.</w:t>
      </w:r>
      <w:r>
        <w:t xml:space="preserve"> </w:t>
      </w:r>
      <w:r>
        <w:t xml:space="preserve">Ils sont plus précis que la moyenne : tarif actuel chiffré, recouvrement à 100 % des coûts d’exploitation daté (T4 2027) et exigé</w:t>
      </w:r>
      <w:r>
        <w:t xml:space="preserve"> </w:t>
      </w:r>
      <w:r>
        <w:rPr>
          <w:bCs/>
          <w:b/>
        </w:rPr>
        <w:t xml:space="preserve">en devises comme en monnaie locale</w:t>
      </w:r>
      <w:r>
        <w:t xml:space="preserve">, révision du Tariff Code [V][1]. En revanche, l’annexe ne donne ni trajectoire de prix ni montant de subvention (« No data ») [V][1]. Le risque de change est central [E].</w:t>
      </w:r>
    </w:p>
    <w:p>
      <w:pPr>
        <w:numPr>
          <w:ilvl w:val="0"/>
          <w:numId w:val="1556"/>
        </w:numPr>
        <w:pStyle w:val="Compact"/>
      </w:pPr>
      <w:r>
        <w:rPr>
          <w:bCs/>
          <w:b/>
        </w:rPr>
        <w:t xml:space="preserve">Risques principaux.</w:t>
      </w:r>
    </w:p>
    <w:p>
      <w:pPr>
        <w:numPr>
          <w:ilvl w:val="1"/>
          <w:numId w:val="1557"/>
        </w:numPr>
        <w:pStyle w:val="Compact"/>
      </w:pPr>
      <w:r>
        <w:t xml:space="preserve">Convertibilité et instabilité monétaire (GPSA, lettres de confort de la RBZ) [V][1].</w:t>
      </w:r>
    </w:p>
    <w:p>
      <w:pPr>
        <w:numPr>
          <w:ilvl w:val="1"/>
          <w:numId w:val="1557"/>
        </w:numPr>
        <w:pStyle w:val="Compact"/>
      </w:pPr>
      <w:r>
        <w:t xml:space="preserve">Dette historique de ZESA et arriérés internationaux de l’État [V][1].</w:t>
      </w:r>
    </w:p>
    <w:p>
      <w:pPr>
        <w:numPr>
          <w:ilvl w:val="1"/>
          <w:numId w:val="1557"/>
        </w:numPr>
        <w:pStyle w:val="Compact"/>
      </w:pPr>
      <w:r>
        <w:t xml:space="preserve">Écart entre la capacité installée et la capacité fiable (charbon vieillissant) [V][1].</w:t>
      </w:r>
    </w:p>
    <w:p>
      <w:pPr>
        <w:numPr>
          <w:ilvl w:val="1"/>
          <w:numId w:val="1557"/>
        </w:numPr>
        <w:pStyle w:val="Compact"/>
      </w:pPr>
      <w:r>
        <w:t xml:space="preserve">Accès réseau financé à 100 % par le public (2,97 Md USD) [V][1].</w:t>
      </w:r>
    </w:p>
    <w:p>
      <w:pPr>
        <w:numPr>
          <w:ilvl w:val="1"/>
          <w:numId w:val="1557"/>
        </w:numPr>
        <w:pStyle w:val="Compact"/>
      </w:pPr>
      <w:r>
        <w:t xml:space="preserve">Projets IPP non sollicités sans bouclage financier [V][1].</w:t>
      </w:r>
    </w:p>
    <w:p>
      <w:pPr>
        <w:numPr>
          <w:ilvl w:val="1"/>
          <w:numId w:val="1557"/>
        </w:numPr>
        <w:pStyle w:val="Compact"/>
      </w:pPr>
      <w:r>
        <w:t xml:space="preserve">Maintien d’options charbon (« clean coal ») [V][1].</w:t>
      </w:r>
    </w:p>
    <w:p>
      <w:pPr>
        <w:numPr>
          <w:ilvl w:val="0"/>
          <w:numId w:val="1556"/>
        </w:numPr>
        <w:pStyle w:val="Compact"/>
      </w:pPr>
      <w:r>
        <w:rPr>
          <w:bCs/>
          <w:b/>
        </w:rPr>
        <w:t xml:space="preserve">Points à approfondir.</w:t>
      </w:r>
    </w:p>
    <w:p>
      <w:pPr>
        <w:numPr>
          <w:ilvl w:val="1"/>
          <w:numId w:val="1558"/>
        </w:numPr>
        <w:pStyle w:val="Compact"/>
      </w:pPr>
      <w:r>
        <w:t xml:space="preserve">Phase 2 (opérateur) : comptes de ZETDC et ZPC (devise de reporting, en ZWL depuis 2019) ; pertes totales ATCC ; mise en œuvre du Performance Improvement Plan ; nouvelle structure de ZESA.</w:t>
      </w:r>
    </w:p>
    <w:p>
      <w:pPr>
        <w:numPr>
          <w:ilvl w:val="1"/>
          <w:numId w:val="1558"/>
        </w:numPr>
        <w:pStyle w:val="Compact"/>
      </w:pPr>
      <w:r>
        <w:t xml:space="preserve">Phase 3 (tarifs) : Cost of Service Study 2020 ; grille ZERA ; part des recettes en devises ; frais d’utilisation des réseaux ; coût moyen de service [?].</w:t>
      </w:r>
    </w:p>
    <w:bookmarkEnd w:id="560"/>
    <w:bookmarkStart w:id="561" w:name="inconnus-données-non-trouvées-35"/>
    <w:p>
      <w:pPr>
        <w:pStyle w:val="Heading3"/>
      </w:pPr>
      <w:r>
        <w:t xml:space="preserve">7. Inconnus / données non trouvées</w:t>
      </w:r>
    </w:p>
    <w:p>
      <w:pPr>
        <w:numPr>
          <w:ilvl w:val="0"/>
          <w:numId w:val="1559"/>
        </w:numPr>
        <w:pStyle w:val="Compact"/>
      </w:pPr>
      <w:r>
        <w:t xml:space="preserve">Jour exact de présentation à l’ACMF : [?].</w:t>
      </w:r>
    </w:p>
    <w:p>
      <w:pPr>
        <w:numPr>
          <w:ilvl w:val="0"/>
          <w:numId w:val="1559"/>
        </w:numPr>
        <w:pStyle w:val="Compact"/>
      </w:pPr>
      <w:r>
        <w:t xml:space="preserve">Pertes totales ATCC, taux de recouvrement et montant de la dette de ZESA : les valeurs de l’annexe II sont mal extraites (tableau en colonnes), donc non reprises [?]. À relire sur le PDF.</w:t>
      </w:r>
    </w:p>
    <w:p>
      <w:pPr>
        <w:numPr>
          <w:ilvl w:val="0"/>
          <w:numId w:val="1559"/>
        </w:numPr>
        <w:pStyle w:val="Compact"/>
      </w:pPr>
      <w:r>
        <w:t xml:space="preserve">Coût moyen de service par kWh : [?] non trouvé.</w:t>
      </w:r>
    </w:p>
    <w:p>
      <w:pPr>
        <w:numPr>
          <w:ilvl w:val="0"/>
          <w:numId w:val="1559"/>
        </w:numPr>
        <w:pStyle w:val="Compact"/>
      </w:pPr>
      <w:r>
        <w:t xml:space="preserve">Montant des subventions : « No data » [V][1].</w:t>
      </w:r>
    </w:p>
    <w:p>
      <w:pPr>
        <w:numPr>
          <w:ilvl w:val="0"/>
          <w:numId w:val="1559"/>
        </w:numPr>
        <w:pStyle w:val="Compact"/>
      </w:pPr>
      <w:r>
        <w:rPr>
          <w:bCs/>
          <w:b/>
        </w:rPr>
        <w:t xml:space="preserve">Incohérences internes.</w:t>
      </w:r>
    </w:p>
    <w:p>
      <w:pPr>
        <w:numPr>
          <w:ilvl w:val="1"/>
          <w:numId w:val="1560"/>
        </w:numPr>
        <w:pStyle w:val="Compact"/>
      </w:pPr>
      <w:r>
        <w:t xml:space="preserve">Cible renouvelables hors grande hydro : 29 % contre 31 % [V][1].</w:t>
      </w:r>
    </w:p>
    <w:p>
      <w:pPr>
        <w:numPr>
          <w:ilvl w:val="1"/>
          <w:numId w:val="1560"/>
        </w:numPr>
        <w:pStyle w:val="Compact"/>
      </w:pPr>
      <w:r>
        <w:t xml:space="preserve">Base d’accès : 62 % contre 41 % [V][1].</w:t>
      </w:r>
    </w:p>
    <w:p>
      <w:pPr>
        <w:numPr>
          <w:ilvl w:val="1"/>
          <w:numId w:val="1560"/>
        </w:numPr>
        <w:pStyle w:val="Compact"/>
      </w:pPr>
      <w:r>
        <w:t xml:space="preserve">« The 59% of the population that have no access » contre 38 % sans accès dans l’avant-propos [V][1].</w:t>
      </w:r>
    </w:p>
    <w:p>
      <w:pPr>
        <w:numPr>
          <w:ilvl w:val="1"/>
          <w:numId w:val="1560"/>
        </w:numPr>
        <w:pStyle w:val="Compact"/>
      </w:pPr>
      <w:r>
        <w:t xml:space="preserve">Besoin de financement : « over USD9 billion » contre 9,13 Md USD contre 9,1 Md USD (cohérent à l’arrondi près) [V][1].</w:t>
      </w:r>
    </w:p>
    <w:p>
      <w:pPr>
        <w:numPr>
          <w:ilvl w:val="1"/>
          <w:numId w:val="1560"/>
        </w:numPr>
        <w:pStyle w:val="Compact"/>
      </w:pPr>
      <w:r>
        <w:t xml:space="preserve">Le rapport d’avancement parle d’une « deuxième cohorte de 18 pays », alors que le communiqué BM de New York en compte 17 (voir l’inventaire, D5) [V][2].</w:t>
      </w:r>
    </w:p>
    <w:bookmarkEnd w:id="561"/>
    <w:bookmarkStart w:id="562" w:name="sources-36"/>
    <w:p>
      <w:pPr>
        <w:pStyle w:val="Heading3"/>
      </w:pPr>
      <w:r>
        <w:t xml:space="preserve">Sources</w:t>
      </w:r>
    </w:p>
    <w:p>
      <w:pPr>
        <w:pStyle w:val="FirstParagraph"/>
      </w:pPr>
      <w:r>
        <w:t xml:space="preserve">[1] Government of the Republic of Zimbabwe, « National Energy Compact for the Republic of Zimbabwe », Mission 300, oct. 2025, 60 p. https://www.worldbank.org/content/dam/theworldbankgroupasset/document/2026/m300-energy-compacts/Zimbabwe-National-Energy-Compact-Mission-300.pdf (téléchargé le 18/10/2026)</w:t>
      </w:r>
      <w:r>
        <w:t xml:space="preserve"> </w:t>
      </w:r>
      <w:r>
        <w:t xml:space="preserve">[2] Government of Zimbabwe (CDMU), « Mission 300 Compact Progress Report — First cycle of data collection 2025 — Zimbabwe », mars 2026. https://www.worldbank.org/content/dam/theworldbankgroupasset/document/2026/m300-energy-compacts/progress-reports/zimbabwe_mission-300_compact-progress-report-050526.pdf (téléchargé le 18/10/2026)</w:t>
      </w:r>
      <w:r>
        <w:t xml:space="preserve"> </w:t>
      </w:r>
      <w:r>
        <w:t xml:space="preserve">[3] Banque mondiale, page « National Energy Compacts », https://www.worldbank.org/ext/en/energizingafrica/national-energy-compacts (consultée le 18/10/2026)</w:t>
      </w:r>
      <w:r>
        <w:t xml:space="preserve"> </w:t>
      </w:r>
      <w:r>
        <w:t xml:space="preserve">[4] Business Times (Zimbabwe), « Zimbabwe unveils National Energy Compact, courts global investors », https://businesstimes.co.zw/zimbabwe-unveils-national-energy-compact-courts-global-investors/ [S]</w:t>
      </w:r>
    </w:p>
    <w:p>
      <w:r>
        <w:br w:type="page"/>
      </w:r>
    </w:p>
    <w:bookmarkEnd w:id="562"/>
    <w:bookmarkEnd w:id="563"/>
    <w:bookmarkEnd w:id="564"/>
    <w:sectPr/>
    <w:sectPr>
      <w:pgSz w:w="16838" w:h="11906" w:orient="landscape"/>
      <w:pgMar w:top="1134" w:right="1134" w:bottom="1134" w:left="1134" w:header="567" w:footer="567"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 w:numId="1517">
    <w:abstractNumId w:val="991"/>
  </w:num>
  <w:num w:numId="1518">
    <w:abstractNumId w:val="991"/>
  </w:num>
  <w:num w:numId="1519">
    <w:abstractNumId w:val="991"/>
  </w:num>
  <w:num w:numId="1520">
    <w:abstractNumId w:val="991"/>
  </w:num>
  <w:num w:numId="1521">
    <w:abstractNumId w:val="991"/>
  </w:num>
  <w:num w:numId="1522">
    <w:abstractNumId w:val="991"/>
  </w:num>
  <w:num w:numId="1523">
    <w:abstractNumId w:val="991"/>
  </w:num>
  <w:num w:numId="1524">
    <w:abstractNumId w:val="991"/>
  </w:num>
  <w:num w:numId="1525">
    <w:abstractNumId w:val="991"/>
  </w:num>
  <w:num w:numId="1526">
    <w:abstractNumId w:val="991"/>
  </w:num>
  <w:num w:numId="1527">
    <w:abstractNumId w:val="991"/>
  </w:num>
  <w:num w:numId="1528">
    <w:abstractNumId w:val="991"/>
  </w:num>
  <w:num w:numId="1529">
    <w:abstractNumId w:val="991"/>
  </w:num>
  <w:num w:numId="1530">
    <w:abstractNumId w:val="991"/>
  </w:num>
  <w:num w:numId="1531">
    <w:abstractNumId w:val="991"/>
  </w:num>
  <w:num w:numId="1532">
    <w:abstractNumId w:val="991"/>
  </w:num>
  <w:num w:numId="1533">
    <w:abstractNumId w:val="991"/>
  </w:num>
  <w:num w:numId="1534">
    <w:abstractNumId w:val="991"/>
  </w:num>
  <w:num w:numId="1535">
    <w:abstractNumId w:val="991"/>
  </w:num>
  <w:num w:numId="1536">
    <w:abstractNumId w:val="991"/>
  </w:num>
  <w:num w:numId="1537">
    <w:abstractNumId w:val="991"/>
  </w:num>
  <w:num w:numId="1538">
    <w:abstractNumId w:val="991"/>
  </w:num>
  <w:num w:numId="1539">
    <w:abstractNumId w:val="991"/>
  </w:num>
  <w:num w:numId="1540">
    <w:abstractNumId w:val="991"/>
  </w:num>
  <w:num w:numId="1541">
    <w:abstractNumId w:val="991"/>
  </w:num>
  <w:num w:numId="1542">
    <w:abstractNumId w:val="991"/>
  </w:num>
  <w:num w:numId="1543">
    <w:abstractNumId w:val="991"/>
  </w:num>
  <w:num w:numId="1544">
    <w:abstractNumId w:val="991"/>
  </w:num>
  <w:num w:numId="1545">
    <w:abstractNumId w:val="991"/>
  </w:num>
  <w:num w:numId="1546">
    <w:abstractNumId w:val="991"/>
  </w:num>
  <w:num w:numId="1547">
    <w:abstractNumId w:val="991"/>
  </w:num>
  <w:num w:numId="1548">
    <w:abstractNumId w:val="991"/>
  </w:num>
  <w:num w:numId="1549">
    <w:abstractNumId w:val="991"/>
  </w:num>
  <w:num w:numId="1550">
    <w:abstractNumId w:val="991"/>
  </w:num>
  <w:num w:numId="1551">
    <w:abstractNumId w:val="991"/>
  </w:num>
  <w:num w:numId="1552">
    <w:abstractNumId w:val="991"/>
  </w:num>
  <w:num w:numId="1553">
    <w:abstractNumId w:val="991"/>
  </w:num>
  <w:num w:numId="1554">
    <w:abstractNumId w:val="991"/>
  </w:num>
  <w:num w:numId="1555">
    <w:abstractNumId w:val="991"/>
  </w:num>
  <w:num w:numId="1556">
    <w:abstractNumId w:val="991"/>
  </w:num>
  <w:num w:numId="1557">
    <w:abstractNumId w:val="991"/>
  </w:num>
  <w:num w:numId="1558">
    <w:abstractNumId w:val="991"/>
  </w:num>
  <w:num w:numId="1559">
    <w:abstractNumId w:val="991"/>
  </w:num>
  <w:num w:numId="156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cs="Calibri" w:eastAsia="Calibri" w:hAnsi="Calibri"/>
        <w:sz w:val="20"/>
        <w:szCs w:val="20"/>
        <w:lang w:bidi="ar-SA" w:eastAsia="en-US" w:val="fr-F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Calibri" w:cs="Calibri" w:eastAsia="Calibri" w:hAnsi="Calibri"/>
      <w:b/>
      <w:bCs/>
      <w:color w:val="1F3864"/>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1F3864"/>
      <w:sz w:val="32"/>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1F3864"/>
      <w:sz w:val="28"/>
      <w:szCs w:val="28"/>
    </w:rPr>
  </w:style>
  <w:style w:styleId="Heading3" w:type="paragraph">
    <w:name w:val="Heading 3"/>
    <w:basedOn w:val="Normal"/>
    <w:next w:val="BodyText"/>
    <w:uiPriority w:val="9"/>
    <w:unhideWhenUsed/>
    <w:qFormat/>
    <w:pPr>
      <w:keepNext/>
      <w:keepLines/>
      <w:spacing w:after="0" w:before="200"/>
      <w:outlineLvl w:val="2"/>
    </w:pPr>
    <w:rPr>
      <w:rFonts w:ascii="Calibri" w:cs="Calibri" w:eastAsia="Calibri" w:hAnsi="Calibri"/>
      <w:b/>
      <w:bCs/>
      <w:color w:val="1F3864"/>
      <w:sz w:val="24"/>
      <w:szCs w:val="24"/>
    </w:rPr>
  </w:style>
  <w:style w:styleId="Heading4" w:type="paragraph">
    <w:name w:val="Heading 4"/>
    <w:basedOn w:val="Normal"/>
    <w:next w:val="BodyText"/>
    <w:uiPriority w:val="9"/>
    <w:unhideWhenUsed/>
    <w:qFormat/>
    <w:pPr>
      <w:keepNext/>
      <w:keepLines/>
      <w:spacing w:after="0" w:before="200"/>
      <w:outlineLvl w:val="3"/>
    </w:pPr>
    <w:rPr>
      <w:rFonts w:ascii="Calibri" w:cs="Calibri" w:eastAsia="Calibri" w:hAnsi="Calibri"/>
      <w:i/>
      <w:bCs/>
      <w:color w:val="1F3864"/>
      <w:sz w:val="24"/>
      <w:szCs w:val="24"/>
    </w:rPr>
  </w:style>
  <w:style w:styleId="Heading5" w:type="paragraph">
    <w:name w:val="Heading 5"/>
    <w:basedOn w:val="Normal"/>
    <w:next w:val="BodyText"/>
    <w:uiPriority w:val="9"/>
    <w:unhideWhenUsed/>
    <w:qFormat/>
    <w:pPr>
      <w:keepNext/>
      <w:keepLines/>
      <w:spacing w:after="0" w:before="200"/>
      <w:outlineLvl w:val="4"/>
    </w:pPr>
    <w:rPr>
      <w:rFonts w:ascii="Calibri" w:cs="Calibri" w:eastAsia="Calibri" w:hAnsi="Calibri"/>
      <w:iCs/>
      <w:color w:val="1F3864"/>
      <w:sz w:val="24"/>
      <w:szCs w:val="24"/>
    </w:rPr>
  </w:style>
  <w:style w:styleId="Heading6" w:type="paragraph">
    <w:name w:val="Heading 6"/>
    <w:basedOn w:val="Normal"/>
    <w:next w:val="BodyText"/>
    <w:uiPriority w:val="9"/>
    <w:unhideWhenUsed/>
    <w:qFormat/>
    <w:pPr>
      <w:keepNext/>
      <w:keepLines/>
      <w:spacing w:after="0" w:before="200"/>
      <w:outlineLvl w:val="5"/>
    </w:pPr>
    <w:rPr>
      <w:rFonts w:ascii="Calibri" w:cs="Calibri" w:eastAsia="Calibri" w:hAnsi="Calibri"/>
      <w:color w:val="1F3864"/>
      <w:sz w:val="24"/>
      <w:szCs w:val="24"/>
    </w:rPr>
  </w:style>
  <w:style w:styleId="Heading7" w:type="paragraph">
    <w:name w:val="Heading 7"/>
    <w:basedOn w:val="Normal"/>
    <w:next w:val="BodyText"/>
    <w:uiPriority w:val="9"/>
    <w:unhideWhenUsed/>
    <w:qFormat/>
    <w:pPr>
      <w:keepNext/>
      <w:keepLines/>
      <w:spacing w:after="0" w:before="200"/>
      <w:outlineLvl w:val="6"/>
    </w:pPr>
    <w:rPr>
      <w:rFonts w:ascii="Calibri" w:cs="Calibri" w:eastAsia="Calibri" w:hAnsi="Calibri"/>
      <w:color w:val="1F3864"/>
      <w:sz w:val="24"/>
      <w:szCs w:val="24"/>
    </w:rPr>
  </w:style>
  <w:style w:styleId="Heading8" w:type="paragraph">
    <w:name w:val="Heading 8"/>
    <w:basedOn w:val="Normal"/>
    <w:next w:val="BodyText"/>
    <w:uiPriority w:val="9"/>
    <w:unhideWhenUsed/>
    <w:qFormat/>
    <w:pPr>
      <w:keepNext/>
      <w:keepLines/>
      <w:spacing w:after="0" w:before="200"/>
      <w:outlineLvl w:val="7"/>
    </w:pPr>
    <w:rPr>
      <w:rFonts w:ascii="Calibri" w:cs="Calibri" w:eastAsia="Calibri" w:hAnsi="Calibri"/>
      <w:color w:val="1F3864"/>
      <w:sz w:val="24"/>
      <w:szCs w:val="24"/>
    </w:rPr>
  </w:style>
  <w:style w:styleId="Heading9" w:type="paragraph">
    <w:name w:val="Heading 9"/>
    <w:basedOn w:val="Normal"/>
    <w:next w:val="BodyText"/>
    <w:uiPriority w:val="9"/>
    <w:unhideWhenUsed/>
    <w:qFormat/>
    <w:pPr>
      <w:keepNext/>
      <w:keepLines/>
      <w:spacing w:after="0" w:before="200"/>
      <w:outlineLvl w:val="8"/>
    </w:pPr>
    <w:rPr>
      <w:rFonts w:ascii="Calibri" w:cs="Calibri" w:eastAsia="Calibri" w:hAnsi="Calibri"/>
      <w:color w:val="1F3864"/>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8EAADB" w:space="0" w:sz="4" w:val="single"/>
        <w:left w:color="8EAADB" w:space="0" w:sz="4" w:val="single"/>
        <w:bottom w:color="8EAADB" w:space="0" w:sz="4" w:val="single"/>
        <w:right w:color="8EAADB" w:space="0" w:sz="4" w:val="single"/>
        <w:insideH w:color="8EAADB" w:space="0" w:sz="4" w:val="single"/>
        <w:insideV w:color="8EAADB" w:space="0" w:sz="4" w:val="single"/>
      </w:tblBorders>
      <w:tblCellMar>
        <w:top w:type="dxa" w:w="0"/>
        <w:left w:type="dxa" w:w="108"/>
        <w:bottom w:type="dxa" w:w="0"/>
        <w:right w:type="dxa" w:w="108"/>
      </w:tblCellMar>
    </w:tblPr>
    <w:rPr>
      <w:sz w:val="16"/>
      <w:szCs w:val="16"/>
    </w:rPr>
    <w:tblStylePr w:type="firstRow">
      <w:tblPr>
        <w:jc w:val="left"/>
        <w:tblInd w:type="dxa" w:w="0"/>
      </w:tblPr>
      <w:trPr>
        <w:jc w:val="left"/>
      </w:trPr>
      <w:tcPr>
        <w:tcBorders>
          <w:bottom w:val="single"/>
        </w:tcBorders>
        <w:shd w:color="auto" w:fill="D9E2F3"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1F3864"/>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Mission 300 — Revue des Pactes nationaux de l’énergie</dc:title>
  <dc:creator/>
  <dc:language>fr-FR</dc:language>
  <cp:keywords/>
  <dcterms:created xsi:type="dcterms:W3CDTF">2026-10-18T15:12:14Z</dcterms:created>
  <dcterms:modified xsi:type="dcterms:W3CDTF">2026-10-18T15:12:14Z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18 octobre 2026</vt:lpwstr>
  </property>
  <property fmtid="{D5CDD505-2E9C-101B-9397-08002B2CF9AE}" pid="3" name="subtitle">
    <vt:lpwstr>Phase 1 : appropriation des 36 pactes nationaux (Banque mondiale / BAD)</vt:lpwstr>
  </property>
  <property fmtid="{D5CDD505-2E9C-101B-9397-08002B2CF9AE}" pid="4" name="toc-title">
    <vt:lpwstr>Table des matières</vt:lpwstr>
  </property>
</Properties>
</file>