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Africa Mining Intelligence — Programme de formation (5 jours)</w:t>
      </w:r>
    </w:p>
    <w:p>
      <w:pPr/>
      <w:r>
        <w:t xml:space="preserve">Oct 8, 2026</w:t>
      </w:r>
      <w:r>
        <w:t xml:space="preserve"> · </w:t>
      </w:r>
      <w:r>
        <w:t xml:space="preserve">@Emmanuel Boujieka Kamga</w:t>
      </w:r>
    </w:p>
    <w:p>
      <w:pPr>
        <w:pStyle w:val="Heading2"/>
      </w:pPr>
      <w:r>
        <w:t xml:space="preserve">Fiche de la formation</w:t>
      </w:r>
    </w:p>
    <w:p>
      <w:pPr/>
      <w:r>
        <w:rPr>
          <w:b/>
        </w:rPr>
        <w:t xml:space="preserve">Africa Mining Intelligence — Télédétection, SIG, exploration minière et valorisation des ressources minérales.</w:t>
      </w:r>
      <w:r>
        <w:t xml:space="preserve"> Sous-titre : </w:t>
      </w:r>
      <w:r>
        <w:rPr>
          <w:i/>
        </w:rPr>
        <w:t xml:space="preserve">From Satellite to Mine — From Ore to Market</w:t>
      </w:r>
      <w:r>
        <w:t xml:space="preserve">. Le Cameroun sert de laboratoire principal ; la RDC, la Guinée, la Zambie et le Congo servent de comparaisons.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Contenu</w:t>
            </w:r>
          </w:p>
        </w:tc>
      </w:tr>
      <w:tr>
        <w:tc>
          <w:tcPr>
            <w:tcW w:w="4680" w:type="dxa"/>
          </w:tcPr>
          <w:p>
            <w:pPr/>
            <w:r>
              <w:t xml:space="preserve">Durée</w:t>
            </w:r>
          </w:p>
        </w:tc>
        <w:tc>
          <w:tcPr>
            <w:tcW w:w="4680" w:type="dxa"/>
          </w:tcPr>
          <w:p>
            <w:pPr/>
            <w:r>
              <w:t xml:space="preserve">5 jours, 35 heures (7 h/jour)</w:t>
            </w:r>
          </w:p>
        </w:tc>
      </w:tr>
      <w:tr>
        <w:tc>
          <w:tcPr>
            <w:tcW w:w="4680" w:type="dxa"/>
          </w:tcPr>
          <w:p>
            <w:pPr/>
            <w:r>
              <w:t xml:space="preserve">Format</w:t>
            </w:r>
          </w:p>
        </w:tc>
        <w:tc>
          <w:tcPr>
            <w:tcW w:w="4680" w:type="dxa"/>
          </w:tcPr>
          <w:p>
            <w:pPr/>
            <w:r>
              <w:t xml:space="preserve">30 % théorie (≈ 10,5 h) / 70 % pratique (≈ 24,5 h)</w:t>
            </w:r>
          </w:p>
        </w:tc>
      </w:tr>
      <w:tr>
        <w:tc>
          <w:tcPr>
            <w:tcW w:w="4680" w:type="dxa"/>
          </w:tcPr>
          <w:p>
            <w:pPr/>
            <w:r>
              <w:t xml:space="preserve">Effectif conseillé</w:t>
            </w:r>
          </w:p>
        </w:tc>
        <w:tc>
          <w:tcPr>
            <w:tcW w:w="4680" w:type="dxa"/>
          </w:tcPr>
          <w:p>
            <w:pPr/>
            <w:r>
              <w:t xml:space="preserve">12 à 24 participants, groupes de 3 à 4</w:t>
            </w:r>
          </w:p>
        </w:tc>
      </w:tr>
      <w:tr>
        <w:tc>
          <w:tcPr>
            <w:tcW w:w="4680" w:type="dxa"/>
          </w:tcPr>
          <w:p>
            <w:pPr/>
            <w:r>
              <w:t xml:space="preserve">Public</w:t>
            </w:r>
          </w:p>
        </w:tc>
        <w:tc>
          <w:tcPr>
            <w:tcW w:w="4680" w:type="dxa"/>
          </w:tcPr>
          <w:p>
            <w:pPr/>
            <w:r>
              <w:t xml:space="preserve">Géologues, ingénieurs miniers, géomaticiens, responsables exploration, cadres des ministères des Mines, bureaux d'études, investisseurs et analystes de projets, étudiants (géologie, mines, SIG)</w:t>
            </w:r>
          </w:p>
        </w:tc>
      </w:tr>
      <w:tr>
        <w:tc>
          <w:tcPr>
            <w:tcW w:w="4680" w:type="dxa"/>
          </w:tcPr>
          <w:p>
            <w:pPr/>
            <w:r>
              <w:t xml:space="preserve">Prérequis</w:t>
            </w:r>
          </w:p>
        </w:tc>
        <w:tc>
          <w:tcPr>
            <w:tcW w:w="4680" w:type="dxa"/>
          </w:tcPr>
          <w:p>
            <w:pPr/>
            <w:r>
              <w:t xml:space="preserve">Bases en géologie, cartographie et informatique ; aucune programmation avancée</w:t>
            </w:r>
          </w:p>
        </w:tc>
      </w:tr>
      <w:tr>
        <w:tc>
          <w:tcPr>
            <w:tcW w:w="4680" w:type="dxa"/>
          </w:tcPr>
          <w:p>
            <w:pPr/>
            <w:r>
              <w:t xml:space="preserve">Matériel</w:t>
            </w:r>
          </w:p>
        </w:tc>
        <w:tc>
          <w:tcPr>
            <w:tcW w:w="4680" w:type="dxa"/>
          </w:tcPr>
          <w:p>
            <w:pPr/>
            <w:r>
              <w:t xml:space="preserve">Ordinateur portable 8 Go RAM minimum, QGIS LTR installé, compte Google Earth Engine, jeux de données pré-téléchargés sur clé USB</w:t>
            </w:r>
          </w:p>
        </w:tc>
      </w:tr>
      <w:tr>
        <w:tc>
          <w:tcPr>
            <w:tcW w:w="4680" w:type="dxa"/>
          </w:tcPr>
          <w:p>
            <w:pPr/>
            <w:r>
              <w:t xml:space="preserve">Évaluation</w:t>
            </w:r>
          </w:p>
        </w:tc>
        <w:tc>
          <w:tcPr>
            <w:tcW w:w="4680" w:type="dxa"/>
          </w:tcPr>
          <w:p>
            <w:pPr/>
            <w:r>
              <w:t xml:space="preserve">Quiz d'entrée et de sortie, TP notés, projet final « Satellite to Market » présenté devant un jury</w:t>
            </w:r>
          </w:p>
        </w:tc>
      </w:tr>
    </w:tbl>
    <w:p>
      <w:pPr/>
      <w:r>
        <w:rPr>
          <w:b/>
        </w:rPr>
        <w:t xml:space="preserve">Objectifs pédagogiques.</w:t>
      </w:r>
      <w:r>
        <w:t xml:space="preserve"> À l'issue de la formation, le participant sait :</w:t>
      </w:r>
    </w:p>
    <w:p>
      <w:pPr>
        <w:pStyle w:val="ListParagraph"/>
        <w:numPr>
          <w:ilvl w:val="0"/>
          <w:numId w:val="2"/>
        </w:numPr>
      </w:pPr>
      <w:r>
        <w:t xml:space="preserve">Constituer une base de données géospatiales minières à partir de sources publiques (OneGeology, USGS, PRECASEM, cadastre).</w:t>
      </w:r>
    </w:p>
    <w:p>
      <w:pPr>
        <w:pStyle w:val="ListParagraph"/>
        <w:numPr>
          <w:ilvl w:val="0"/>
          <w:numId w:val="2"/>
        </w:numPr>
      </w:pPr>
      <w:r>
        <w:t xml:space="preserve">Traiter des images Sentinel-2, Landsat et ASTER pour cartographier des anomalies spectrales (oxydes de fer, argiles, silice).</w:t>
      </w:r>
    </w:p>
    <w:p>
      <w:pPr>
        <w:pStyle w:val="ListParagraph"/>
        <w:numPr>
          <w:ilvl w:val="0"/>
          <w:numId w:val="2"/>
        </w:numPr>
      </w:pPr>
      <w:r>
        <w:t xml:space="preserve">Extraire des linéaments et intégrer géologie, géochimie, structures et télédétection dans une carte de prospectivité.</w:t>
      </w:r>
    </w:p>
    <w:p>
      <w:pPr>
        <w:pStyle w:val="ListParagraph"/>
        <w:numPr>
          <w:ilvl w:val="0"/>
          <w:numId w:val="2"/>
        </w:numPr>
      </w:pPr>
      <w:r>
        <w:t xml:space="preserve">Hiérarchiser des cibles et en mesurer la robustesse (validation sur occurrences connues, analyse de sensibilité).</w:t>
      </w:r>
    </w:p>
    <w:p>
      <w:pPr>
        <w:pStyle w:val="ListParagraph"/>
        <w:numPr>
          <w:ilvl w:val="0"/>
          <w:numId w:val="2"/>
        </w:numPr>
      </w:pPr>
      <w:r>
        <w:t xml:space="preserve">Croiser une cible avec le cadastre minier, les aires protégées et les infrastructures.</w:t>
      </w:r>
    </w:p>
    <w:p>
      <w:pPr>
        <w:pStyle w:val="ListParagraph"/>
        <w:numPr>
          <w:ilvl w:val="0"/>
          <w:numId w:val="2"/>
        </w:numPr>
      </w:pPr>
      <w:r>
        <w:t xml:space="preserve">Décrire la chaîne de transformation d'une substance, du minerai au produit commercial, et ses marchés.</w:t>
      </w:r>
    </w:p>
    <w:p>
      <w:pPr>
        <w:pStyle w:val="ListParagraph"/>
        <w:numPr>
          <w:ilvl w:val="0"/>
          <w:numId w:val="2"/>
        </w:numPr>
      </w:pPr>
      <w:r>
        <w:t xml:space="preserve">Rédiger un </w:t>
      </w:r>
      <w:r>
        <w:rPr>
          <w:i/>
        </w:rPr>
        <w:t xml:space="preserve">mini investment brief</w:t>
      </w:r>
      <w:r>
        <w:t xml:space="preserve"> qui distingue clairement cible, ressource et réserve.</w:t>
      </w:r>
    </w:p>
    <w:p>
      <w:pPr>
        <w:pStyle w:val="Heading2"/>
      </w:pPr>
      <w:r>
        <w:t xml:space="preserve">Architecture pédagogique</w:t>
      </w:r>
    </w:p>
    <w:p>
      <w:pPr/>
      <w:r>
        <w:t xml:space="preserve">La formation suit une seule chaîne, du territoire au marché : la télédétection n'en est qu'un maillon. Chaque jour ajoute un maillon et le Cameroun fournit les données de bout en bout. Les quatre pays de comparaison sont traités en ateliers tournants le jour 4 (un pays par groupe), pas en cours magistraux successifs.</w:t>
      </w:r>
    </w:p>
    <w:p>
      <w:pPr/>
      <w:r>
        <w:drawing>
          <wp:inline distT="0" distB="0" distL="0" distR="0">
            <wp:extent cx="5486400" cy="5102678"/>
            <wp:docPr id="1" name="image1" descr="Architecture Africa Mining Intelligence · des données à l'investissement"/>
            <a:graphic xmlns:a="http://schemas.openxmlformats.org/drawingml/2006/main">
              <a:graphicData uri="http://schemas.openxmlformats.org/drawingml/2006/picture">
                <pic:pic xmlns:pic="http://schemas.openxmlformats.org/drawingml/2006/picture">
                  <pic:nvPicPr>
                    <pic:cNvPr id="1" name="image1" descr="Architecture Africa Mining Intelligence · des données à l'investissement"/>
                    <pic:cNvPicPr/>
                  </pic:nvPicPr>
                  <pic:blipFill>
                    <a:blip r:embed="rId3"/>
                    <a:stretch>
                      <a:fillRect/>
                    </a:stretch>
                  </pic:blipFill>
                  <pic:spPr>
                    <a:xfrm>
                      <a:off x="0" y="0"/>
                      <a:ext cx="5486400" cy="5102678"/>
                    </a:xfrm>
                    <a:prstGeom prst="rect">
                      <a:avLst/>
                    </a:prstGeom>
                  </pic:spPr>
                </pic:pic>
              </a:graphicData>
            </a:graphic>
          </wp:inline>
        </w:drawing>
      </w:r>
    </w:p>
    <w:p>
      <w:pPr/>
      <w:r>
        <w:t xml:space="preserve">Architecture Africa Mining Intelligence · des données à l'investissement</w:t>
      </w:r>
    </w:p>
    <w:p>
      <w:pPr/>
      <w:r>
        <w:t xml:space="preserve">Tout ce qui est au-dessus de la ligne pointillée se fait en salle ; ce qui est en dessous exige du terrain, des sondages et une personne compétente, et n'est traité qu'en concepts.</w:t>
      </w:r>
    </w:p>
    <w:p>
      <w:pPr/>
      <w:r>
        <w:rPr>
          <w:b/>
        </w:rPr>
        <w:t xml:space="preserve">Pourquoi ces pays.</w:t>
      </w:r>
      <w:r>
        <w:t xml:space="preserve"> Chacun apporte un contraste que le Cameroun n'offre pas seul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Pays</w:t>
            </w:r>
          </w:p>
        </w:tc>
        <w:tc>
          <w:tcPr>
            <w:tcW w:w="3120" w:type="dxa"/>
            <w:shd w:val="clear" w:color="auto" w:fill="F2F2F2"/>
          </w:tcPr>
          <w:p>
            <w:pPr/>
            <w:r>
              <w:t xml:space="preserve">Substance</w:t>
            </w:r>
          </w:p>
        </w:tc>
        <w:tc>
          <w:tcPr>
            <w:tcW w:w="3120" w:type="dxa"/>
            <w:shd w:val="clear" w:color="auto" w:fill="F2F2F2"/>
          </w:tcPr>
          <w:p>
            <w:pPr/>
            <w:r>
              <w:t xml:space="preserve">Ce qu'il apprend en plus</w:t>
            </w:r>
          </w:p>
        </w:tc>
      </w:tr>
      <w:tr>
        <w:tc>
          <w:tcPr>
            <w:tcW w:w="3120" w:type="dxa"/>
          </w:tcPr>
          <w:p>
            <w:pPr/>
            <w:r>
              <w:t xml:space="preserve">Cameroun (fil rouge)</w:t>
            </w:r>
          </w:p>
        </w:tc>
        <w:tc>
          <w:tcPr>
            <w:tcW w:w="3120" w:type="dxa"/>
          </w:tcPr>
          <w:p>
            <w:pPr/>
            <w:r>
              <w:t xml:space="preserve">Or, bauxite, fer</w:t>
            </w:r>
          </w:p>
        </w:tc>
        <w:tc>
          <w:tcPr>
            <w:tcW w:w="3120" w:type="dxa"/>
          </w:tcPr>
          <w:p>
            <w:pPr/>
            <w:r>
              <w:t xml:space="preserve">Intégration multi-données (PRECASEM), forêt dense, artisanat, cadastre</w:t>
            </w:r>
          </w:p>
        </w:tc>
      </w:tr>
      <w:tr>
        <w:tc>
          <w:tcPr>
            <w:tcW w:w="3120" w:type="dxa"/>
          </w:tcPr>
          <w:p>
            <w:pPr/>
            <w:r>
              <w:t xml:space="preserve">RDC</w:t>
            </w:r>
          </w:p>
        </w:tc>
        <w:tc>
          <w:tcPr>
            <w:tcW w:w="3120" w:type="dxa"/>
          </w:tcPr>
          <w:p>
            <w:pPr/>
            <w:r>
              <w:t xml:space="preserve">Cuivre-cobalt</w:t>
            </w:r>
          </w:p>
        </w:tc>
        <w:tc>
          <w:tcPr>
            <w:tcW w:w="3120" w:type="dxa"/>
          </w:tcPr>
          <w:p>
            <w:pPr/>
            <w:r>
              <w:t xml:space="preserve">Chaîne de valeur et corridors d'exportation ; mines artisanales de cobalt</w:t>
            </w:r>
          </w:p>
        </w:tc>
      </w:tr>
      <w:tr>
        <w:tc>
          <w:tcPr>
            <w:tcW w:w="3120" w:type="dxa"/>
          </w:tcPr>
          <w:p>
            <w:pPr/>
            <w:r>
              <w:t xml:space="preserve">Zambie</w:t>
            </w:r>
          </w:p>
        </w:tc>
        <w:tc>
          <w:tcPr>
            <w:tcW w:w="3120" w:type="dxa"/>
          </w:tcPr>
          <w:p>
            <w:pPr/>
            <w:r>
              <w:t xml:space="preserve">Cuivre</w:t>
            </w:r>
          </w:p>
        </w:tc>
        <w:tc>
          <w:tcPr>
            <w:tcW w:w="3120" w:type="dxa"/>
          </w:tcPr>
          <w:p>
            <w:pPr/>
            <w:r>
              <w:t xml:space="preserve">Impacts environnementaux d'un bassin minier mature (résidus, rivières)</w:t>
            </w:r>
          </w:p>
        </w:tc>
      </w:tr>
      <w:tr>
        <w:tc>
          <w:tcPr>
            <w:tcW w:w="3120" w:type="dxa"/>
          </w:tcPr>
          <w:p>
            <w:pPr/>
            <w:r>
              <w:t xml:space="preserve">Guinée</w:t>
            </w:r>
          </w:p>
        </w:tc>
        <w:tc>
          <w:tcPr>
            <w:tcW w:w="3120" w:type="dxa"/>
          </w:tcPr>
          <w:p>
            <w:pPr/>
            <w:r>
              <w:t xml:space="preserve">Bauxite</w:t>
            </w:r>
          </w:p>
        </w:tc>
        <w:tc>
          <w:tcPr>
            <w:tcW w:w="3120" w:type="dxa"/>
          </w:tcPr>
          <w:p>
            <w:pPr/>
            <w:r>
              <w:t xml:space="preserve">Géomorphologie des plateaux latéritiques ; logistique mine-rail-port</w:t>
            </w:r>
          </w:p>
        </w:tc>
      </w:tr>
      <w:tr>
        <w:tc>
          <w:tcPr>
            <w:tcW w:w="3120" w:type="dxa"/>
          </w:tcPr>
          <w:p>
            <w:pPr/>
            <w:r>
              <w:t xml:space="preserve">Congo</w:t>
            </w:r>
          </w:p>
        </w:tc>
        <w:tc>
          <w:tcPr>
            <w:tcW w:w="3120" w:type="dxa"/>
          </w:tcPr>
          <w:p>
            <w:pPr/>
            <w:r>
              <w:t xml:space="preserve">Fer, potasse, polymétallique</w:t>
            </w:r>
          </w:p>
        </w:tc>
        <w:tc>
          <w:tcPr>
            <w:tcW w:w="3120" w:type="dxa"/>
          </w:tcPr>
          <w:p>
            <w:pPr/>
            <w:r>
              <w:t xml:space="preserve">Construire une carte de prospectivité à partir de données plus rares ; lien transfrontalier avec le Cameroun (fer de Mbalam-Nabeba)</w:t>
            </w:r>
          </w:p>
        </w:tc>
      </w:tr>
    </w:tbl>
    <w:p>
      <w:pPr/>
      <w:r>
        <w:t xml:space="preserve">La RDC (Katanga) et la Zambie partagent la même ceinture cuprifère (Copperbelt). Pour éviter un doublon, la RDC porte la chaîne de valeur Cu-Co et la Zambie le suivi environnemental.</w:t>
      </w:r>
    </w:p>
    <w:p>
      <w:pPr/>
      <w:r>
        <w:rPr>
          <w:b/>
        </w:rPr>
        <w:t xml:space="preserve">Répartition des 35 heures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Jour</w:t>
            </w:r>
          </w:p>
        </w:tc>
        <w:tc>
          <w:tcPr>
            <w:tcW w:w="2340" w:type="dxa"/>
            <w:shd w:val="clear" w:color="auto" w:fill="F2F2F2"/>
          </w:tcPr>
          <w:p>
            <w:pPr/>
            <w:r>
              <w:t xml:space="preserve">Thème</w:t>
            </w:r>
          </w:p>
        </w:tc>
        <w:tc>
          <w:tcPr>
            <w:tcW w:w="2340" w:type="dxa"/>
            <w:shd w:val="clear" w:color="auto" w:fill="F2F2F2"/>
          </w:tcPr>
          <w:p>
            <w:pPr/>
            <w:r>
              <w:t xml:space="preserve">Théorie</w:t>
            </w:r>
          </w:p>
        </w:tc>
        <w:tc>
          <w:tcPr>
            <w:tcW w:w="2340" w:type="dxa"/>
            <w:shd w:val="clear" w:color="auto" w:fill="F2F2F2"/>
          </w:tcPr>
          <w:p>
            <w:pPr/>
            <w:r>
              <w:t xml:space="preserve">Pratique</w:t>
            </w:r>
          </w:p>
        </w:tc>
      </w:tr>
      <w:tr>
        <w:tc>
          <w:tcPr>
            <w:tcW w:w="2340" w:type="dxa"/>
          </w:tcPr>
          <w:p>
            <w:pPr/>
            <w:r>
              <w:t xml:space="preserve">J1</w:t>
            </w:r>
          </w:p>
        </w:tc>
        <w:tc>
          <w:tcPr>
            <w:tcW w:w="2340" w:type="dxa"/>
          </w:tcPr>
          <w:p>
            <w:pPr/>
            <w:r>
              <w:t xml:space="preserve">Comprendre le territoire minier</w:t>
            </w:r>
          </w:p>
        </w:tc>
        <w:tc>
          <w:tcPr>
            <w:tcW w:w="2340" w:type="dxa"/>
          </w:tcPr>
          <w:p>
            <w:pPr/>
            <w:r>
              <w:t xml:space="preserve">3 h</w:t>
            </w:r>
          </w:p>
        </w:tc>
        <w:tc>
          <w:tcPr>
            <w:tcW w:w="2340" w:type="dxa"/>
          </w:tcPr>
          <w:p>
            <w:pPr/>
            <w:r>
              <w:t xml:space="preserve">4 h</w:t>
            </w:r>
          </w:p>
        </w:tc>
      </w:tr>
      <w:tr>
        <w:tc>
          <w:tcPr>
            <w:tcW w:w="2340" w:type="dxa"/>
          </w:tcPr>
          <w:p>
            <w:pPr/>
            <w:r>
              <w:t xml:space="preserve">J2</w:t>
            </w:r>
          </w:p>
        </w:tc>
        <w:tc>
          <w:tcPr>
            <w:tcW w:w="2340" w:type="dxa"/>
          </w:tcPr>
          <w:p>
            <w:pPr/>
            <w:r>
              <w:t xml:space="preserve">Télédétection appliquée aux mines</w:t>
            </w:r>
          </w:p>
        </w:tc>
        <w:tc>
          <w:tcPr>
            <w:tcW w:w="2340" w:type="dxa"/>
          </w:tcPr>
          <w:p>
            <w:pPr/>
            <w:r>
              <w:t xml:space="preserve">2,5 h</w:t>
            </w:r>
          </w:p>
        </w:tc>
        <w:tc>
          <w:tcPr>
            <w:tcW w:w="2340" w:type="dxa"/>
          </w:tcPr>
          <w:p>
            <w:pPr/>
            <w:r>
              <w:t xml:space="preserve">4,5 h</w:t>
            </w:r>
          </w:p>
        </w:tc>
      </w:tr>
      <w:tr>
        <w:tc>
          <w:tcPr>
            <w:tcW w:w="2340" w:type="dxa"/>
          </w:tcPr>
          <w:p>
            <w:pPr/>
            <w:r>
              <w:t xml:space="preserve">J3</w:t>
            </w:r>
          </w:p>
        </w:tc>
        <w:tc>
          <w:tcPr>
            <w:tcW w:w="2340" w:type="dxa"/>
          </w:tcPr>
          <w:p>
            <w:pPr/>
            <w:r>
              <w:t xml:space="preserve">Cas fil rouge : Cameroun</w:t>
            </w:r>
          </w:p>
        </w:tc>
        <w:tc>
          <w:tcPr>
            <w:tcW w:w="2340" w:type="dxa"/>
          </w:tcPr>
          <w:p>
            <w:pPr/>
            <w:r>
              <w:t xml:space="preserve">1,5 h</w:t>
            </w:r>
          </w:p>
        </w:tc>
        <w:tc>
          <w:tcPr>
            <w:tcW w:w="2340" w:type="dxa"/>
          </w:tcPr>
          <w:p>
            <w:pPr/>
            <w:r>
              <w:t xml:space="preserve">5,5 h</w:t>
            </w:r>
          </w:p>
        </w:tc>
      </w:tr>
      <w:tr>
        <w:tc>
          <w:tcPr>
            <w:tcW w:w="2340" w:type="dxa"/>
          </w:tcPr>
          <w:p>
            <w:pPr/>
            <w:r>
              <w:t xml:space="preserve">J4</w:t>
            </w:r>
          </w:p>
        </w:tc>
        <w:tc>
          <w:tcPr>
            <w:tcW w:w="2340" w:type="dxa"/>
          </w:tcPr>
          <w:p>
            <w:pPr/>
            <w:r>
              <w:t xml:space="preserve">De la cible au projet ; comparaisons pays</w:t>
            </w:r>
          </w:p>
        </w:tc>
        <w:tc>
          <w:tcPr>
            <w:tcW w:w="2340" w:type="dxa"/>
          </w:tcPr>
          <w:p>
            <w:pPr/>
            <w:r>
              <w:t xml:space="preserve">1,5 h</w:t>
            </w:r>
          </w:p>
        </w:tc>
        <w:tc>
          <w:tcPr>
            <w:tcW w:w="2340" w:type="dxa"/>
          </w:tcPr>
          <w:p>
            <w:pPr/>
            <w:r>
              <w:t xml:space="preserve">5,5 h</w:t>
            </w:r>
          </w:p>
        </w:tc>
      </w:tr>
      <w:tr>
        <w:tc>
          <w:tcPr>
            <w:tcW w:w="2340" w:type="dxa"/>
          </w:tcPr>
          <w:p>
            <w:pPr/>
            <w:r>
              <w:t xml:space="preserve">J5</w:t>
            </w:r>
          </w:p>
        </w:tc>
        <w:tc>
          <w:tcPr>
            <w:tcW w:w="2340" w:type="dxa"/>
          </w:tcPr>
          <w:p>
            <w:pPr/>
            <w:r>
              <w:t xml:space="preserve">Du minerai au produit ; projet final</w:t>
            </w:r>
          </w:p>
        </w:tc>
        <w:tc>
          <w:tcPr>
            <w:tcW w:w="2340" w:type="dxa"/>
          </w:tcPr>
          <w:p>
            <w:pPr/>
            <w:r>
              <w:t xml:space="preserve">2 h</w:t>
            </w:r>
          </w:p>
        </w:tc>
        <w:tc>
          <w:tcPr>
            <w:tcW w:w="2340" w:type="dxa"/>
          </w:tcPr>
          <w:p>
            <w:pPr/>
            <w:r>
              <w:t xml:space="preserve">5 h</w:t>
            </w:r>
          </w:p>
        </w:tc>
      </w:tr>
      <w:tr>
        <w:tc>
          <w:tcPr>
            <w:tcW w:w="2340" w:type="dxa"/>
          </w:tcPr>
          <w:p>
            <w:pPr/>
            <w:r>
              <w:rPr>
                <w:b/>
              </w:rPr>
              <w:t xml:space="preserve">Total</w:t>
            </w:r>
          </w:p>
        </w:tc>
        <w:tc>
          <w:tcPr>
            <w:tcW w:w="2340" w:type="dxa"/>
          </w:tcPr>
          <w:p>
            <w:pPr/>
          </w:p>
        </w:tc>
        <w:tc>
          <w:tcPr>
            <w:tcW w:w="2340" w:type="dxa"/>
          </w:tcPr>
          <w:p>
            <w:pPr/>
            <w:r>
              <w:rPr>
                <w:b/>
              </w:rPr>
              <w:t xml:space="preserve">10,5 h (30 %)</w:t>
            </w:r>
          </w:p>
        </w:tc>
        <w:tc>
          <w:tcPr>
            <w:tcW w:w="2340" w:type="dxa"/>
          </w:tcPr>
          <w:p>
            <w:pPr/>
            <w:r>
              <w:rPr>
                <w:b/>
              </w:rPr>
              <w:t xml:space="preserve">24,5 h (70 %)</w:t>
            </w:r>
          </w:p>
        </w:tc>
      </w:tr>
    </w:tbl>
    <w:p>
      <w:pPr/>
      <w:r>
        <w:t xml:space="preserve">La journée type : 8 h 30–12 h 30 et 13 h 30–16 h 30, avec deux pauses de 15 min. Le projet final démarre dès J3 : chaque groupe reçoit sa zone et alimente ses livrables chaque jour.</w:t>
      </w:r>
    </w:p>
    <w:p>
      <w:pPr>
        <w:pStyle w:val="Heading2"/>
      </w:pPr>
      <w:r>
        <w:t xml:space="preserve">Boîte à outils : données et logiciels</w:t>
      </w:r>
    </w:p>
    <w:p>
      <w:pPr/>
      <w:r>
        <w:t xml:space="preserve">Tout le programme tourne sur des données publiques et des logiciels gratuits. Les jeux lourds sont pré-téléchargés pour ne pas dépendre de la connexion du lieu de formation.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Contenu utile</w:t>
            </w:r>
          </w:p>
        </w:tc>
        <w:tc>
          <w:tcPr>
            <w:tcW w:w="2340" w:type="dxa"/>
            <w:shd w:val="clear" w:color="auto" w:fill="F2F2F2"/>
          </w:tcPr>
          <w:p>
            <w:pPr/>
            <w:r>
              <w:t xml:space="preserve">Usage</w:t>
            </w:r>
          </w:p>
        </w:tc>
        <w:tc>
          <w:tcPr>
            <w:tcW w:w="2340" w:type="dxa"/>
            <w:shd w:val="clear" w:color="auto" w:fill="F2F2F2"/>
          </w:tcPr>
          <w:p>
            <w:pPr/>
            <w:r>
              <w:t xml:space="preserve">Statut de vérification</w:t>
            </w:r>
          </w:p>
        </w:tc>
      </w:tr>
      <w:tr>
        <w:tc>
          <w:tcPr>
            <w:tcW w:w="2340" w:type="dxa"/>
          </w:tcPr>
          <w:p>
            <w:pPr/>
            <w:hyperlink r:id="rId4" w:history="1">
              <w:r>
                <w:rPr>
                  <w:rStyle w:val="Hyperlink"/>
                </w:rPr>
                <w:t xml:space="preserve">USGS — Mineral industries and related infrastructure of Africa</w:t>
              </w:r>
            </w:hyperlink>
          </w:p>
        </w:tc>
        <w:tc>
          <w:tcPr>
            <w:tcW w:w="2340" w:type="dxa"/>
          </w:tcPr>
          <w:p>
            <w:pPr/>
            <w:r>
              <w:t xml:space="preserve">Mines, usines de traitement, sites d'exploration, centrales et lignes électriques, ports, rails, routes ; année de référence 2018 ; 58 pays</w:t>
            </w:r>
          </w:p>
        </w:tc>
        <w:tc>
          <w:tcPr>
            <w:tcW w:w="2340" w:type="dxa"/>
          </w:tcPr>
          <w:p>
            <w:pPr/>
            <w:r>
              <w:t xml:space="preserve">TP1, J4, projet final</w:t>
            </w:r>
          </w:p>
        </w:tc>
        <w:tc>
          <w:tcPr>
            <w:tcW w:w="2340" w:type="dxa"/>
          </w:tcPr>
          <w:p>
            <w:pPr/>
            <w:r>
              <w:t xml:space="preserve">Vérifié (data release 2021, DOI 10.5066/P97EQWXP ; carte PDF </w:t>
            </w:r>
            <w:hyperlink r:id="rId5" w:history="1">
              <w:r>
                <w:rPr>
                  <w:rStyle w:val="Hyperlink"/>
                </w:rPr>
                <w:t xml:space="preserve">OFR 2024-1041</w:t>
              </w:r>
            </w:hyperlink>
            <w:r>
              <w:t xml:space="preserve">). Données datées : à compléter par sources récentes</w:t>
            </w:r>
          </w:p>
        </w:tc>
      </w:tr>
      <w:tr>
        <w:tc>
          <w:tcPr>
            <w:tcW w:w="2340" w:type="dxa"/>
          </w:tcPr>
          <w:p>
            <w:pPr/>
            <w:r>
              <w:t xml:space="preserve">OneGeology</w:t>
            </w:r>
          </w:p>
        </w:tc>
        <w:tc>
          <w:tcPr>
            <w:tcW w:w="2340" w:type="dxa"/>
          </w:tcPr>
          <w:p>
            <w:pPr/>
            <w:r>
              <w:t xml:space="preserve">Cartes géologiques nationales en services WMS/WFS</w:t>
            </w:r>
          </w:p>
        </w:tc>
        <w:tc>
          <w:tcPr>
            <w:tcW w:w="2340" w:type="dxa"/>
          </w:tcPr>
          <w:p>
            <w:pPr/>
            <w:r>
              <w:t xml:space="preserve">J1, Congo</w:t>
            </w:r>
          </w:p>
        </w:tc>
        <w:tc>
          <w:tcPr>
            <w:tcW w:w="2340" w:type="dxa"/>
          </w:tcPr>
          <w:p>
            <w:pPr/>
            <w:r>
              <w:t xml:space="preserve">Non vérifié ici ; tester le service WMS du Congo avant la session</w:t>
            </w:r>
          </w:p>
        </w:tc>
      </w:tr>
      <w:tr>
        <w:tc>
          <w:tcPr>
            <w:tcW w:w="2340" w:type="dxa"/>
          </w:tcPr>
          <w:p>
            <w:pPr/>
            <w:hyperlink r:id="rId6" w:history="1">
              <w:r>
                <w:rPr>
                  <w:rStyle w:val="Hyperlink"/>
                </w:rPr>
                <w:t xml:space="preserve">PRECASEM</w:t>
              </w:r>
            </w:hyperlink>
            <w:r>
              <w:t xml:space="preserve"> (Cameroun, Banque mondiale, depuis 2010)</w:t>
            </w:r>
          </w:p>
        </w:tc>
        <w:tc>
          <w:tcPr>
            <w:tcW w:w="2340" w:type="dxa"/>
          </w:tcPr>
          <w:p>
            <w:pPr/>
            <w:r>
              <w:t xml:space="preserve">Cartes géologiques, géochimie, géophysique aéroportée, rapports</w:t>
            </w:r>
          </w:p>
        </w:tc>
        <w:tc>
          <w:tcPr>
            <w:tcW w:w="2340" w:type="dxa"/>
          </w:tcPr>
          <w:p>
            <w:pPr/>
            <w:r>
              <w:t xml:space="preserve">J3, projet final</w:t>
            </w:r>
          </w:p>
        </w:tc>
        <w:tc>
          <w:tcPr>
            <w:tcW w:w="2340" w:type="dxa"/>
          </w:tcPr>
          <w:p>
            <w:pPr/>
            <w:r>
              <w:t xml:space="preserve">Projet vérifié (</w:t>
            </w:r>
            <w:hyperlink r:id="rId7" w:history="1">
              <w:r>
                <w:rPr>
                  <w:rStyle w:val="Hyperlink"/>
                </w:rPr>
                <w:t xml:space="preserve">Agence Ecofin</w:t>
              </w:r>
            </w:hyperlink>
            <w:r>
              <w:t xml:space="preserve">). Conditions d'accès et de réutilisation pédagogique à confirmer</w:t>
            </w:r>
          </w:p>
        </w:tc>
      </w:tr>
      <w:tr>
        <w:tc>
          <w:tcPr>
            <w:tcW w:w="2340" w:type="dxa"/>
          </w:tcPr>
          <w:p>
            <w:pPr/>
            <w:hyperlink r:id="rId8" w:history="1">
              <w:r>
                <w:rPr>
                  <w:rStyle w:val="Hyperlink"/>
                </w:rPr>
                <w:t xml:space="preserve">Portail du cadastre minier du Cameroun</w:t>
              </w:r>
            </w:hyperlink>
          </w:p>
        </w:tc>
        <w:tc>
          <w:tcPr>
            <w:tcW w:w="2340" w:type="dxa"/>
          </w:tcPr>
          <w:p>
            <w:pPr/>
            <w:r>
              <w:t xml:space="preserve">Titres miniers et leurs limites</w:t>
            </w:r>
          </w:p>
        </w:tc>
        <w:tc>
          <w:tcPr>
            <w:tcW w:w="2340" w:type="dxa"/>
          </w:tcPr>
          <w:p>
            <w:pPr/>
            <w:r>
              <w:t xml:space="preserve">J3, exercice cadastre</w:t>
            </w:r>
          </w:p>
        </w:tc>
        <w:tc>
          <w:tcPr>
            <w:tcW w:w="2340" w:type="dxa"/>
          </w:tcPr>
          <w:p>
            <w:pPr/>
            <w:r>
              <w:t xml:space="preserve">Portail existant vérifié ; une nouvelle plateforme de septembre 2026 n'a pas pu être confirmée</w:t>
            </w:r>
          </w:p>
        </w:tc>
      </w:tr>
      <w:tr>
        <w:tc>
          <w:tcPr>
            <w:tcW w:w="2340" w:type="dxa"/>
          </w:tcPr>
          <w:p>
            <w:pPr/>
            <w:hyperlink r:id="rId9" w:history="1">
              <w:r>
                <w:rPr>
                  <w:rStyle w:val="Hyperlink"/>
                </w:rPr>
                <w:t xml:space="preserve">Cadastre minier RDC (CAMI)</w:t>
              </w:r>
            </w:hyperlink>
          </w:p>
        </w:tc>
        <w:tc>
          <w:tcPr>
            <w:tcW w:w="2340" w:type="dxa"/>
          </w:tcPr>
          <w:p>
            <w:pPr/>
            <w:r>
              <w:t xml:space="preserve">Titres miniers RDC</w:t>
            </w:r>
          </w:p>
        </w:tc>
        <w:tc>
          <w:tcPr>
            <w:tcW w:w="2340" w:type="dxa"/>
          </w:tcPr>
          <w:p>
            <w:pPr/>
            <w:r>
              <w:t xml:space="preserve">J4, RDC</w:t>
            </w:r>
          </w:p>
        </w:tc>
        <w:tc>
          <w:tcPr>
            <w:tcW w:w="2340" w:type="dxa"/>
          </w:tcPr>
          <w:p>
            <w:pPr/>
            <w:r>
              <w:t xml:space="preserve">Site vérifié</w:t>
            </w:r>
          </w:p>
        </w:tc>
      </w:tr>
      <w:tr>
        <w:tc>
          <w:tcPr>
            <w:tcW w:w="2340" w:type="dxa"/>
          </w:tcPr>
          <w:p>
            <w:pPr/>
            <w:r>
              <w:t xml:space="preserve">Sentinel-2 (Copernicus)</w:t>
            </w:r>
          </w:p>
        </w:tc>
        <w:tc>
          <w:tcPr>
            <w:tcW w:w="2340" w:type="dxa"/>
          </w:tcPr>
          <w:p>
            <w:pPr/>
            <w:r>
              <w:t xml:space="preserve">13 bandes, 10–60 m, revisite ≈ 5 jours</w:t>
            </w:r>
          </w:p>
        </w:tc>
        <w:tc>
          <w:tcPr>
            <w:tcW w:w="2340" w:type="dxa"/>
          </w:tcPr>
          <w:p>
            <w:pPr/>
            <w:r>
              <w:t xml:space="preserve">J2, J3</w:t>
            </w:r>
          </w:p>
        </w:tc>
        <w:tc>
          <w:tcPr>
            <w:tcW w:w="2340" w:type="dxa"/>
          </w:tcPr>
          <w:p>
            <w:pPr/>
            <w:r>
              <w:t xml:space="preserve">Connu ; accès Copernicus Browser ou GEE</w:t>
            </w:r>
          </w:p>
        </w:tc>
      </w:tr>
      <w:tr>
        <w:tc>
          <w:tcPr>
            <w:tcW w:w="2340" w:type="dxa"/>
          </w:tcPr>
          <w:p>
            <w:pPr/>
            <w:r>
              <w:t xml:space="preserve">Landsat 8/9 (USGS EarthExplorer)</w:t>
            </w:r>
          </w:p>
        </w:tc>
        <w:tc>
          <w:tcPr>
            <w:tcW w:w="2340" w:type="dxa"/>
          </w:tcPr>
          <w:p>
            <w:pPr/>
            <w:r>
              <w:t xml:space="preserve">30 m, archives longues</w:t>
            </w:r>
          </w:p>
        </w:tc>
        <w:tc>
          <w:tcPr>
            <w:tcW w:w="2340" w:type="dxa"/>
          </w:tcPr>
          <w:p>
            <w:pPr/>
            <w:r>
              <w:t xml:space="preserve">J2, détection de changements</w:t>
            </w:r>
          </w:p>
        </w:tc>
        <w:tc>
          <w:tcPr>
            <w:tcW w:w="2340" w:type="dxa"/>
          </w:tcPr>
          <w:p>
            <w:pPr/>
            <w:r>
              <w:t xml:space="preserve">Connu</w:t>
            </w:r>
          </w:p>
        </w:tc>
      </w:tr>
      <w:tr>
        <w:tc>
          <w:tcPr>
            <w:tcW w:w="2340" w:type="dxa"/>
          </w:tcPr>
          <w:p>
            <w:pPr/>
            <w:r>
              <w:t xml:space="preserve">ASTER</w:t>
            </w:r>
          </w:p>
        </w:tc>
        <w:tc>
          <w:tcPr>
            <w:tcW w:w="2340" w:type="dxa"/>
          </w:tcPr>
          <w:p>
            <w:pPr/>
            <w:r>
              <w:t xml:space="preserve">14 bandes dont 6 SWIR ; détecteurs SWIR hors service depuis 2008</w:t>
            </w:r>
          </w:p>
        </w:tc>
        <w:tc>
          <w:tcPr>
            <w:tcW w:w="2340" w:type="dxa"/>
          </w:tcPr>
          <w:p>
            <w:pPr/>
            <w:r>
              <w:t xml:space="preserve">J2, altérations</w:t>
            </w:r>
          </w:p>
        </w:tc>
        <w:tc>
          <w:tcPr>
            <w:tcW w:w="2340" w:type="dxa"/>
          </w:tcPr>
          <w:p>
            <w:pPr/>
            <w:r>
              <w:t xml:space="preserve">Connu ; utiliser les scènes antérieures à 2008</w:t>
            </w:r>
          </w:p>
        </w:tc>
      </w:tr>
      <w:tr>
        <w:tc>
          <w:tcPr>
            <w:tcW w:w="2340" w:type="dxa"/>
          </w:tcPr>
          <w:p>
            <w:pPr/>
            <w:r>
              <w:t xml:space="preserve">Sentinel-1 (radar)</w:t>
            </w:r>
          </w:p>
        </w:tc>
        <w:tc>
          <w:tcPr>
            <w:tcW w:w="2340" w:type="dxa"/>
          </w:tcPr>
          <w:p>
            <w:pPr/>
            <w:r>
              <w:t xml:space="preserve">Imagerie radar, voit à travers les nuages</w:t>
            </w:r>
          </w:p>
        </w:tc>
        <w:tc>
          <w:tcPr>
            <w:tcW w:w="2340" w:type="dxa"/>
          </w:tcPr>
          <w:p>
            <w:pPr/>
            <w:r>
              <w:t xml:space="preserve">J3, J4 (forêt, nuages)</w:t>
            </w:r>
          </w:p>
        </w:tc>
        <w:tc>
          <w:tcPr>
            <w:tcW w:w="2340" w:type="dxa"/>
          </w:tcPr>
          <w:p>
            <w:pPr/>
            <w:r>
              <w:t xml:space="preserve">Connu</w:t>
            </w:r>
          </w:p>
        </w:tc>
      </w:tr>
      <w:tr>
        <w:tc>
          <w:tcPr>
            <w:tcW w:w="2340" w:type="dxa"/>
          </w:tcPr>
          <w:p>
            <w:pPr/>
            <w:r>
              <w:t xml:space="preserve">MNT Copernicus GLO-30 ou SRTM</w:t>
            </w:r>
          </w:p>
        </w:tc>
        <w:tc>
          <w:tcPr>
            <w:tcW w:w="2340" w:type="dxa"/>
          </w:tcPr>
          <w:p>
            <w:pPr/>
            <w:r>
              <w:t xml:space="preserve">Relief 30 m, pente, ombrage</w:t>
            </w:r>
          </w:p>
        </w:tc>
        <w:tc>
          <w:tcPr>
            <w:tcW w:w="2340" w:type="dxa"/>
          </w:tcPr>
          <w:p>
            <w:pPr/>
            <w:r>
              <w:t xml:space="preserve">J3 (linéaments, plateaux)</w:t>
            </w:r>
          </w:p>
        </w:tc>
        <w:tc>
          <w:tcPr>
            <w:tcW w:w="2340" w:type="dxa"/>
          </w:tcPr>
          <w:p>
            <w:pPr/>
            <w:r>
              <w:t xml:space="preserve">Connu</w:t>
            </w:r>
          </w:p>
        </w:tc>
      </w:tr>
    </w:tbl>
    <w:p>
      <w:pPr/>
      <w:r>
        <w:rPr>
          <w:b/>
        </w:rPr>
        <w:t xml:space="preserve">Logiciels.</w:t>
      </w:r>
      <w:r>
        <w:t xml:space="preserve"> QGIS LTR (avec les extensions Semi-Automatic Classification Plugin et Geoscience), Google Earth Engine (scripts fournis, aucun codage demandé), ESA SNAP pour le radar en option, un tableur pour J5.</w:t>
      </w:r>
    </w:p>
    <w:p>
      <w:pPr/>
      <w:r>
        <w:rPr>
          <w:b/>
        </w:rPr>
        <w:t xml:space="preserve">Préparation formateur.</w:t>
      </w:r>
      <w:r>
        <w:t xml:space="preserve"> Pour chaque zone d'étude : une mosaïque Sentinel-2 sans nuages, un MNT découpé, les couches géologiques et géochimiques, les occurrences connues, le cadastre et les aires protégées dans un projet QGIS prêt à l'emploi.</w:t>
      </w:r>
    </w:p>
    <w:p>
      <w:pPr>
        <w:pStyle w:val="Heading2"/>
      </w:pPr>
      <w:r>
        <w:t xml:space="preserve">Jour 1 — Comprendre le territoire minier</w:t>
      </w:r>
    </w:p>
    <w:p>
      <w:pPr/>
      <w:r>
        <w:t xml:space="preserve">Le participant repart avec une carte minière de l'Afrique centrale construite par lui-même dans QGIS. Il sait aussi situer la télédétection dans la chaîne de décision minière.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Horaire</w:t>
            </w:r>
          </w:p>
        </w:tc>
        <w:tc>
          <w:tcPr>
            <w:tcW w:w="3120" w:type="dxa"/>
            <w:shd w:val="clear" w:color="auto" w:fill="F2F2F2"/>
          </w:tcPr>
          <w:p>
            <w:pPr/>
            <w:r>
              <w:t xml:space="preserve">Séquence</w:t>
            </w:r>
          </w:p>
        </w:tc>
        <w:tc>
          <w:tcPr>
            <w:tcW w:w="3120" w:type="dxa"/>
            <w:shd w:val="clear" w:color="auto" w:fill="F2F2F2"/>
          </w:tcPr>
          <w:p>
            <w:pPr/>
            <w:r>
              <w:t xml:space="preserve">Type</w:t>
            </w:r>
          </w:p>
        </w:tc>
      </w:tr>
      <w:tr>
        <w:tc>
          <w:tcPr>
            <w:tcW w:w="3120" w:type="dxa"/>
          </w:tcPr>
          <w:p>
            <w:pPr/>
            <w:r>
              <w:t xml:space="preserve">8 h 30–9 h 00</w:t>
            </w:r>
          </w:p>
        </w:tc>
        <w:tc>
          <w:tcPr>
            <w:tcW w:w="3120" w:type="dxa"/>
          </w:tcPr>
          <w:p>
            <w:pPr/>
            <w:r>
              <w:t xml:space="preserve">Accueil, quiz d'entrée, constitution des groupes</w:t>
            </w:r>
          </w:p>
        </w:tc>
        <w:tc>
          <w:tcPr>
            <w:tcW w:w="3120" w:type="dxa"/>
          </w:tcPr>
          <w:p>
            <w:pPr/>
            <w:r>
              <w:t xml:space="preserve">—</w:t>
            </w:r>
          </w:p>
        </w:tc>
      </w:tr>
      <w:tr>
        <w:tc>
          <w:tcPr>
            <w:tcW w:w="3120" w:type="dxa"/>
          </w:tcPr>
          <w:p>
            <w:pPr/>
            <w:r>
              <w:t xml:space="preserve">9 h 00–10 h 30</w:t>
            </w:r>
          </w:p>
        </w:tc>
        <w:tc>
          <w:tcPr>
            <w:tcW w:w="3120" w:type="dxa"/>
          </w:tcPr>
          <w:p>
            <w:pPr/>
            <w:r>
              <w:rPr>
                <w:b/>
              </w:rPr>
              <w:t xml:space="preserve">Module 1 — Introduction à l'intelligence minière</w:t>
            </w:r>
          </w:p>
        </w:tc>
        <w:tc>
          <w:tcPr>
            <w:tcW w:w="3120" w:type="dxa"/>
          </w:tcPr>
          <w:p>
            <w:pPr/>
            <w:r>
              <w:t xml:space="preserve">Théorie</w:t>
            </w:r>
          </w:p>
        </w:tc>
      </w:tr>
      <w:tr>
        <w:tc>
          <w:tcPr>
            <w:tcW w:w="3120" w:type="dxa"/>
          </w:tcPr>
          <w:p>
            <w:pPr/>
            <w:r>
              <w:t xml:space="preserve">10 h 45–12 h 30</w:t>
            </w:r>
          </w:p>
        </w:tc>
        <w:tc>
          <w:tcPr>
            <w:tcW w:w="3120" w:type="dxa"/>
          </w:tcPr>
          <w:p>
            <w:pPr/>
            <w:r>
              <w:rPr>
                <w:b/>
              </w:rPr>
              <w:t xml:space="preserve">Module 2 — Les données géologiques publiques</w:t>
            </w:r>
          </w:p>
        </w:tc>
        <w:tc>
          <w:tcPr>
            <w:tcW w:w="3120" w:type="dxa"/>
          </w:tcPr>
          <w:p>
            <w:pPr/>
            <w:r>
              <w:t xml:space="preserve">Théorie + démo</w:t>
            </w:r>
          </w:p>
        </w:tc>
      </w:tr>
      <w:tr>
        <w:tc>
          <w:tcPr>
            <w:tcW w:w="3120" w:type="dxa"/>
          </w:tcPr>
          <w:p>
            <w:pPr/>
            <w:r>
              <w:t xml:space="preserve">13 h 30–16 h 00</w:t>
            </w:r>
          </w:p>
        </w:tc>
        <w:tc>
          <w:tcPr>
            <w:tcW w:w="3120" w:type="dxa"/>
          </w:tcPr>
          <w:p>
            <w:pPr/>
            <w:r>
              <w:rPr>
                <w:b/>
              </w:rPr>
              <w:t xml:space="preserve">TP1 — Carte minière de l'Afrique dans QGIS</w:t>
            </w:r>
          </w:p>
        </w:tc>
        <w:tc>
          <w:tcPr>
            <w:tcW w:w="3120" w:type="dxa"/>
          </w:tcPr>
          <w:p>
            <w:pPr/>
            <w:r>
              <w:t xml:space="preserve">Pratique</w:t>
            </w:r>
          </w:p>
        </w:tc>
      </w:tr>
      <w:tr>
        <w:tc>
          <w:tcPr>
            <w:tcW w:w="3120" w:type="dxa"/>
          </w:tcPr>
          <w:p>
            <w:pPr/>
            <w:r>
              <w:t xml:space="preserve">16 h 00–16 h 30</w:t>
            </w:r>
          </w:p>
        </w:tc>
        <w:tc>
          <w:tcPr>
            <w:tcW w:w="3120" w:type="dxa"/>
          </w:tcPr>
          <w:p>
            <w:pPr/>
            <w:r>
              <w:t xml:space="preserve">Restitution des cartes, débriefing</w:t>
            </w:r>
          </w:p>
        </w:tc>
        <w:tc>
          <w:tcPr>
            <w:tcW w:w="3120" w:type="dxa"/>
          </w:tcPr>
          <w:p>
            <w:pPr/>
            <w:r>
              <w:t xml:space="preserve">Pratique</w:t>
            </w:r>
          </w:p>
        </w:tc>
      </w:tr>
    </w:tbl>
    <w:p>
      <w:pPr/>
      <w:r>
        <w:rPr>
          <w:b/>
        </w:rPr>
        <w:t xml:space="preserve">Module 1 — Introduction à l'intelligence minière</w:t>
      </w:r>
    </w:p>
    <w:p>
      <w:pPr>
        <w:pStyle w:val="ListParagraph"/>
        <w:numPr>
          <w:ilvl w:val="0"/>
          <w:numId w:val="3"/>
        </w:numPr>
      </w:pPr>
      <w:r>
        <w:t xml:space="preserve">La chaîne complète : territoire → géologie → structures → minéralisation → gisement → mine → minerai → concentré → produit minier → marché.</w:t>
      </w:r>
    </w:p>
    <w:p>
      <w:pPr>
        <w:pStyle w:val="ListParagraph"/>
        <w:numPr>
          <w:ilvl w:val="0"/>
          <w:numId w:val="3"/>
        </w:numPr>
      </w:pPr>
      <w:r>
        <w:t xml:space="preserve">Le vocabulaire qui structure tout le reste : indice, occurrence, anomalie, cible, prospect, gisement, ressource, réserve.</w:t>
      </w:r>
    </w:p>
    <w:p>
      <w:pPr>
        <w:pStyle w:val="ListParagraph"/>
        <w:numPr>
          <w:ilvl w:val="0"/>
          <w:numId w:val="3"/>
        </w:numPr>
      </w:pPr>
      <w:r>
        <w:t xml:space="preserve">Les codes de déclaration (JORC, NI 43-101, PERC) : seule une personne compétente peut déclarer une ressource, jamais une image satellite.</w:t>
      </w:r>
    </w:p>
    <w:p>
      <w:pPr>
        <w:pStyle w:val="ListParagraph"/>
        <w:numPr>
          <w:ilvl w:val="0"/>
          <w:numId w:val="3"/>
        </w:numPr>
      </w:pPr>
      <w:r>
        <w:t xml:space="preserve">Ce que la télédétection fait (orienter, hiérarchiser, surveiller) et ne fait pas (prouver un gisement, chiffrer un tonnage).</w:t>
      </w:r>
    </w:p>
    <w:p>
      <w:pPr/>
      <w:r>
        <w:rPr>
          <w:b/>
        </w:rPr>
        <w:t xml:space="preserve">Module 2 — Les données géologiques publiques</w:t>
      </w:r>
    </w:p>
    <w:p>
      <w:pPr>
        <w:pStyle w:val="ListParagraph"/>
        <w:numPr>
          <w:ilvl w:val="0"/>
          <w:numId w:val="4"/>
        </w:numPr>
      </w:pPr>
      <w:r>
        <w:t xml:space="preserve">Panorama des sources (voir la boîte à outils) : services géologiques, USGS, OneGeology, PRECASEM, cadastres.</w:t>
      </w:r>
    </w:p>
    <w:p>
      <w:pPr>
        <w:pStyle w:val="ListParagraph"/>
        <w:numPr>
          <w:ilvl w:val="0"/>
          <w:numId w:val="4"/>
        </w:numPr>
      </w:pPr>
      <w:r>
        <w:t xml:space="preserve">Formats et services : shapefile, GeoPackage, GeoTIFF, WMS/WFS/WCS.</w:t>
      </w:r>
    </w:p>
    <w:p>
      <w:pPr>
        <w:pStyle w:val="ListParagraph"/>
        <w:numPr>
          <w:ilvl w:val="0"/>
          <w:numId w:val="4"/>
        </w:numPr>
      </w:pPr>
      <w:r>
        <w:t xml:space="preserve">Systèmes de coordonnées : WGS 84, UTM 32N et 33N pour le Cameroun et le Congo ; pièges de reprojection.</w:t>
      </w:r>
    </w:p>
    <w:p>
      <w:pPr>
        <w:pStyle w:val="ListParagraph"/>
        <w:numPr>
          <w:ilvl w:val="0"/>
          <w:numId w:val="4"/>
        </w:numPr>
      </w:pPr>
      <w:r>
        <w:t xml:space="preserve">Qualité et date des données : une base à référence 2018 ne montre pas les projets ouverts depuis.</w:t>
      </w:r>
    </w:p>
    <w:p>
      <w:pPr/>
      <w:r>
        <w:rPr>
          <w:b/>
        </w:rPr>
        <w:t xml:space="preserve">TP1 — Carte minière de l'Afrique dans QGIS</w:t>
      </w:r>
    </w:p>
    <w:p>
      <w:pPr>
        <w:pStyle w:val="ListParagraph"/>
        <w:numPr>
          <w:ilvl w:val="0"/>
          <w:numId w:val="5"/>
        </w:numPr>
      </w:pPr>
      <w:r>
        <w:t xml:space="preserve">Télécharger la géodatabase USGS Afrique et l'ouvrir dans QGIS.</w:t>
      </w:r>
    </w:p>
    <w:p>
      <w:pPr>
        <w:pStyle w:val="ListParagraph"/>
        <w:numPr>
          <w:ilvl w:val="0"/>
          <w:numId w:val="5"/>
        </w:numPr>
      </w:pPr>
      <w:r>
        <w:t xml:space="preserve">Charger les couches mines, usines de traitement, sites d'exploration.</w:t>
      </w:r>
    </w:p>
    <w:p>
      <w:pPr>
        <w:pStyle w:val="ListParagraph"/>
        <w:numPr>
          <w:ilvl w:val="0"/>
          <w:numId w:val="5"/>
        </w:numPr>
      </w:pPr>
      <w:r>
        <w:t xml:space="preserve">Ajouter routes, voies ferrées, ports, lignes électriques.</w:t>
      </w:r>
    </w:p>
    <w:p>
      <w:pPr>
        <w:pStyle w:val="ListParagraph"/>
        <w:numPr>
          <w:ilvl w:val="0"/>
          <w:numId w:val="5"/>
        </w:numPr>
      </w:pPr>
      <w:r>
        <w:t xml:space="preserve">Ajouter la géologie via un service WMS OneGeology.</w:t>
      </w:r>
    </w:p>
    <w:p>
      <w:pPr>
        <w:pStyle w:val="ListParagraph"/>
        <w:numPr>
          <w:ilvl w:val="0"/>
          <w:numId w:val="5"/>
        </w:numPr>
      </w:pPr>
      <w:r>
        <w:t xml:space="preserve">Filtrer par substance (or, cuivre, cobalt, bauxite, fer).</w:t>
      </w:r>
    </w:p>
    <w:p>
      <w:pPr>
        <w:pStyle w:val="ListParagraph"/>
        <w:numPr>
          <w:ilvl w:val="0"/>
          <w:numId w:val="5"/>
        </w:numPr>
      </w:pPr>
      <w:r>
        <w:t xml:space="preserve">Zoomer sur les cinq pays de la formation et comparer leurs profils.</w:t>
      </w:r>
    </w:p>
    <w:p>
      <w:pPr>
        <w:pStyle w:val="ListParagraph"/>
        <w:numPr>
          <w:ilvl w:val="0"/>
          <w:numId w:val="5"/>
        </w:numPr>
      </w:pPr>
      <w:r>
        <w:t xml:space="preserve">Mettre en page une carte thématique A3 (légende, échelle, nord, sources, date).</w:t>
      </w:r>
    </w:p>
    <w:p>
      <w:pPr/>
      <w:r>
        <w:rPr>
          <w:b/>
        </w:rPr>
        <w:t xml:space="preserve">Livrable J1 :</w:t>
      </w:r>
      <w:r>
        <w:t xml:space="preserve"> carte thématique A3 « Mines et infrastructures — Afrique centrale ».</w:t>
      </w:r>
    </w:p>
    <w:p>
      <w:pPr>
        <w:pStyle w:val="Heading2"/>
      </w:pPr>
      <w:r>
        <w:t xml:space="preserve">Jour 2 — Télédétection appliquée aux mines</w:t>
      </w:r>
    </w:p>
    <w:p>
      <w:pPr/>
      <w:r>
        <w:t xml:space="preserve">Le participant produit une carte d'anomalies spectrales sur une zone minière. Il apprend aussi pourquoi cette carte est fiable en savane et fragile sous forêt dense.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Horaire</w:t>
            </w:r>
          </w:p>
        </w:tc>
        <w:tc>
          <w:tcPr>
            <w:tcW w:w="3120" w:type="dxa"/>
            <w:shd w:val="clear" w:color="auto" w:fill="F2F2F2"/>
          </w:tcPr>
          <w:p>
            <w:pPr/>
            <w:r>
              <w:t xml:space="preserve">Séquence</w:t>
            </w:r>
          </w:p>
        </w:tc>
        <w:tc>
          <w:tcPr>
            <w:tcW w:w="3120" w:type="dxa"/>
            <w:shd w:val="clear" w:color="auto" w:fill="F2F2F2"/>
          </w:tcPr>
          <w:p>
            <w:pPr/>
            <w:r>
              <w:t xml:space="preserve">Type</w:t>
            </w:r>
          </w:p>
        </w:tc>
      </w:tr>
      <w:tr>
        <w:tc>
          <w:tcPr>
            <w:tcW w:w="3120" w:type="dxa"/>
          </w:tcPr>
          <w:p>
            <w:pPr/>
            <w:r>
              <w:t xml:space="preserve">8 h 30–10 h 30</w:t>
            </w:r>
          </w:p>
        </w:tc>
        <w:tc>
          <w:tcPr>
            <w:tcW w:w="3120" w:type="dxa"/>
          </w:tcPr>
          <w:p>
            <w:pPr/>
            <w:r>
              <w:rPr>
                <w:b/>
              </w:rPr>
              <w:t xml:space="preserve">Module 3 — Signatures spectrales et capteurs</w:t>
            </w:r>
          </w:p>
        </w:tc>
        <w:tc>
          <w:tcPr>
            <w:tcW w:w="3120" w:type="dxa"/>
          </w:tcPr>
          <w:p>
            <w:pPr/>
            <w:r>
              <w:t xml:space="preserve">Théorie</w:t>
            </w:r>
          </w:p>
        </w:tc>
      </w:tr>
      <w:tr>
        <w:tc>
          <w:tcPr>
            <w:tcW w:w="3120" w:type="dxa"/>
          </w:tcPr>
          <w:p>
            <w:pPr/>
            <w:r>
              <w:t xml:space="preserve">10 h 45–12 h 30</w:t>
            </w:r>
          </w:p>
        </w:tc>
        <w:tc>
          <w:tcPr>
            <w:tcW w:w="3120" w:type="dxa"/>
          </w:tcPr>
          <w:p>
            <w:pPr/>
            <w:r>
              <w:t xml:space="preserve">TP2a — Acquisition et prétraitement Sentinel-2</w:t>
            </w:r>
          </w:p>
        </w:tc>
        <w:tc>
          <w:tcPr>
            <w:tcW w:w="3120" w:type="dxa"/>
          </w:tcPr>
          <w:p>
            <w:pPr/>
            <w:r>
              <w:t xml:space="preserve">Pratique</w:t>
            </w:r>
          </w:p>
        </w:tc>
      </w:tr>
      <w:tr>
        <w:tc>
          <w:tcPr>
            <w:tcW w:w="3120" w:type="dxa"/>
          </w:tcPr>
          <w:p>
            <w:pPr/>
            <w:r>
              <w:t xml:space="preserve">13 h 30–15 h 30</w:t>
            </w:r>
          </w:p>
        </w:tc>
        <w:tc>
          <w:tcPr>
            <w:tcW w:w="3120" w:type="dxa"/>
          </w:tcPr>
          <w:p>
            <w:pPr/>
            <w:r>
              <w:t xml:space="preserve">TP2b — Rapports de bandes, indices, classification</w:t>
            </w:r>
          </w:p>
        </w:tc>
        <w:tc>
          <w:tcPr>
            <w:tcW w:w="3120" w:type="dxa"/>
          </w:tcPr>
          <w:p>
            <w:pPr/>
            <w:r>
              <w:t xml:space="preserve">Pratique</w:t>
            </w:r>
          </w:p>
        </w:tc>
      </w:tr>
      <w:tr>
        <w:tc>
          <w:tcPr>
            <w:tcW w:w="3120" w:type="dxa"/>
          </w:tcPr>
          <w:p>
            <w:pPr/>
            <w:r>
              <w:t xml:space="preserve">15 h 30–16 h 30</w:t>
            </w:r>
          </w:p>
        </w:tc>
        <w:tc>
          <w:tcPr>
            <w:tcW w:w="3120" w:type="dxa"/>
          </w:tcPr>
          <w:p>
            <w:pPr/>
            <w:r>
              <w:t xml:space="preserve">TP2c — Linéaments sur MNT et restitution</w:t>
            </w:r>
          </w:p>
        </w:tc>
        <w:tc>
          <w:tcPr>
            <w:tcW w:w="3120" w:type="dxa"/>
          </w:tcPr>
          <w:p>
            <w:pPr/>
            <w:r>
              <w:t xml:space="preserve">Pratique</w:t>
            </w:r>
          </w:p>
        </w:tc>
      </w:tr>
    </w:tbl>
    <w:p>
      <w:pPr/>
      <w:r>
        <w:rPr>
          <w:b/>
        </w:rPr>
        <w:t xml:space="preserve">Module 3 — Ce que chaque capteur peut voir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Cible</w:t>
            </w:r>
          </w:p>
        </w:tc>
        <w:tc>
          <w:tcPr>
            <w:tcW w:w="1872" w:type="dxa"/>
            <w:shd w:val="clear" w:color="auto" w:fill="F2F2F2"/>
          </w:tcPr>
          <w:p>
            <w:pPr/>
            <w:r>
              <w:t xml:space="preserve">Sentinel-2</w:t>
            </w:r>
          </w:p>
        </w:tc>
        <w:tc>
          <w:tcPr>
            <w:tcW w:w="1872" w:type="dxa"/>
            <w:shd w:val="clear" w:color="auto" w:fill="F2F2F2"/>
          </w:tcPr>
          <w:p>
            <w:pPr/>
            <w:r>
              <w:t xml:space="preserve">Landsat 8/9</w:t>
            </w:r>
          </w:p>
        </w:tc>
        <w:tc>
          <w:tcPr>
            <w:tcW w:w="1872" w:type="dxa"/>
            <w:shd w:val="clear" w:color="auto" w:fill="F2F2F2"/>
          </w:tcPr>
          <w:p>
            <w:pPr/>
            <w:r>
              <w:t xml:space="preserve">ASTER</w:t>
            </w:r>
          </w:p>
        </w:tc>
        <w:tc>
          <w:tcPr>
            <w:tcW w:w="1872" w:type="dxa"/>
            <w:shd w:val="clear" w:color="auto" w:fill="F2F2F2"/>
          </w:tcPr>
          <w:p>
            <w:pPr/>
            <w:r>
              <w:t xml:space="preserve">Remarque</w:t>
            </w:r>
          </w:p>
        </w:tc>
      </w:tr>
      <w:tr>
        <w:tc>
          <w:tcPr>
            <w:tcW w:w="1872" w:type="dxa"/>
          </w:tcPr>
          <w:p>
            <w:pPr/>
            <w:r>
              <w:t xml:space="preserve">Oxydes de fer (hématite, goethite)</w:t>
            </w:r>
          </w:p>
        </w:tc>
        <w:tc>
          <w:tcPr>
            <w:tcW w:w="1872" w:type="dxa"/>
          </w:tcPr>
          <w:p>
            <w:pPr/>
            <w:r>
              <w:t xml:space="preserve">B4/B2</w:t>
            </w:r>
          </w:p>
        </w:tc>
        <w:tc>
          <w:tcPr>
            <w:tcW w:w="1872" w:type="dxa"/>
          </w:tcPr>
          <w:p>
            <w:pPr/>
            <w:r>
              <w:t xml:space="preserve">B4/B2</w:t>
            </w:r>
          </w:p>
        </w:tc>
        <w:tc>
          <w:tcPr>
            <w:tcW w:w="1872" w:type="dxa"/>
          </w:tcPr>
          <w:p>
            <w:pPr/>
            <w:r>
              <w:t xml:space="preserve">B2/B1</w:t>
            </w:r>
          </w:p>
        </w:tc>
        <w:tc>
          <w:tcPr>
            <w:tcW w:w="1872" w:type="dxa"/>
          </w:tcPr>
          <w:p>
            <w:pPr/>
            <w:r>
              <w:t xml:space="preserve">Zones d'oxydation, chapeaux de fer, latérites</w:t>
            </w:r>
          </w:p>
        </w:tc>
      </w:tr>
      <w:tr>
        <w:tc>
          <w:tcPr>
            <w:tcW w:w="1872" w:type="dxa"/>
          </w:tcPr>
          <w:p>
            <w:pPr/>
            <w:r>
              <w:t xml:space="preserve">Argiles et hydroxyles (kaolinite, séricite)</w:t>
            </w:r>
          </w:p>
        </w:tc>
        <w:tc>
          <w:tcPr>
            <w:tcW w:w="1872" w:type="dxa"/>
          </w:tcPr>
          <w:p>
            <w:pPr/>
            <w:r>
              <w:t xml:space="preserve">B11/B12</w:t>
            </w:r>
          </w:p>
        </w:tc>
        <w:tc>
          <w:tcPr>
            <w:tcW w:w="1872" w:type="dxa"/>
          </w:tcPr>
          <w:p>
            <w:pPr/>
            <w:r>
              <w:t xml:space="preserve">B6/B7</w:t>
            </w:r>
          </w:p>
        </w:tc>
        <w:tc>
          <w:tcPr>
            <w:tcW w:w="1872" w:type="dxa"/>
          </w:tcPr>
          <w:p>
            <w:pPr/>
            <w:r>
              <w:t xml:space="preserve">Bandes SWIR 5–7</w:t>
            </w:r>
          </w:p>
        </w:tc>
        <w:tc>
          <w:tcPr>
            <w:tcW w:w="1872" w:type="dxa"/>
          </w:tcPr>
          <w:p>
            <w:pPr/>
            <w:r>
              <w:t xml:space="preserve">Altération hydrothermale potentielle ; ASTER SWIR seulement avant 2008</w:t>
            </w:r>
          </w:p>
        </w:tc>
      </w:tr>
      <w:tr>
        <w:tc>
          <w:tcPr>
            <w:tcW w:w="1872" w:type="dxa"/>
          </w:tcPr>
          <w:p>
            <w:pPr/>
            <w:r>
              <w:t xml:space="preserve">Silice (quartz)</w:t>
            </w:r>
          </w:p>
        </w:tc>
        <w:tc>
          <w:tcPr>
            <w:tcW w:w="1872" w:type="dxa"/>
          </w:tcPr>
          <w:p>
            <w:pPr/>
            <w:r>
              <w:t xml:space="preserve">Non détectable</w:t>
            </w:r>
          </w:p>
        </w:tc>
        <w:tc>
          <w:tcPr>
            <w:tcW w:w="1872" w:type="dxa"/>
          </w:tcPr>
          <w:p>
            <w:pPr/>
            <w:r>
              <w:t xml:space="preserve">Non détectable</w:t>
            </w:r>
          </w:p>
        </w:tc>
        <w:tc>
          <w:tcPr>
            <w:tcW w:w="1872" w:type="dxa"/>
          </w:tcPr>
          <w:p>
            <w:pPr/>
            <w:r>
              <w:t xml:space="preserve">Bandes thermiques 10–14</w:t>
            </w:r>
          </w:p>
        </w:tc>
        <w:tc>
          <w:tcPr>
            <w:tcW w:w="1872" w:type="dxa"/>
          </w:tcPr>
          <w:p>
            <w:pPr/>
            <w:r>
              <w:t xml:space="preserve">Seul ASTER thermique convient ; résolution 90 m</w:t>
            </w:r>
          </w:p>
        </w:tc>
      </w:tr>
      <w:tr>
        <w:tc>
          <w:tcPr>
            <w:tcW w:w="1872" w:type="dxa"/>
          </w:tcPr>
          <w:p>
            <w:pPr/>
            <w:r>
              <w:t xml:space="preserve">Végétation</w:t>
            </w:r>
          </w:p>
        </w:tc>
        <w:tc>
          <w:tcPr>
            <w:tcW w:w="1872" w:type="dxa"/>
          </w:tcPr>
          <w:p>
            <w:pPr/>
            <w:r>
              <w:t xml:space="preserve">NDVI (B8, B4)</w:t>
            </w:r>
          </w:p>
        </w:tc>
        <w:tc>
          <w:tcPr>
            <w:tcW w:w="1872" w:type="dxa"/>
          </w:tcPr>
          <w:p>
            <w:pPr/>
            <w:r>
              <w:t xml:space="preserve">NDVI (B5, B4)</w:t>
            </w:r>
          </w:p>
        </w:tc>
        <w:tc>
          <w:tcPr>
            <w:tcW w:w="1872" w:type="dxa"/>
          </w:tcPr>
          <w:p>
            <w:pPr/>
            <w:r>
              <w:t xml:space="preserve">—</w:t>
            </w:r>
          </w:p>
        </w:tc>
        <w:tc>
          <w:tcPr>
            <w:tcW w:w="1872" w:type="dxa"/>
          </w:tcPr>
          <w:p>
            <w:pPr/>
            <w:r>
              <w:t xml:space="preserve">Indicateur indirect (géobotanique, défrichement)</w:t>
            </w:r>
          </w:p>
        </w:tc>
      </w:tr>
      <w:tr>
        <w:tc>
          <w:tcPr>
            <w:tcW w:w="1872" w:type="dxa"/>
          </w:tcPr>
          <w:p>
            <w:pPr/>
            <w:r>
              <w:t xml:space="preserve">Humidité</w:t>
            </w:r>
          </w:p>
        </w:tc>
        <w:tc>
          <w:tcPr>
            <w:tcW w:w="1872" w:type="dxa"/>
          </w:tcPr>
          <w:p>
            <w:pPr/>
            <w:r>
              <w:t xml:space="preserve">NDMI (B8, B11)</w:t>
            </w:r>
          </w:p>
        </w:tc>
        <w:tc>
          <w:tcPr>
            <w:tcW w:w="1872" w:type="dxa"/>
          </w:tcPr>
          <w:p>
            <w:pPr/>
            <w:r>
              <w:t xml:space="preserve">NDMI (B5, B6)</w:t>
            </w:r>
          </w:p>
        </w:tc>
        <w:tc>
          <w:tcPr>
            <w:tcW w:w="1872" w:type="dxa"/>
          </w:tcPr>
          <w:p>
            <w:pPr/>
            <w:r>
              <w:t xml:space="preserve">—</w:t>
            </w:r>
          </w:p>
        </w:tc>
        <w:tc>
          <w:tcPr>
            <w:tcW w:w="1872" w:type="dxa"/>
          </w:tcPr>
          <w:p>
            <w:pPr/>
            <w:r>
              <w:t xml:space="preserve">Différencie sols nus, eaux, zones humides</w:t>
            </w:r>
          </w:p>
        </w:tc>
      </w:tr>
    </w:tbl>
    <w:p>
      <w:pPr/>
      <w:r>
        <w:t xml:space="preserve">Le programme initial prévoyait de chercher la silice sur Sentinel-2 : ce n'est pas possible, il faut l'ASTER thermique. Les rapports cités sont des méthodes classiques, à présenter comme des indicateurs et non comme une identification minérale.</w:t>
      </w:r>
    </w:p>
    <w:p>
      <w:pPr/>
      <w:r>
        <w:rPr>
          <w:b/>
        </w:rPr>
        <w:t xml:space="preserve">TP2 — Sentinel-2 sur une zone minière</w:t>
      </w:r>
    </w:p>
    <w:p>
      <w:pPr/>
      <w:r>
        <w:t xml:space="preserve">Zone conseillée : une fenêtre de savane au nord du Cameroun (Adamaoua ou Nord), moins couverte de végétation que l'Est forestier. Une seconde fenêtre en forêt sert de contre-exemple.</w:t>
      </w:r>
    </w:p>
    <w:p>
      <w:pPr>
        <w:pStyle w:val="ListParagraph"/>
        <w:numPr>
          <w:ilvl w:val="0"/>
          <w:numId w:val="6"/>
        </w:numPr>
      </w:pPr>
      <w:r>
        <w:t xml:space="preserve">Composite médian sans nuages sur la saison sèche (script GEE fourni).</w:t>
      </w:r>
    </w:p>
    <w:p>
      <w:pPr>
        <w:pStyle w:val="ListParagraph"/>
        <w:numPr>
          <w:ilvl w:val="0"/>
          <w:numId w:val="6"/>
        </w:numPr>
      </w:pPr>
      <w:r>
        <w:t xml:space="preserve">Composition vraies couleurs (B4-B3-B2) puis fausses couleurs (B8-B4-B3, B12-B8-B4).</w:t>
      </w:r>
    </w:p>
    <w:p>
      <w:pPr>
        <w:pStyle w:val="ListParagraph"/>
        <w:numPr>
          <w:ilvl w:val="0"/>
          <w:numId w:val="6"/>
        </w:numPr>
      </w:pPr>
      <w:r>
        <w:t xml:space="preserve">Rapports de bandes oxydes de fer et argiles ; masque de végétation (NDVI &gt; seuil) et d'eau.</w:t>
      </w:r>
    </w:p>
    <w:p>
      <w:pPr>
        <w:pStyle w:val="ListParagraph"/>
        <w:numPr>
          <w:ilvl w:val="0"/>
          <w:numId w:val="6"/>
        </w:numPr>
      </w:pPr>
      <w:r>
        <w:t xml:space="preserve">Analyse en composantes principales dirigée (méthode de Crósta) en option.</w:t>
      </w:r>
    </w:p>
    <w:p>
      <w:pPr>
        <w:pStyle w:val="ListParagraph"/>
        <w:numPr>
          <w:ilvl w:val="0"/>
          <w:numId w:val="6"/>
        </w:numPr>
      </w:pPr>
      <w:r>
        <w:t xml:space="preserve">Classification supervisée simple : sol nu, latérite, végétation, eau, zones exploitées.</w:t>
      </w:r>
    </w:p>
    <w:p>
      <w:pPr>
        <w:pStyle w:val="ListParagraph"/>
        <w:numPr>
          <w:ilvl w:val="0"/>
          <w:numId w:val="6"/>
        </w:numPr>
      </w:pPr>
      <w:r>
        <w:t xml:space="preserve">Seuillage des anomalies (par exemple au-delà de moyenne + 2 écarts-types) et export vers QGIS.</w:t>
      </w:r>
    </w:p>
    <w:p>
      <w:pPr>
        <w:pStyle w:val="ListParagraph"/>
        <w:numPr>
          <w:ilvl w:val="0"/>
          <w:numId w:val="6"/>
        </w:numPr>
      </w:pPr>
      <w:r>
        <w:t xml:space="preserve">Extraction des linéaments sur ombrages du MNT sous quatre azimuts ; rosace des directions.</w:t>
      </w:r>
    </w:p>
    <w:p>
      <w:pPr/>
      <w:r>
        <w:rPr>
          <w:b/>
        </w:rPr>
        <w:t xml:space="preserve">Limite à enseigner explicitement.</w:t>
      </w:r>
      <w:r>
        <w:t xml:space="preserve"> Sous couvert forestier dense et nuageux, comme dans l'Est et le Sud du Cameroun, le signal optique vient surtout de la canopée. Les rapports de bandes y détectent mal les altérations. On compense par le radar Sentinel-1, le MNT, la géophysique et la géochimie.</w:t>
      </w:r>
    </w:p>
    <w:p>
      <w:pPr/>
      <w:r>
        <w:rPr>
          <w:b/>
        </w:rPr>
        <w:t xml:space="preserve">Livrables J2 :</w:t>
      </w:r>
      <w:r>
        <w:t xml:space="preserve"> carte des anomalies spectrales et carte des linéaments.</w:t>
      </w:r>
    </w:p>
    <w:p>
      <w:pPr>
        <w:pStyle w:val="Heading2"/>
      </w:pPr>
      <w:r>
        <w:t xml:space="preserve">Jour 3 — Cas fil rouge : Cameroun</w:t>
      </w:r>
    </w:p>
    <w:p>
      <w:pPr/>
      <w:r>
        <w:t xml:space="preserve">Chaque groupe traite en profondeur un seul des trois cas (or, bauxite ou fer), puis tous croisent leurs cibles avec le cadastre. Faire les trois cas en un jour par tous les groupes ne tient pas en 5,5 h de pratique.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Horaire</w:t>
            </w:r>
          </w:p>
        </w:tc>
        <w:tc>
          <w:tcPr>
            <w:tcW w:w="3120" w:type="dxa"/>
            <w:shd w:val="clear" w:color="auto" w:fill="F2F2F2"/>
          </w:tcPr>
          <w:p>
            <w:pPr/>
            <w:r>
              <w:t xml:space="preserve">Séquence</w:t>
            </w:r>
          </w:p>
        </w:tc>
        <w:tc>
          <w:tcPr>
            <w:tcW w:w="3120" w:type="dxa"/>
            <w:shd w:val="clear" w:color="auto" w:fill="F2F2F2"/>
          </w:tcPr>
          <w:p>
            <w:pPr/>
            <w:r>
              <w:t xml:space="preserve">Type</w:t>
            </w:r>
          </w:p>
        </w:tc>
      </w:tr>
      <w:tr>
        <w:tc>
          <w:tcPr>
            <w:tcW w:w="3120" w:type="dxa"/>
          </w:tcPr>
          <w:p>
            <w:pPr/>
            <w:r>
              <w:t xml:space="preserve">8 h 30–10 h 00</w:t>
            </w:r>
          </w:p>
        </w:tc>
        <w:tc>
          <w:tcPr>
            <w:tcW w:w="3120" w:type="dxa"/>
          </w:tcPr>
          <w:p>
            <w:pPr/>
            <w:r>
              <w:t xml:space="preserve">Le Cameroun minier : géologie (craton du Congo, chaîne panafricaine), PRECASEM, code minier, artisanat</w:t>
            </w:r>
          </w:p>
        </w:tc>
        <w:tc>
          <w:tcPr>
            <w:tcW w:w="3120" w:type="dxa"/>
          </w:tcPr>
          <w:p>
            <w:pPr/>
            <w:r>
              <w:t xml:space="preserve">Théorie</w:t>
            </w:r>
          </w:p>
        </w:tc>
      </w:tr>
      <w:tr>
        <w:tc>
          <w:tcPr>
            <w:tcW w:w="3120" w:type="dxa"/>
          </w:tcPr>
          <w:p>
            <w:pPr/>
            <w:r>
              <w:t xml:space="preserve">10 h 15–13 h 00</w:t>
            </w:r>
          </w:p>
        </w:tc>
        <w:tc>
          <w:tcPr>
            <w:tcW w:w="3120" w:type="dxa"/>
          </w:tcPr>
          <w:p>
            <w:pPr/>
            <w:r>
              <w:t xml:space="preserve">Cas A, B ou C selon le groupe</w:t>
            </w:r>
          </w:p>
        </w:tc>
        <w:tc>
          <w:tcPr>
            <w:tcW w:w="3120" w:type="dxa"/>
          </w:tcPr>
          <w:p>
            <w:pPr/>
            <w:r>
              <w:t xml:space="preserve">Pratique</w:t>
            </w:r>
          </w:p>
        </w:tc>
      </w:tr>
      <w:tr>
        <w:tc>
          <w:tcPr>
            <w:tcW w:w="3120" w:type="dxa"/>
          </w:tcPr>
          <w:p>
            <w:pPr/>
            <w:r>
              <w:t xml:space="preserve">14 h 00–15 h 00</w:t>
            </w:r>
          </w:p>
        </w:tc>
        <w:tc>
          <w:tcPr>
            <w:tcW w:w="3120" w:type="dxa"/>
          </w:tcPr>
          <w:p>
            <w:pPr/>
            <w:r>
              <w:t xml:space="preserve">Module suivi de l'orpaillage et environnement</w:t>
            </w:r>
          </w:p>
        </w:tc>
        <w:tc>
          <w:tcPr>
            <w:tcW w:w="3120" w:type="dxa"/>
          </w:tcPr>
          <w:p>
            <w:pPr/>
            <w:r>
              <w:t xml:space="preserve">Pratique</w:t>
            </w:r>
          </w:p>
        </w:tc>
      </w:tr>
      <w:tr>
        <w:tc>
          <w:tcPr>
            <w:tcW w:w="3120" w:type="dxa"/>
          </w:tcPr>
          <w:p>
            <w:pPr/>
            <w:r>
              <w:t xml:space="preserve">15 h 00–16 h 00</w:t>
            </w:r>
          </w:p>
        </w:tc>
        <w:tc>
          <w:tcPr>
            <w:tcW w:w="3120" w:type="dxa"/>
          </w:tcPr>
          <w:p>
            <w:pPr/>
            <w:r>
              <w:t xml:space="preserve">Exercice cadastre : cible × titres × aires protégées</w:t>
            </w:r>
          </w:p>
        </w:tc>
        <w:tc>
          <w:tcPr>
            <w:tcW w:w="3120" w:type="dxa"/>
          </w:tcPr>
          <w:p>
            <w:pPr/>
            <w:r>
              <w:t xml:space="preserve">Pratique</w:t>
            </w:r>
          </w:p>
        </w:tc>
      </w:tr>
      <w:tr>
        <w:tc>
          <w:tcPr>
            <w:tcW w:w="3120" w:type="dxa"/>
          </w:tcPr>
          <w:p>
            <w:pPr/>
            <w:r>
              <w:t xml:space="preserve">16 h 00–16 h 30</w:t>
            </w:r>
          </w:p>
        </w:tc>
        <w:tc>
          <w:tcPr>
            <w:tcW w:w="3120" w:type="dxa"/>
          </w:tcPr>
          <w:p>
            <w:pPr/>
            <w:r>
              <w:t xml:space="preserve">Restitution croisée des trois cas</w:t>
            </w:r>
          </w:p>
        </w:tc>
        <w:tc>
          <w:tcPr>
            <w:tcW w:w="3120" w:type="dxa"/>
          </w:tcPr>
          <w:p>
            <w:pPr/>
            <w:r>
              <w:t xml:space="preserve">Pratique</w:t>
            </w:r>
          </w:p>
        </w:tc>
      </w:tr>
    </w:tbl>
    <w:p>
      <w:pPr/>
      <w:r>
        <w:rPr>
          <w:b/>
        </w:rPr>
        <w:t xml:space="preserve">Cas A — Or (Est du Cameroun, secteur Bertoua–Batouri–Bétaré-Oya)</w:t>
      </w:r>
    </w:p>
    <w:p>
      <w:pPr>
        <w:pStyle w:val="ListParagraph"/>
        <w:numPr>
          <w:ilvl w:val="0"/>
          <w:numId w:val="7"/>
        </w:numPr>
      </w:pPr>
      <w:r>
        <w:t xml:space="preserve">Données : carte géologique, géochimie des sédiments de ruisseau (Au et éléments indicateurs As, Sb, W, Bi), linéaments J2, radar Sentinel-1, MNT, occurrences connues.</w:t>
      </w:r>
    </w:p>
    <w:p>
      <w:pPr>
        <w:pStyle w:val="ListParagraph"/>
        <w:numPr>
          <w:ilvl w:val="0"/>
          <w:numId w:val="7"/>
        </w:numPr>
      </w:pPr>
      <w:r>
        <w:t xml:space="preserve">Mission : repérer les zones où se combinent structures cisaillantes, lithologies favorables et anomalies géochimiques.</w:t>
      </w:r>
    </w:p>
    <w:p>
      <w:pPr>
        <w:pStyle w:val="ListParagraph"/>
        <w:numPr>
          <w:ilvl w:val="0"/>
          <w:numId w:val="7"/>
        </w:numPr>
      </w:pPr>
      <w:r>
        <w:t xml:space="preserve">Méthode : géologie + géochimie + télédétection + structures → carte de prospectivité aurifère préliminaire.</w:t>
      </w:r>
    </w:p>
    <w:p>
      <w:pPr>
        <w:pStyle w:val="ListParagraph"/>
        <w:numPr>
          <w:ilvl w:val="0"/>
          <w:numId w:val="7"/>
        </w:numPr>
      </w:pPr>
      <w:r>
        <w:t xml:space="preserve">Point clé : en forêt, la géochimie et les structures pèsent plus que les rapports de bandes.</w:t>
      </w:r>
    </w:p>
    <w:p>
      <w:pPr/>
      <w:r>
        <w:rPr>
          <w:b/>
        </w:rPr>
        <w:t xml:space="preserve">Cas B — Bauxite (Adamaoua, plateaux de Minim-Martap et Ngaoundal)</w:t>
      </w:r>
    </w:p>
    <w:p>
      <w:pPr>
        <w:pStyle w:val="ListParagraph"/>
        <w:numPr>
          <w:ilvl w:val="0"/>
          <w:numId w:val="8"/>
        </w:numPr>
      </w:pPr>
      <w:r>
        <w:t xml:space="preserve">Chaîne : Sentinel-2 → classification des surfaces → rapport oxydes de fer → MNT → pente et altitude → géologie → surfaces latéritiques de plateau → occurrences connues → zones favorables.</w:t>
      </w:r>
    </w:p>
    <w:p>
      <w:pPr>
        <w:pStyle w:val="ListParagraph"/>
        <w:numPr>
          <w:ilvl w:val="0"/>
          <w:numId w:val="8"/>
        </w:numPr>
      </w:pPr>
      <w:r>
        <w:t xml:space="preserve">Critères : plateau sub-horizontal, cuirasse latéritique, substrat favorable, épaisseur supposée (non mesurable par satellite).</w:t>
      </w:r>
    </w:p>
    <w:p>
      <w:pPr>
        <w:pStyle w:val="ListParagraph"/>
        <w:numPr>
          <w:ilvl w:val="0"/>
          <w:numId w:val="8"/>
        </w:numPr>
      </w:pPr>
      <w:r>
        <w:t xml:space="preserve">Point clé : une cuirasse ferrugineuse et une bauxite peuvent se ressembler en image ; seuls les sondages et analyses (Al₂O₃, SiO₂ réactive) tranchent.</w:t>
      </w:r>
    </w:p>
    <w:p>
      <w:pPr/>
      <w:r>
        <w:rPr>
          <w:b/>
        </w:rPr>
        <w:t xml:space="preserve">Cas C — Fer (Sud et Est : secteur de Mbalam, Nkout, Kribi)</w:t>
      </w:r>
    </w:p>
    <w:p>
      <w:pPr>
        <w:pStyle w:val="ListParagraph"/>
        <w:numPr>
          <w:ilvl w:val="0"/>
          <w:numId w:val="9"/>
        </w:numPr>
      </w:pPr>
      <w:r>
        <w:t xml:space="preserve">Logique : signature spectrale des oxydes de fer + géologie (formations ferrifères rubanées) + géomorphologie (crêtes résistantes) + structures → cibles ferrifères.</w:t>
      </w:r>
    </w:p>
    <w:p>
      <w:pPr>
        <w:pStyle w:val="ListParagraph"/>
        <w:numPr>
          <w:ilvl w:val="0"/>
          <w:numId w:val="9"/>
        </w:numPr>
      </w:pPr>
      <w:r>
        <w:t xml:space="preserve">Complément : la géophysique aéroportée magnétique, si les données PRECASEM sont accessibles, est l'outil le plus direct pour le fer.</w:t>
      </w:r>
    </w:p>
    <w:p>
      <w:pPr>
        <w:pStyle w:val="ListParagraph"/>
        <w:numPr>
          <w:ilvl w:val="0"/>
          <w:numId w:val="9"/>
        </w:numPr>
      </w:pPr>
      <w:r>
        <w:t xml:space="preserve">Point clé : la chaîne logistique (rail, port en eau profonde de Kribi) décide souvent de la valeur d'un gisement de fer plus que sa teneur.</w:t>
      </w:r>
    </w:p>
    <w:p>
      <w:pPr/>
      <w:r>
        <w:rPr>
          <w:b/>
        </w:rPr>
        <w:t xml:space="preserve">Module — Suivi de l'orpaillage et de l'environnement</w:t>
      </w:r>
    </w:p>
    <w:p>
      <w:pPr>
        <w:pStyle w:val="ListParagraph"/>
        <w:numPr>
          <w:ilvl w:val="0"/>
          <w:numId w:val="10"/>
        </w:numPr>
      </w:pPr>
      <w:r>
        <w:t xml:space="preserve">Série temporelle Sentinel-2 sur un tronçon de rivière aurifère de l'Est.</w:t>
      </w:r>
    </w:p>
    <w:p>
      <w:pPr>
        <w:pStyle w:val="ListParagraph"/>
        <w:numPr>
          <w:ilvl w:val="0"/>
          <w:numId w:val="10"/>
        </w:numPr>
      </w:pPr>
      <w:r>
        <w:t xml:space="preserve">Détection des sols mis à nu, des bassins et des barges.</w:t>
      </w:r>
    </w:p>
    <w:p>
      <w:pPr>
        <w:pStyle w:val="ListParagraph"/>
        <w:numPr>
          <w:ilvl w:val="0"/>
          <w:numId w:val="10"/>
        </w:numPr>
      </w:pPr>
      <w:r>
        <w:t xml:space="preserve">Indice de turbidité de l'eau en amont et en aval des chantiers.</w:t>
      </w:r>
    </w:p>
    <w:p>
      <w:pPr>
        <w:pStyle w:val="ListParagraph"/>
        <w:numPr>
          <w:ilvl w:val="0"/>
          <w:numId w:val="10"/>
        </w:numPr>
      </w:pPr>
      <w:r>
        <w:t xml:space="preserve">Calcul des surfaces perturbées par année.</w:t>
      </w:r>
    </w:p>
    <w:p>
      <w:pPr/>
      <w:r>
        <w:t xml:space="preserve">Le PRECASEM aurait publié des rapports de télédétection sur ces impacts : à récupérer pour la validation.</w:t>
      </w:r>
    </w:p>
    <w:p>
      <w:pPr/>
      <w:r>
        <w:rPr>
          <w:b/>
        </w:rPr>
        <w:t xml:space="preserve">Exercice cadastre</w:t>
      </w:r>
    </w:p>
    <w:p>
      <w:pPr>
        <w:pStyle w:val="ListParagraph"/>
        <w:numPr>
          <w:ilvl w:val="0"/>
          <w:numId w:val="11"/>
        </w:numPr>
      </w:pPr>
      <w:r>
        <w:t xml:space="preserve">Charger la cible prioritaire de son groupe.</w:t>
      </w:r>
    </w:p>
    <w:p>
      <w:pPr>
        <w:pStyle w:val="ListParagraph"/>
        <w:numPr>
          <w:ilvl w:val="0"/>
          <w:numId w:val="11"/>
        </w:numPr>
      </w:pPr>
      <w:r>
        <w:t xml:space="preserve">Superposer les titres miniers du </w:t>
      </w:r>
      <w:hyperlink r:id="rId8" w:history="1">
        <w:r>
          <w:rPr>
            <w:rStyle w:val="Hyperlink"/>
          </w:rPr>
          <w:t xml:space="preserve">portail du cadastre minier</w:t>
        </w:r>
      </w:hyperlink>
      <w:r>
        <w:t xml:space="preserve">, les aires protégées (WDPA) et les limites administratives.</w:t>
      </w:r>
    </w:p>
    <w:p>
      <w:pPr>
        <w:pStyle w:val="ListParagraph"/>
        <w:numPr>
          <w:ilvl w:val="0"/>
          <w:numId w:val="11"/>
        </w:numPr>
      </w:pPr>
      <w:r>
        <w:t xml:space="preserve">Classer la cible : libre, sous permis de recherche, sous permis d'exploitation, en aire protégée.</w:t>
      </w:r>
    </w:p>
    <w:p>
      <w:pPr>
        <w:pStyle w:val="ListParagraph"/>
        <w:numPr>
          <w:ilvl w:val="0"/>
          <w:numId w:val="11"/>
        </w:numPr>
      </w:pPr>
      <w:r>
        <w:t xml:space="preserve">En déduire la démarche réaliste : demande de permis, partenariat avec le détenteur, abandon.</w:t>
      </w:r>
    </w:p>
    <w:p>
      <w:pPr/>
      <w:r>
        <w:rPr>
          <w:b/>
        </w:rPr>
        <w:t xml:space="preserve">Livrables J3 :</w:t>
      </w:r>
      <w:r>
        <w:t xml:space="preserve"> carte géochimique, carte de prospectivité préliminaire, carte de suivi environnemental, tableau de statut cadastral des cibles.</w:t>
      </w:r>
    </w:p>
    <w:p>
      <w:pPr>
        <w:pStyle w:val="Heading2"/>
      </w:pPr>
      <w:r>
        <w:t xml:space="preserve">Jour 4 — De la cible au projet minier</w:t>
      </w:r>
    </w:p>
    <w:p>
      <w:pPr/>
      <w:r>
        <w:t xml:space="preserve">Le participant transforme ses couches en un indice de prospectivité chiffré, le valide, puis applique la méthode à un autre pays. C'est la journée qui distingue la formation d'un cours de télédétection.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Horaire</w:t>
            </w:r>
          </w:p>
        </w:tc>
        <w:tc>
          <w:tcPr>
            <w:tcW w:w="3120" w:type="dxa"/>
            <w:shd w:val="clear" w:color="auto" w:fill="F2F2F2"/>
          </w:tcPr>
          <w:p>
            <w:pPr/>
            <w:r>
              <w:t xml:space="preserve">Séquence</w:t>
            </w:r>
          </w:p>
        </w:tc>
        <w:tc>
          <w:tcPr>
            <w:tcW w:w="3120" w:type="dxa"/>
            <w:shd w:val="clear" w:color="auto" w:fill="F2F2F2"/>
          </w:tcPr>
          <w:p>
            <w:pPr/>
            <w:r>
              <w:t xml:space="preserve">Type</w:t>
            </w:r>
          </w:p>
        </w:tc>
      </w:tr>
      <w:tr>
        <w:tc>
          <w:tcPr>
            <w:tcW w:w="3120" w:type="dxa"/>
          </w:tcPr>
          <w:p>
            <w:pPr/>
            <w:r>
              <w:t xml:space="preserve">8 h 30–10 h 00</w:t>
            </w:r>
          </w:p>
        </w:tc>
        <w:tc>
          <w:tcPr>
            <w:tcW w:w="3120" w:type="dxa"/>
          </w:tcPr>
          <w:p>
            <w:pPr/>
            <w:r>
              <w:rPr>
                <w:b/>
              </w:rPr>
              <w:t xml:space="preserve">Module 4 — Prospectivité minérale</w:t>
            </w:r>
          </w:p>
        </w:tc>
        <w:tc>
          <w:tcPr>
            <w:tcW w:w="3120" w:type="dxa"/>
          </w:tcPr>
          <w:p>
            <w:pPr/>
            <w:r>
              <w:t xml:space="preserve">Théorie</w:t>
            </w:r>
          </w:p>
        </w:tc>
      </w:tr>
      <w:tr>
        <w:tc>
          <w:tcPr>
            <w:tcW w:w="3120" w:type="dxa"/>
          </w:tcPr>
          <w:p>
            <w:pPr/>
            <w:r>
              <w:t xml:space="preserve">10 h 15–12 h 30</w:t>
            </w:r>
          </w:p>
        </w:tc>
        <w:tc>
          <w:tcPr>
            <w:tcW w:w="3120" w:type="dxa"/>
          </w:tcPr>
          <w:p>
            <w:pPr/>
            <w:r>
              <w:t xml:space="preserve">TP4 — Indice de prospectivité Cameroun, validation, top 10</w:t>
            </w:r>
          </w:p>
        </w:tc>
        <w:tc>
          <w:tcPr>
            <w:tcW w:w="3120" w:type="dxa"/>
          </w:tcPr>
          <w:p>
            <w:pPr/>
            <w:r>
              <w:t xml:space="preserve">Pratique</w:t>
            </w:r>
          </w:p>
        </w:tc>
      </w:tr>
      <w:tr>
        <w:tc>
          <w:tcPr>
            <w:tcW w:w="3120" w:type="dxa"/>
          </w:tcPr>
          <w:p>
            <w:pPr/>
            <w:r>
              <w:t xml:space="preserve">13 h 30–15 h 45</w:t>
            </w:r>
          </w:p>
        </w:tc>
        <w:tc>
          <w:tcPr>
            <w:tcW w:w="3120" w:type="dxa"/>
          </w:tcPr>
          <w:p>
            <w:pPr/>
            <w:r>
              <w:t xml:space="preserve">Ateliers pays tournants (un pays par groupe)</w:t>
            </w:r>
          </w:p>
        </w:tc>
        <w:tc>
          <w:tcPr>
            <w:tcW w:w="3120" w:type="dxa"/>
          </w:tcPr>
          <w:p>
            <w:pPr/>
            <w:r>
              <w:t xml:space="preserve">Pratique</w:t>
            </w:r>
          </w:p>
        </w:tc>
      </w:tr>
      <w:tr>
        <w:tc>
          <w:tcPr>
            <w:tcW w:w="3120" w:type="dxa"/>
          </w:tcPr>
          <w:p>
            <w:pPr/>
            <w:r>
              <w:t xml:space="preserve">15 h 45–16 h 30</w:t>
            </w:r>
          </w:p>
        </w:tc>
        <w:tc>
          <w:tcPr>
            <w:tcW w:w="3120" w:type="dxa"/>
          </w:tcPr>
          <w:p>
            <w:pPr/>
            <w:r>
              <w:t xml:space="preserve">Restitution des pays : 8 min par groupe</w:t>
            </w:r>
          </w:p>
        </w:tc>
        <w:tc>
          <w:tcPr>
            <w:tcW w:w="3120" w:type="dxa"/>
          </w:tcPr>
          <w:p>
            <w:pPr/>
            <w:r>
              <w:t xml:space="preserve">Pratique</w:t>
            </w:r>
          </w:p>
        </w:tc>
      </w:tr>
    </w:tbl>
    <w:p>
      <w:pPr/>
      <w:r>
        <w:rPr>
          <w:b/>
        </w:rPr>
        <w:t xml:space="preserve">Module 4 — Superposition pondérée (Weighted Overlay)</w:t>
      </w:r>
    </w:p>
    <w:p>
      <w:pPr/>
      <w:r>
        <w:t xml:space="preserve">Chaque couche est reclassée de 0 à 1, puis combinée :</w:t>
      </w:r>
    </w:p>
    <w:p>
      <w:pPr>
        <w:pStyle w:val="Code"/>
      </w:pPr>
      <w:bookmarkStart w:id="1" w:name="bongo_lang_latex_1"/>
      <w:bookmarkEnd w:id="1"/>
      <w:r>
        <w:t xml:space="preserve">MPI = \sum_{i=1}^{n} w_i \, x_i \quad \text{avec} \quad \sum_{i=1}^{n} w_i = 1, \; x_i \in [0,1]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Critère</w:t>
            </w:r>
          </w:p>
        </w:tc>
        <w:tc>
          <w:tcPr>
            <w:tcW w:w="3120" w:type="dxa"/>
            <w:shd w:val="clear" w:color="auto" w:fill="F2F2F2"/>
          </w:tcPr>
          <w:p>
            <w:pPr/>
            <w:r>
              <w:t xml:space="preserve">Poids proposé</w:t>
            </w:r>
          </w:p>
        </w:tc>
        <w:tc>
          <w:tcPr>
            <w:tcW w:w="3120" w:type="dxa"/>
            <w:shd w:val="clear" w:color="auto" w:fill="F2F2F2"/>
          </w:tcPr>
          <w:p>
            <w:pPr/>
            <w:r>
              <w:t xml:space="preserve">Poids corrigé conseillé</w:t>
            </w:r>
          </w:p>
        </w:tc>
      </w:tr>
      <w:tr>
        <w:tc>
          <w:tcPr>
            <w:tcW w:w="3120" w:type="dxa"/>
          </w:tcPr>
          <w:p>
            <w:pPr/>
            <w:r>
              <w:t xml:space="preserve">Géologie favorable</w:t>
            </w:r>
          </w:p>
        </w:tc>
        <w:tc>
          <w:tcPr>
            <w:tcW w:w="3120" w:type="dxa"/>
          </w:tcPr>
          <w:p>
            <w:pPr/>
            <w:r>
              <w:t xml:space="preserve">25 %</w:t>
            </w:r>
          </w:p>
        </w:tc>
        <w:tc>
          <w:tcPr>
            <w:tcW w:w="3120" w:type="dxa"/>
          </w:tcPr>
          <w:p>
            <w:pPr/>
            <w:r>
              <w:t xml:space="preserve">30 %</w:t>
            </w:r>
          </w:p>
        </w:tc>
      </w:tr>
      <w:tr>
        <w:tc>
          <w:tcPr>
            <w:tcW w:w="3120" w:type="dxa"/>
          </w:tcPr>
          <w:p>
            <w:pPr/>
            <w:r>
              <w:t xml:space="preserve">Altération spectrale</w:t>
            </w:r>
          </w:p>
        </w:tc>
        <w:tc>
          <w:tcPr>
            <w:tcW w:w="3120" w:type="dxa"/>
          </w:tcPr>
          <w:p>
            <w:pPr/>
            <w:r>
              <w:t xml:space="preserve">20 %</w:t>
            </w:r>
          </w:p>
        </w:tc>
        <w:tc>
          <w:tcPr>
            <w:tcW w:w="3120" w:type="dxa"/>
          </w:tcPr>
          <w:p>
            <w:pPr/>
            <w:r>
              <w:t xml:space="preserve">15 % (10 % sous forêt)</w:t>
            </w:r>
          </w:p>
        </w:tc>
      </w:tr>
      <w:tr>
        <w:tc>
          <w:tcPr>
            <w:tcW w:w="3120" w:type="dxa"/>
          </w:tcPr>
          <w:p>
            <w:pPr/>
            <w:r>
              <w:t xml:space="preserve">Structures</w:t>
            </w:r>
          </w:p>
        </w:tc>
        <w:tc>
          <w:tcPr>
            <w:tcW w:w="3120" w:type="dxa"/>
          </w:tcPr>
          <w:p>
            <w:pPr/>
            <w:r>
              <w:t xml:space="preserve">20 %</w:t>
            </w:r>
          </w:p>
        </w:tc>
        <w:tc>
          <w:tcPr>
            <w:tcW w:w="3120" w:type="dxa"/>
          </w:tcPr>
          <w:p>
            <w:pPr/>
            <w:r>
              <w:t xml:space="preserve">25 %</w:t>
            </w:r>
          </w:p>
        </w:tc>
      </w:tr>
      <w:tr>
        <w:tc>
          <w:tcPr>
            <w:tcW w:w="3120" w:type="dxa"/>
          </w:tcPr>
          <w:p>
            <w:pPr/>
            <w:r>
              <w:t xml:space="preserve">Géochimie</w:t>
            </w:r>
          </w:p>
        </w:tc>
        <w:tc>
          <w:tcPr>
            <w:tcW w:w="3120" w:type="dxa"/>
          </w:tcPr>
          <w:p>
            <w:pPr/>
            <w:r>
              <w:t xml:space="preserve">20 %</w:t>
            </w:r>
          </w:p>
        </w:tc>
        <w:tc>
          <w:tcPr>
            <w:tcW w:w="3120" w:type="dxa"/>
          </w:tcPr>
          <w:p>
            <w:pPr/>
            <w:r>
              <w:t xml:space="preserve">30 %</w:t>
            </w:r>
          </w:p>
        </w:tc>
      </w:tr>
      <w:tr>
        <w:tc>
          <w:tcPr>
            <w:tcW w:w="3120" w:type="dxa"/>
          </w:tcPr>
          <w:p>
            <w:pPr/>
            <w:r>
              <w:t xml:space="preserve">Proximité des occurrences</w:t>
            </w:r>
          </w:p>
        </w:tc>
        <w:tc>
          <w:tcPr>
            <w:tcW w:w="3120" w:type="dxa"/>
          </w:tcPr>
          <w:p>
            <w:pPr/>
            <w:r>
              <w:t xml:space="preserve">10 %</w:t>
            </w:r>
          </w:p>
        </w:tc>
        <w:tc>
          <w:tcPr>
            <w:tcW w:w="3120" w:type="dxa"/>
          </w:tcPr>
          <w:p>
            <w:pPr/>
            <w:r>
              <w:t xml:space="preserve">0 % : sert à la validation</w:t>
            </w:r>
          </w:p>
        </w:tc>
      </w:tr>
      <w:tr>
        <w:tc>
          <w:tcPr>
            <w:tcW w:w="3120" w:type="dxa"/>
          </w:tcPr>
          <w:p>
            <w:pPr/>
            <w:r>
              <w:t xml:space="preserve">Accessibilité</w:t>
            </w:r>
          </w:p>
        </w:tc>
        <w:tc>
          <w:tcPr>
            <w:tcW w:w="3120" w:type="dxa"/>
          </w:tcPr>
          <w:p>
            <w:pPr/>
            <w:r>
              <w:t xml:space="preserve">5 %</w:t>
            </w:r>
          </w:p>
        </w:tc>
        <w:tc>
          <w:tcPr>
            <w:tcW w:w="3120" w:type="dxa"/>
          </w:tcPr>
          <w:p>
            <w:pPr/>
            <w:r>
              <w:t xml:space="preserve">0 % : couche d'attractivité séparée</w:t>
            </w:r>
          </w:p>
        </w:tc>
      </w:tr>
    </w:tbl>
    <w:p>
      <w:pPr/>
      <w:r>
        <w:t xml:space="preserve">Deux corrections au barème initial. Si les occurrences connues entrent dans l'indice, les valider ensuite sur ces mêmes occurrences est circulaire. Et l'accessibilité ne change pas la probabilité géologique : elle se juge à part, au moment de classer les cibles.</w:t>
      </w:r>
    </w:p>
    <w:p>
      <w:pPr/>
      <w:r>
        <w:rPr>
          <w:b/>
        </w:rPr>
        <w:t xml:space="preserve">Valider avant de classer</w:t>
      </w:r>
    </w:p>
    <w:p>
      <w:pPr>
        <w:pStyle w:val="ListParagraph"/>
        <w:numPr>
          <w:ilvl w:val="0"/>
          <w:numId w:val="12"/>
        </w:numPr>
      </w:pPr>
      <w:r>
        <w:t xml:space="preserve">Mettre de côté 70 % des occurrences connues pour caler, 30 % pour tester.</w:t>
      </w:r>
    </w:p>
    <w:p>
      <w:pPr>
        <w:pStyle w:val="ListParagraph"/>
        <w:numPr>
          <w:ilvl w:val="0"/>
          <w:numId w:val="12"/>
        </w:numPr>
      </w:pPr>
      <w:r>
        <w:t xml:space="preserve">Tracer la courbe de taux de succès : part des occurrences capturées dans les 10 %, 20 %, 30 % de surface les mieux notées.</w:t>
      </w:r>
    </w:p>
    <w:p>
      <w:pPr>
        <w:pStyle w:val="ListParagraph"/>
        <w:numPr>
          <w:ilvl w:val="0"/>
          <w:numId w:val="12"/>
        </w:numPr>
      </w:pPr>
      <w:r>
        <w:t xml:space="preserve">Faire varier chaque poids de ± 10 points et noter les cibles qui restent dans le top 10 : ce sont les cibles robustes.</w:t>
      </w:r>
    </w:p>
    <w:p>
      <w:pPr>
        <w:pStyle w:val="ListParagraph"/>
        <w:numPr>
          <w:ilvl w:val="0"/>
          <w:numId w:val="12"/>
        </w:numPr>
      </w:pPr>
      <w:r>
        <w:t xml:space="preserve">Présenter en option les méthodes guidées par les données (poids de l'évidence, logique floue, forêts aléatoires).</w:t>
      </w:r>
    </w:p>
    <w:p>
      <w:pPr/>
      <w:r>
        <w:rPr>
          <w:b/>
        </w:rPr>
        <w:t xml:space="preserve">Livrable TP4 :</w:t>
      </w:r>
      <w:r>
        <w:t xml:space="preserve"> top 10 des cibles Cameroun, avec leur score, leur robustesse et leur statut cadastral.</w:t>
      </w:r>
    </w:p>
    <w:p>
      <w:pPr/>
      <w:r>
        <w:rPr>
          <w:b/>
        </w:rPr>
        <w:t xml:space="preserve">Ateliers pays tournants</w:t>
      </w:r>
    </w:p>
    <w:p>
      <w:pPr/>
      <w:r>
        <w:t xml:space="preserve">Chaque groupe reçoit un dossier pays préparé (données USGS, géologie OneGeology ou nationale, cadastre si public, scènes Sentinel).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Pays</w:t>
            </w:r>
          </w:p>
        </w:tc>
        <w:tc>
          <w:tcPr>
            <w:tcW w:w="2340" w:type="dxa"/>
            <w:shd w:val="clear" w:color="auto" w:fill="F2F2F2"/>
          </w:tcPr>
          <w:p>
            <w:pPr/>
            <w:r>
              <w:t xml:space="preserve">Substance</w:t>
            </w:r>
          </w:p>
        </w:tc>
        <w:tc>
          <w:tcPr>
            <w:tcW w:w="2340" w:type="dxa"/>
            <w:shd w:val="clear" w:color="auto" w:fill="F2F2F2"/>
          </w:tcPr>
          <w:p>
            <w:pPr/>
            <w:r>
              <w:t xml:space="preserve">Question de l'atelier</w:t>
            </w:r>
          </w:p>
        </w:tc>
        <w:tc>
          <w:tcPr>
            <w:tcW w:w="2340" w:type="dxa"/>
            <w:shd w:val="clear" w:color="auto" w:fill="F2F2F2"/>
          </w:tcPr>
          <w:p>
            <w:pPr/>
            <w:r>
              <w:t xml:space="preserve">Livrable</w:t>
            </w:r>
          </w:p>
        </w:tc>
      </w:tr>
      <w:tr>
        <w:tc>
          <w:tcPr>
            <w:tcW w:w="2340" w:type="dxa"/>
          </w:tcPr>
          <w:p>
            <w:pPr/>
            <w:r>
              <w:t xml:space="preserve">RDC</w:t>
            </w:r>
          </w:p>
        </w:tc>
        <w:tc>
          <w:tcPr>
            <w:tcW w:w="2340" w:type="dxa"/>
          </w:tcPr>
          <w:p>
            <w:pPr/>
            <w:r>
              <w:t xml:space="preserve">Cuivre-cobalt (Katanga)</w:t>
            </w:r>
          </w:p>
        </w:tc>
        <w:tc>
          <w:tcPr>
            <w:tcW w:w="2340" w:type="dxa"/>
          </w:tcPr>
          <w:p>
            <w:pPr/>
            <w:r>
              <w:t xml:space="preserve">Comment le minerai rejoint-il la mer ? Mines → concentrateurs → fonderies → corridors (Lobito, Dar es Salaam, Durban)</w:t>
            </w:r>
          </w:p>
        </w:tc>
        <w:tc>
          <w:tcPr>
            <w:tcW w:w="2340" w:type="dxa"/>
          </w:tcPr>
          <w:p>
            <w:pPr/>
            <w:r>
              <w:t xml:space="preserve">Carte de la chaîne logistique Cu-Co</w:t>
            </w:r>
          </w:p>
        </w:tc>
      </w:tr>
      <w:tr>
        <w:tc>
          <w:tcPr>
            <w:tcW w:w="2340" w:type="dxa"/>
          </w:tcPr>
          <w:p>
            <w:pPr/>
            <w:r>
              <w:t xml:space="preserve">Zambie</w:t>
            </w:r>
          </w:p>
        </w:tc>
        <w:tc>
          <w:tcPr>
            <w:tcW w:w="2340" w:type="dxa"/>
          </w:tcPr>
          <w:p>
            <w:pPr/>
            <w:r>
              <w:t xml:space="preserve">Cuivre (Copperbelt)</w:t>
            </w:r>
          </w:p>
        </w:tc>
        <w:tc>
          <w:tcPr>
            <w:tcW w:w="2340" w:type="dxa"/>
          </w:tcPr>
          <w:p>
            <w:pPr/>
            <w:r>
              <w:t xml:space="preserve">Quelles traces laisse un bassin minier ancien ? Résidus, rivières, extension urbaine</w:t>
            </w:r>
          </w:p>
        </w:tc>
        <w:tc>
          <w:tcPr>
            <w:tcW w:w="2340" w:type="dxa"/>
          </w:tcPr>
          <w:p>
            <w:pPr/>
            <w:r>
              <w:t xml:space="preserve">Carte des impacts et relations spatiales géologie–mines–infrastructures</w:t>
            </w:r>
          </w:p>
        </w:tc>
      </w:tr>
      <w:tr>
        <w:tc>
          <w:tcPr>
            <w:tcW w:w="2340" w:type="dxa"/>
          </w:tcPr>
          <w:p>
            <w:pPr/>
            <w:r>
              <w:t xml:space="preserve">Guinée</w:t>
            </w:r>
          </w:p>
        </w:tc>
        <w:tc>
          <w:tcPr>
            <w:tcW w:w="2340" w:type="dxa"/>
          </w:tcPr>
          <w:p>
            <w:pPr/>
            <w:r>
              <w:t xml:space="preserve">Bauxite</w:t>
            </w:r>
          </w:p>
        </w:tc>
        <w:tc>
          <w:tcPr>
            <w:tcW w:w="2340" w:type="dxa"/>
          </w:tcPr>
          <w:p>
            <w:pPr/>
            <w:r>
              <w:t xml:space="preserve">Quels plateaux latéritiques sont exploitables et exportables ? Géomorphologie, mines, rails, ports</w:t>
            </w:r>
          </w:p>
        </w:tc>
        <w:tc>
          <w:tcPr>
            <w:tcW w:w="2340" w:type="dxa"/>
          </w:tcPr>
          <w:p>
            <w:pPr/>
            <w:r>
              <w:t xml:space="preserve">Carte plateaux × logistique ; chaîne bauxite → alumine → aluminium</w:t>
            </w:r>
          </w:p>
        </w:tc>
      </w:tr>
      <w:tr>
        <w:tc>
          <w:tcPr>
            <w:tcW w:w="2340" w:type="dxa"/>
          </w:tcPr>
          <w:p>
            <w:pPr/>
            <w:r>
              <w:t xml:space="preserve">Congo</w:t>
            </w:r>
          </w:p>
        </w:tc>
        <w:tc>
          <w:tcPr>
            <w:tcW w:w="2340" w:type="dxa"/>
          </w:tcPr>
          <w:p>
            <w:pPr/>
            <w:r>
              <w:t xml:space="preserve">Fer, potasse, cuivre, or, polymétallique</w:t>
            </w:r>
          </w:p>
        </w:tc>
        <w:tc>
          <w:tcPr>
            <w:tcW w:w="2340" w:type="dxa"/>
          </w:tcPr>
          <w:p>
            <w:pPr/>
            <w:r>
              <w:t xml:space="preserve">Que peut-on conclure avec peu de données ?</w:t>
            </w:r>
          </w:p>
        </w:tc>
        <w:tc>
          <w:tcPr>
            <w:tcW w:w="2340" w:type="dxa"/>
          </w:tcPr>
          <w:p>
            <w:pPr/>
            <w:r>
              <w:t xml:space="preserve">Première carte de prospectivité et d'infrastructures du Congo, avec ses lacunes nommées</w:t>
            </w:r>
          </w:p>
        </w:tc>
      </w:tr>
    </w:tbl>
    <w:p>
      <w:pPr/>
      <w:r>
        <w:t xml:space="preserve">Le cas Congo se relie au Cameroun par le gisement de fer transfrontalier de Mbalam-Nabeba : le groupe Congo présente ce lien en conclusion.</w:t>
      </w:r>
    </w:p>
    <w:p>
      <w:pPr/>
      <w:r>
        <w:rPr>
          <w:b/>
        </w:rPr>
        <w:t xml:space="preserve">Livrables J4 :</w:t>
      </w:r>
      <w:r>
        <w:t xml:space="preserve"> carte de prospectivité validée, top 10 Cameroun, carte pays de l'atelier.</w:t>
      </w:r>
    </w:p>
    <w:p>
      <w:pPr>
        <w:pStyle w:val="Heading2"/>
      </w:pPr>
      <w:r>
        <w:t xml:space="preserve">Jour 5 — Du minerai au produit minier</w:t>
      </w:r>
    </w:p>
    <w:p>
      <w:pPr/>
      <w:r>
        <w:t xml:space="preserve">Le participant sait dire quel produit sort d'une mine, où il est transformé, comment il est payé et à qui il est vendu. L'après-midi est consacré à la finalisation et à la soutenance du projet.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Horaire</w:t>
            </w:r>
          </w:p>
        </w:tc>
        <w:tc>
          <w:tcPr>
            <w:tcW w:w="3120" w:type="dxa"/>
            <w:shd w:val="clear" w:color="auto" w:fill="F2F2F2"/>
          </w:tcPr>
          <w:p>
            <w:pPr/>
            <w:r>
              <w:t xml:space="preserve">Séquence</w:t>
            </w:r>
          </w:p>
        </w:tc>
        <w:tc>
          <w:tcPr>
            <w:tcW w:w="3120" w:type="dxa"/>
            <w:shd w:val="clear" w:color="auto" w:fill="F2F2F2"/>
          </w:tcPr>
          <w:p>
            <w:pPr/>
            <w:r>
              <w:t xml:space="preserve">Type</w:t>
            </w:r>
          </w:p>
        </w:tc>
      </w:tr>
      <w:tr>
        <w:tc>
          <w:tcPr>
            <w:tcW w:w="3120" w:type="dxa"/>
          </w:tcPr>
          <w:p>
            <w:pPr/>
            <w:r>
              <w:t xml:space="preserve">8 h 30–9 h 30</w:t>
            </w:r>
          </w:p>
        </w:tc>
        <w:tc>
          <w:tcPr>
            <w:tcW w:w="3120" w:type="dxa"/>
          </w:tcPr>
          <w:p>
            <w:pPr/>
            <w:r>
              <w:rPr>
                <w:b/>
              </w:rPr>
              <w:t xml:space="preserve">Module 5 — Comprendre les produits miniers</w:t>
            </w:r>
          </w:p>
        </w:tc>
        <w:tc>
          <w:tcPr>
            <w:tcW w:w="3120" w:type="dxa"/>
          </w:tcPr>
          <w:p>
            <w:pPr/>
            <w:r>
              <w:t xml:space="preserve">Théorie</w:t>
            </w:r>
          </w:p>
        </w:tc>
      </w:tr>
      <w:tr>
        <w:tc>
          <w:tcPr>
            <w:tcW w:w="3120" w:type="dxa"/>
          </w:tcPr>
          <w:p>
            <w:pPr/>
            <w:r>
              <w:t xml:space="preserve">9 h 30–10 h 30</w:t>
            </w:r>
          </w:p>
        </w:tc>
        <w:tc>
          <w:tcPr>
            <w:tcW w:w="3120" w:type="dxa"/>
          </w:tcPr>
          <w:p>
            <w:pPr/>
            <w:r>
              <w:rPr>
                <w:b/>
              </w:rPr>
              <w:t xml:space="preserve">Module 6 — Chaînes de valeur et marchés</w:t>
            </w:r>
          </w:p>
        </w:tc>
        <w:tc>
          <w:tcPr>
            <w:tcW w:w="3120" w:type="dxa"/>
          </w:tcPr>
          <w:p>
            <w:pPr/>
            <w:r>
              <w:t xml:space="preserve">Théorie</w:t>
            </w:r>
          </w:p>
        </w:tc>
      </w:tr>
      <w:tr>
        <w:tc>
          <w:tcPr>
            <w:tcW w:w="3120" w:type="dxa"/>
          </w:tcPr>
          <w:p>
            <w:pPr/>
            <w:r>
              <w:t xml:space="preserve">10 h 45–12 h 30</w:t>
            </w:r>
          </w:p>
        </w:tc>
        <w:tc>
          <w:tcPr>
            <w:tcW w:w="3120" w:type="dxa"/>
          </w:tcPr>
          <w:p>
            <w:pPr/>
            <w:r>
              <w:t xml:space="preserve">TP5 — Matrice des chaînes de valeur et calcul de la valeur d'un concentré</w:t>
            </w:r>
          </w:p>
        </w:tc>
        <w:tc>
          <w:tcPr>
            <w:tcW w:w="3120" w:type="dxa"/>
          </w:tcPr>
          <w:p>
            <w:pPr/>
            <w:r>
              <w:t xml:space="preserve">Pratique</w:t>
            </w:r>
          </w:p>
        </w:tc>
      </w:tr>
      <w:tr>
        <w:tc>
          <w:tcPr>
            <w:tcW w:w="3120" w:type="dxa"/>
          </w:tcPr>
          <w:p>
            <w:pPr/>
            <w:r>
              <w:t xml:space="preserve">13 h 30–15 h 00</w:t>
            </w:r>
          </w:p>
        </w:tc>
        <w:tc>
          <w:tcPr>
            <w:tcW w:w="3120" w:type="dxa"/>
          </w:tcPr>
          <w:p>
            <w:pPr/>
            <w:r>
              <w:t xml:space="preserve">Finalisation du projet « Satellite to Market »</w:t>
            </w:r>
          </w:p>
        </w:tc>
        <w:tc>
          <w:tcPr>
            <w:tcW w:w="3120" w:type="dxa"/>
          </w:tcPr>
          <w:p>
            <w:pPr/>
            <w:r>
              <w:t xml:space="preserve">Pratique</w:t>
            </w:r>
          </w:p>
        </w:tc>
      </w:tr>
      <w:tr>
        <w:tc>
          <w:tcPr>
            <w:tcW w:w="3120" w:type="dxa"/>
          </w:tcPr>
          <w:p>
            <w:pPr/>
            <w:r>
              <w:t xml:space="preserve">15 h 00–16 h 15</w:t>
            </w:r>
          </w:p>
        </w:tc>
        <w:tc>
          <w:tcPr>
            <w:tcW w:w="3120" w:type="dxa"/>
          </w:tcPr>
          <w:p>
            <w:pPr/>
            <w:r>
              <w:t xml:space="preserve">Soutenances (10 min + 5 min de questions par groupe)</w:t>
            </w:r>
          </w:p>
        </w:tc>
        <w:tc>
          <w:tcPr>
            <w:tcW w:w="3120" w:type="dxa"/>
          </w:tcPr>
          <w:p>
            <w:pPr/>
            <w:r>
              <w:t xml:space="preserve">Pratique</w:t>
            </w:r>
          </w:p>
        </w:tc>
      </w:tr>
      <w:tr>
        <w:tc>
          <w:tcPr>
            <w:tcW w:w="3120" w:type="dxa"/>
          </w:tcPr>
          <w:p>
            <w:pPr/>
            <w:r>
              <w:t xml:space="preserve">16 h 15–16 h 30</w:t>
            </w:r>
          </w:p>
        </w:tc>
        <w:tc>
          <w:tcPr>
            <w:tcW w:w="3120" w:type="dxa"/>
          </w:tcPr>
          <w:p>
            <w:pPr/>
            <w:r>
              <w:t xml:space="preserve">Quiz de sortie, évaluation de la formation</w:t>
            </w:r>
          </w:p>
        </w:tc>
        <w:tc>
          <w:tcPr>
            <w:tcW w:w="3120" w:type="dxa"/>
          </w:tcPr>
          <w:p>
            <w:pPr/>
            <w:r>
              <w:t xml:space="preserve">—</w:t>
            </w:r>
          </w:p>
        </w:tc>
      </w:tr>
    </w:tbl>
    <w:p>
      <w:pPr/>
      <w:r>
        <w:rPr>
          <w:b/>
        </w:rPr>
        <w:t xml:space="preserve">Module 5 — Les états successifs d'une substance</w:t>
      </w:r>
    </w:p>
    <w:p>
      <w:pPr/>
      <w:r>
        <w:t xml:space="preserve">Ressource → minerai → minerai marchand → concentré → produit intermédiaire → métal raffiné → produit industriel. Le cuivre suit deux voies, et il faut enseigner les deux :</w:t>
      </w:r>
    </w:p>
    <w:p>
      <w:pPr>
        <w:pStyle w:val="ListParagraph"/>
        <w:numPr>
          <w:ilvl w:val="0"/>
          <w:numId w:val="13"/>
        </w:numPr>
      </w:pPr>
      <w:r>
        <w:rPr>
          <w:b/>
        </w:rPr>
        <w:t xml:space="preserve">Sulfures</w:t>
      </w:r>
      <w:r>
        <w:t xml:space="preserve"> : concassage → broyage → flottation → concentré → fusion → matte → blister → raffinage électrolytique → cathode.</w:t>
      </w:r>
    </w:p>
    <w:p>
      <w:pPr>
        <w:pStyle w:val="ListParagraph"/>
        <w:numPr>
          <w:ilvl w:val="0"/>
          <w:numId w:val="13"/>
        </w:numPr>
      </w:pPr>
      <w:r>
        <w:rPr>
          <w:b/>
        </w:rPr>
        <w:t xml:space="preserve">Oxydes</w:t>
      </w:r>
      <w:r>
        <w:t xml:space="preserve"> (fréquents au Katanga et dans le Copperbelt) : lixiviation → extraction par solvant → électro-extraction (SX-EW) → cathode directement sur le site minier.</w:t>
      </w:r>
    </w:p>
    <w:p>
      <w:pPr/>
      <w:r>
        <w:t xml:space="preserve">Ensuite : cathode → fil machine → câbles, transformateurs, moteurs, équipements électriques.</w:t>
      </w:r>
    </w:p>
    <w:p>
      <w:pPr/>
      <w:r>
        <w:rPr>
          <w:b/>
        </w:rPr>
        <w:t xml:space="preserve">Module 6 — Matrice des chaînes de valeur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Substance</w:t>
            </w:r>
          </w:p>
        </w:tc>
        <w:tc>
          <w:tcPr>
            <w:tcW w:w="1872" w:type="dxa"/>
            <w:shd w:val="clear" w:color="auto" w:fill="F2F2F2"/>
          </w:tcPr>
          <w:p>
            <w:pPr/>
            <w:r>
              <w:t xml:space="preserve">Minerai</w:t>
            </w:r>
          </w:p>
        </w:tc>
        <w:tc>
          <w:tcPr>
            <w:tcW w:w="1872" w:type="dxa"/>
            <w:shd w:val="clear" w:color="auto" w:fill="F2F2F2"/>
          </w:tcPr>
          <w:p>
            <w:pPr/>
            <w:r>
              <w:t xml:space="preserve">Produit intermédiaire</w:t>
            </w:r>
          </w:p>
        </w:tc>
        <w:tc>
          <w:tcPr>
            <w:tcW w:w="1872" w:type="dxa"/>
            <w:shd w:val="clear" w:color="auto" w:fill="F2F2F2"/>
          </w:tcPr>
          <w:p>
            <w:pPr/>
            <w:r>
              <w:t xml:space="preserve">Produit final</w:t>
            </w:r>
          </w:p>
        </w:tc>
        <w:tc>
          <w:tcPr>
            <w:tcW w:w="1872" w:type="dxa"/>
            <w:shd w:val="clear" w:color="auto" w:fill="F2F2F2"/>
          </w:tcPr>
          <w:p>
            <w:pPr/>
            <w:r>
              <w:t xml:space="preserve">Repère de prix</w:t>
            </w:r>
          </w:p>
        </w:tc>
      </w:tr>
      <w:tr>
        <w:tc>
          <w:tcPr>
            <w:tcW w:w="1872" w:type="dxa"/>
          </w:tcPr>
          <w:p>
            <w:pPr/>
            <w:r>
              <w:t xml:space="preserve">Cuivre</w:t>
            </w:r>
          </w:p>
        </w:tc>
        <w:tc>
          <w:tcPr>
            <w:tcW w:w="1872" w:type="dxa"/>
          </w:tcPr>
          <w:p>
            <w:pPr/>
            <w:r>
              <w:t xml:space="preserve">Sulfures ou oxydes de Cu</w:t>
            </w:r>
          </w:p>
        </w:tc>
        <w:tc>
          <w:tcPr>
            <w:tcW w:w="1872" w:type="dxa"/>
          </w:tcPr>
          <w:p>
            <w:pPr/>
            <w:r>
              <w:t xml:space="preserve">Concentré, ou cathode SX-EW</w:t>
            </w:r>
          </w:p>
        </w:tc>
        <w:tc>
          <w:tcPr>
            <w:tcW w:w="1872" w:type="dxa"/>
          </w:tcPr>
          <w:p>
            <w:pPr/>
            <w:r>
              <w:t xml:space="preserve">Cathode, fil, câbles</w:t>
            </w:r>
          </w:p>
        </w:tc>
        <w:tc>
          <w:tcPr>
            <w:tcW w:w="1872" w:type="dxa"/>
          </w:tcPr>
          <w:p>
            <w:pPr/>
            <w:r>
              <w:t xml:space="preserve">LME</w:t>
            </w:r>
          </w:p>
        </w:tc>
      </w:tr>
      <w:tr>
        <w:tc>
          <w:tcPr>
            <w:tcW w:w="1872" w:type="dxa"/>
          </w:tcPr>
          <w:p>
            <w:pPr/>
            <w:r>
              <w:t xml:space="preserve">Cobalt</w:t>
            </w:r>
          </w:p>
        </w:tc>
        <w:tc>
          <w:tcPr>
            <w:tcW w:w="1872" w:type="dxa"/>
          </w:tcPr>
          <w:p>
            <w:pPr/>
            <w:r>
              <w:t xml:space="preserve">Minerai Cu-Co</w:t>
            </w:r>
          </w:p>
        </w:tc>
        <w:tc>
          <w:tcPr>
            <w:tcW w:w="1872" w:type="dxa"/>
          </w:tcPr>
          <w:p>
            <w:pPr/>
            <w:r>
              <w:t xml:space="preserve">Hydroxyde de cobalt</w:t>
            </w:r>
          </w:p>
        </w:tc>
        <w:tc>
          <w:tcPr>
            <w:tcW w:w="1872" w:type="dxa"/>
          </w:tcPr>
          <w:p>
            <w:pPr/>
            <w:r>
              <w:t xml:space="preserve">Sulfate de cobalt, précurseurs de batteries</w:t>
            </w:r>
          </w:p>
        </w:tc>
        <w:tc>
          <w:tcPr>
            <w:tcW w:w="1872" w:type="dxa"/>
          </w:tcPr>
          <w:p>
            <w:pPr/>
            <w:r>
              <w:t xml:space="preserve">Prix publiés par agences spécialisées</w:t>
            </w:r>
          </w:p>
        </w:tc>
      </w:tr>
      <w:tr>
        <w:tc>
          <w:tcPr>
            <w:tcW w:w="1872" w:type="dxa"/>
          </w:tcPr>
          <w:p>
            <w:pPr/>
            <w:r>
              <w:t xml:space="preserve">Or</w:t>
            </w:r>
          </w:p>
        </w:tc>
        <w:tc>
          <w:tcPr>
            <w:tcW w:w="1872" w:type="dxa"/>
          </w:tcPr>
          <w:p>
            <w:pPr/>
            <w:r>
              <w:t xml:space="preserve">Minerai aurifère, alluvions</w:t>
            </w:r>
          </w:p>
        </w:tc>
        <w:tc>
          <w:tcPr>
            <w:tcW w:w="1872" w:type="dxa"/>
          </w:tcPr>
          <w:p>
            <w:pPr/>
            <w:r>
              <w:t xml:space="preserve">Doré</w:t>
            </w:r>
          </w:p>
        </w:tc>
        <w:tc>
          <w:tcPr>
            <w:tcW w:w="1872" w:type="dxa"/>
          </w:tcPr>
          <w:p>
            <w:pPr/>
            <w:r>
              <w:t xml:space="preserve">Lingots affinés</w:t>
            </w:r>
          </w:p>
        </w:tc>
        <w:tc>
          <w:tcPr>
            <w:tcW w:w="1872" w:type="dxa"/>
          </w:tcPr>
          <w:p>
            <w:pPr/>
            <w:r>
              <w:t xml:space="preserve">Prix LBMA</w:t>
            </w:r>
          </w:p>
        </w:tc>
      </w:tr>
      <w:tr>
        <w:tc>
          <w:tcPr>
            <w:tcW w:w="1872" w:type="dxa"/>
          </w:tcPr>
          <w:p>
            <w:pPr/>
            <w:r>
              <w:t xml:space="preserve">Fer</w:t>
            </w:r>
          </w:p>
        </w:tc>
        <w:tc>
          <w:tcPr>
            <w:tcW w:w="1872" w:type="dxa"/>
          </w:tcPr>
          <w:p>
            <w:pPr/>
            <w:r>
              <w:t xml:space="preserve">Hématite, magnétite</w:t>
            </w:r>
          </w:p>
        </w:tc>
        <w:tc>
          <w:tcPr>
            <w:tcW w:w="1872" w:type="dxa"/>
          </w:tcPr>
          <w:p>
            <w:pPr/>
            <w:r>
              <w:t xml:space="preserve">Fines, morceaux, concentré, boulettes</w:t>
            </w:r>
          </w:p>
        </w:tc>
        <w:tc>
          <w:tcPr>
            <w:tcW w:w="1872" w:type="dxa"/>
          </w:tcPr>
          <w:p>
            <w:pPr/>
            <w:r>
              <w:t xml:space="preserve">DRI/HBI, fonte, acier</w:t>
            </w:r>
          </w:p>
        </w:tc>
        <w:tc>
          <w:tcPr>
            <w:tcW w:w="1872" w:type="dxa"/>
          </w:tcPr>
          <w:p>
            <w:pPr/>
            <w:r>
              <w:t xml:space="preserve">Indice 62 % Fe</w:t>
            </w:r>
          </w:p>
        </w:tc>
      </w:tr>
      <w:tr>
        <w:tc>
          <w:tcPr>
            <w:tcW w:w="1872" w:type="dxa"/>
          </w:tcPr>
          <w:p>
            <w:pPr/>
            <w:r>
              <w:t xml:space="preserve">Bauxite</w:t>
            </w:r>
          </w:p>
        </w:tc>
        <w:tc>
          <w:tcPr>
            <w:tcW w:w="1872" w:type="dxa"/>
          </w:tcPr>
          <w:p>
            <w:pPr/>
            <w:r>
              <w:t xml:space="preserve">Bauxite</w:t>
            </w:r>
          </w:p>
        </w:tc>
        <w:tc>
          <w:tcPr>
            <w:tcW w:w="1872" w:type="dxa"/>
          </w:tcPr>
          <w:p>
            <w:pPr/>
            <w:r>
              <w:t xml:space="preserve">Alumine (procédé Bayer)</w:t>
            </w:r>
          </w:p>
        </w:tc>
        <w:tc>
          <w:tcPr>
            <w:tcW w:w="1872" w:type="dxa"/>
          </w:tcPr>
          <w:p>
            <w:pPr/>
            <w:r>
              <w:t xml:space="preserve">Aluminium (électrolyse Hall-Héroult)</w:t>
            </w:r>
          </w:p>
        </w:tc>
        <w:tc>
          <w:tcPr>
            <w:tcW w:w="1872" w:type="dxa"/>
          </w:tcPr>
          <w:p>
            <w:pPr/>
            <w:r>
              <w:t xml:space="preserve">LME (aluminium)</w:t>
            </w:r>
          </w:p>
        </w:tc>
      </w:tr>
      <w:tr>
        <w:tc>
          <w:tcPr>
            <w:tcW w:w="1872" w:type="dxa"/>
          </w:tcPr>
          <w:p>
            <w:pPr/>
            <w:r>
              <w:t xml:space="preserve">Manganèse</w:t>
            </w:r>
          </w:p>
        </w:tc>
        <w:tc>
          <w:tcPr>
            <w:tcW w:w="1872" w:type="dxa"/>
          </w:tcPr>
          <w:p>
            <w:pPr/>
            <w:r>
              <w:t xml:space="preserve">Minerai de Mn</w:t>
            </w:r>
          </w:p>
        </w:tc>
        <w:tc>
          <w:tcPr>
            <w:tcW w:w="1872" w:type="dxa"/>
          </w:tcPr>
          <w:p>
            <w:pPr/>
            <w:r>
              <w:t xml:space="preserve">Ferromanganèse, silicomanganèse</w:t>
            </w:r>
          </w:p>
        </w:tc>
        <w:tc>
          <w:tcPr>
            <w:tcW w:w="1872" w:type="dxa"/>
          </w:tcPr>
          <w:p>
            <w:pPr/>
            <w:r>
              <w:t xml:space="preserve">Acier ; sulfate de Mn pour batteries</w:t>
            </w:r>
          </w:p>
        </w:tc>
        <w:tc>
          <w:tcPr>
            <w:tcW w:w="1872" w:type="dxa"/>
          </w:tcPr>
          <w:p>
            <w:pPr/>
            <w:r>
              <w:t xml:space="preserve">Indices spécialisés</w:t>
            </w:r>
          </w:p>
        </w:tc>
      </w:tr>
      <w:tr>
        <w:tc>
          <w:tcPr>
            <w:tcW w:w="1872" w:type="dxa"/>
          </w:tcPr>
          <w:p>
            <w:pPr/>
            <w:r>
              <w:t xml:space="preserve">Lithium</w:t>
            </w:r>
          </w:p>
        </w:tc>
        <w:tc>
          <w:tcPr>
            <w:tcW w:w="1872" w:type="dxa"/>
          </w:tcPr>
          <w:p>
            <w:pPr/>
            <w:r>
              <w:t xml:space="preserve">Spodumène</w:t>
            </w:r>
          </w:p>
        </w:tc>
        <w:tc>
          <w:tcPr>
            <w:tcW w:w="1872" w:type="dxa"/>
          </w:tcPr>
          <w:p>
            <w:pPr/>
            <w:r>
              <w:t xml:space="preserve">Concentré de spodumène</w:t>
            </w:r>
          </w:p>
        </w:tc>
        <w:tc>
          <w:tcPr>
            <w:tcW w:w="1872" w:type="dxa"/>
          </w:tcPr>
          <w:p>
            <w:pPr/>
            <w:r>
              <w:t xml:space="preserve">Carbonate ou hydroxyde de lithium</w:t>
            </w:r>
          </w:p>
        </w:tc>
        <w:tc>
          <w:tcPr>
            <w:tcW w:w="1872" w:type="dxa"/>
          </w:tcPr>
          <w:p>
            <w:pPr/>
            <w:r>
              <w:t xml:space="preserve">Indices spécialisés</w:t>
            </w:r>
          </w:p>
        </w:tc>
      </w:tr>
      <w:tr>
        <w:tc>
          <w:tcPr>
            <w:tcW w:w="1872" w:type="dxa"/>
          </w:tcPr>
          <w:p>
            <w:pPr/>
            <w:r>
              <w:t xml:space="preserve">Graphite</w:t>
            </w:r>
          </w:p>
        </w:tc>
        <w:tc>
          <w:tcPr>
            <w:tcW w:w="1872" w:type="dxa"/>
          </w:tcPr>
          <w:p>
            <w:pPr/>
            <w:r>
              <w:t xml:space="preserve">Graphite naturel</w:t>
            </w:r>
          </w:p>
        </w:tc>
        <w:tc>
          <w:tcPr>
            <w:tcW w:w="1872" w:type="dxa"/>
          </w:tcPr>
          <w:p>
            <w:pPr/>
            <w:r>
              <w:t xml:space="preserve">Concentré en paillettes</w:t>
            </w:r>
          </w:p>
        </w:tc>
        <w:tc>
          <w:tcPr>
            <w:tcW w:w="1872" w:type="dxa"/>
          </w:tcPr>
          <w:p>
            <w:pPr/>
            <w:r>
              <w:t xml:space="preserve">Graphite sphérique purifié (anodes)</w:t>
            </w:r>
          </w:p>
        </w:tc>
        <w:tc>
          <w:tcPr>
            <w:tcW w:w="1872" w:type="dxa"/>
          </w:tcPr>
          <w:p>
            <w:pPr/>
            <w:r>
              <w:t xml:space="preserve">Gré à gré</w:t>
            </w:r>
          </w:p>
        </w:tc>
      </w:tr>
      <w:tr>
        <w:tc>
          <w:tcPr>
            <w:tcW w:w="1872" w:type="dxa"/>
          </w:tcPr>
          <w:p>
            <w:pPr/>
            <w:r>
              <w:t xml:space="preserve">Phosphate</w:t>
            </w:r>
          </w:p>
        </w:tc>
        <w:tc>
          <w:tcPr>
            <w:tcW w:w="1872" w:type="dxa"/>
          </w:tcPr>
          <w:p>
            <w:pPr/>
            <w:r>
              <w:t xml:space="preserve">Roche phosphatée</w:t>
            </w:r>
          </w:p>
        </w:tc>
        <w:tc>
          <w:tcPr>
            <w:tcW w:w="1872" w:type="dxa"/>
          </w:tcPr>
          <w:p>
            <w:pPr/>
            <w:r>
              <w:t xml:space="preserve">Acide phosphorique</w:t>
            </w:r>
          </w:p>
        </w:tc>
        <w:tc>
          <w:tcPr>
            <w:tcW w:w="1872" w:type="dxa"/>
          </w:tcPr>
          <w:p>
            <w:pPr/>
            <w:r>
              <w:t xml:space="preserve">Engrais (DAP, MAP, TSP)</w:t>
            </w:r>
          </w:p>
        </w:tc>
        <w:tc>
          <w:tcPr>
            <w:tcW w:w="1872" w:type="dxa"/>
          </w:tcPr>
          <w:p>
            <w:pPr/>
            <w:r>
              <w:t xml:space="preserve">Indices spécialisés</w:t>
            </w:r>
          </w:p>
        </w:tc>
      </w:tr>
      <w:tr>
        <w:tc>
          <w:tcPr>
            <w:tcW w:w="1872" w:type="dxa"/>
          </w:tcPr>
          <w:p>
            <w:pPr/>
            <w:r>
              <w:t xml:space="preserve">Potasse</w:t>
            </w:r>
          </w:p>
        </w:tc>
        <w:tc>
          <w:tcPr>
            <w:tcW w:w="1872" w:type="dxa"/>
          </w:tcPr>
          <w:p>
            <w:pPr/>
            <w:r>
              <w:t xml:space="preserve">Sylvinite</w:t>
            </w:r>
          </w:p>
        </w:tc>
        <w:tc>
          <w:tcPr>
            <w:tcW w:w="1872" w:type="dxa"/>
          </w:tcPr>
          <w:p>
            <w:pPr/>
            <w:r>
              <w:t xml:space="preserve">Chlorure de potassium</w:t>
            </w:r>
          </w:p>
        </w:tc>
        <w:tc>
          <w:tcPr>
            <w:tcW w:w="1872" w:type="dxa"/>
          </w:tcPr>
          <w:p>
            <w:pPr/>
            <w:r>
              <w:t xml:space="preserve">Engrais</w:t>
            </w:r>
          </w:p>
        </w:tc>
        <w:tc>
          <w:tcPr>
            <w:tcW w:w="1872" w:type="dxa"/>
          </w:tcPr>
          <w:p>
            <w:pPr/>
            <w:r>
              <w:t xml:space="preserve">Indices spécialisés</w:t>
            </w:r>
          </w:p>
        </w:tc>
      </w:tr>
    </w:tbl>
    <w:p>
      <w:pPr/>
      <w:r>
        <w:rPr>
          <w:b/>
        </w:rPr>
        <w:t xml:space="preserve">TP5 — Combien vaut un concentré ?</w:t>
      </w:r>
    </w:p>
    <w:p>
      <w:pPr/>
      <w:r>
        <w:t xml:space="preserve">Un concentré n'est pas payé au prix du métal : l'acheteur paie une part du métal contenu, moins les frais de traitement et d'affinage, moins les pénalités.</w:t>
      </w:r>
    </w:p>
    <w:p>
      <w:pPr>
        <w:pStyle w:val="Code"/>
      </w:pPr>
      <w:bookmarkStart w:id="2" w:name="bongo_lang_latex_2"/>
      <w:bookmarkEnd w:id="2"/>
      <w:r>
        <w:t xml:space="preserve">V = M \times t \times p \times P - (TC + RC + \text{pénalités} + \text{transport})</w:t>
      </w:r>
    </w:p>
    <w:p>
      <w:pPr/>
      <w:r>
        <w:t xml:space="preserve">Où M est la masse de concentré, t sa teneur, p la part payable et P le prix de référence. Le formateur fournit des valeurs </w:t>
      </w:r>
      <w:r>
        <w:rPr>
          <w:b/>
        </w:rPr>
        <w:t xml:space="preserve">fictives et étiquetées comme telles</w:t>
      </w:r>
      <w:r>
        <w:t xml:space="preserve">. Les participants comparent ensuite la valeur capturée par le pays selon qu'il exporte un minerai, un concentré ou un métal, et calculent la redevance selon le code minier.</w:t>
      </w:r>
    </w:p>
    <w:p>
      <w:pPr>
        <w:pStyle w:val="Heading2"/>
      </w:pPr>
      <w:r>
        <w:t xml:space="preserve">Projet final « Satellite to Market »</w:t>
      </w:r>
    </w:p>
    <w:p>
      <w:pPr/>
      <w:r>
        <w:t xml:space="preserve">Chaque groupe reçoit sa zone au matin de J3 et la mène jusqu'à un mini investment brief soutenu le J5. Le projet sert d'évaluation certifiante.</w:t>
      </w:r>
    </w:p>
    <w:p>
      <w:pPr/>
      <w:r>
        <w:rPr>
          <w:b/>
        </w:rPr>
        <w:t xml:space="preserve">Les sept questions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Étape</w:t>
            </w:r>
          </w:p>
        </w:tc>
        <w:tc>
          <w:tcPr>
            <w:tcW w:w="2340" w:type="dxa"/>
            <w:shd w:val="clear" w:color="auto" w:fill="F2F2F2"/>
          </w:tcPr>
          <w:p>
            <w:pPr/>
            <w:r>
              <w:t xml:space="preserve">Question</w:t>
            </w:r>
          </w:p>
        </w:tc>
        <w:tc>
          <w:tcPr>
            <w:tcW w:w="2340" w:type="dxa"/>
            <w:shd w:val="clear" w:color="auto" w:fill="F2F2F2"/>
          </w:tcPr>
          <w:p>
            <w:pPr/>
            <w:r>
              <w:t xml:space="preserve">Jour où elle se construit</w:t>
            </w:r>
          </w:p>
        </w:tc>
        <w:tc>
          <w:tcPr>
            <w:tcW w:w="2340" w:type="dxa"/>
            <w:shd w:val="clear" w:color="auto" w:fill="F2F2F2"/>
          </w:tcPr>
          <w:p>
            <w:pPr/>
            <w:r>
              <w:t xml:space="preserve">Limite à respecter</w:t>
            </w:r>
          </w:p>
        </w:tc>
      </w:tr>
      <w:tr>
        <w:tc>
          <w:tcPr>
            <w:tcW w:w="2340" w:type="dxa"/>
          </w:tcPr>
          <w:p>
            <w:pPr/>
            <w:r>
              <w:t xml:space="preserve">1. Where?</w:t>
            </w:r>
          </w:p>
        </w:tc>
        <w:tc>
          <w:tcPr>
            <w:tcW w:w="2340" w:type="dxa"/>
          </w:tcPr>
          <w:p>
            <w:pPr/>
            <w:r>
              <w:t xml:space="preserve">Où est la zone intéressante ?</w:t>
            </w:r>
          </w:p>
        </w:tc>
        <w:tc>
          <w:tcPr>
            <w:tcW w:w="2340" w:type="dxa"/>
          </w:tcPr>
          <w:p>
            <w:pPr/>
            <w:r>
              <w:t xml:space="preserve">J2–J4</w:t>
            </w:r>
          </w:p>
        </w:tc>
        <w:tc>
          <w:tcPr>
            <w:tcW w:w="2340" w:type="dxa"/>
          </w:tcPr>
          <w:p>
            <w:pPr/>
            <w:r>
              <w:t xml:space="preserve">Une cible n'est pas un gisement</w:t>
            </w:r>
          </w:p>
        </w:tc>
      </w:tr>
      <w:tr>
        <w:tc>
          <w:tcPr>
            <w:tcW w:w="2340" w:type="dxa"/>
          </w:tcPr>
          <w:p>
            <w:pPr/>
            <w:r>
              <w:t xml:space="preserve">2. What?</w:t>
            </w:r>
          </w:p>
        </w:tc>
        <w:tc>
          <w:tcPr>
            <w:tcW w:w="2340" w:type="dxa"/>
          </w:tcPr>
          <w:p>
            <w:pPr/>
            <w:r>
              <w:t xml:space="preserve">Quelle substance, quel type de minéralisation ?</w:t>
            </w:r>
          </w:p>
        </w:tc>
        <w:tc>
          <w:tcPr>
            <w:tcW w:w="2340" w:type="dxa"/>
          </w:tcPr>
          <w:p>
            <w:pPr/>
            <w:r>
              <w:t xml:space="preserve">J3</w:t>
            </w:r>
          </w:p>
        </w:tc>
        <w:tc>
          <w:tcPr>
            <w:tcW w:w="2340" w:type="dxa"/>
          </w:tcPr>
          <w:p>
            <w:pPr/>
            <w:r>
              <w:t xml:space="preserve">Hypothèse à confirmer sur le terrain</w:t>
            </w:r>
          </w:p>
        </w:tc>
      </w:tr>
      <w:tr>
        <w:tc>
          <w:tcPr>
            <w:tcW w:w="2340" w:type="dxa"/>
          </w:tcPr>
          <w:p>
            <w:pPr/>
            <w:r>
              <w:t xml:space="preserve">3. How much?</w:t>
            </w:r>
          </w:p>
        </w:tc>
        <w:tc>
          <w:tcPr>
            <w:tcW w:w="2340" w:type="dxa"/>
          </w:tcPr>
          <w:p>
            <w:pPr/>
            <w:r>
              <w:t xml:space="preserve">Quel potentiel ?</w:t>
            </w:r>
          </w:p>
        </w:tc>
        <w:tc>
          <w:tcPr>
            <w:tcW w:w="2340" w:type="dxa"/>
          </w:tcPr>
          <w:p>
            <w:pPr/>
            <w:r>
              <w:t xml:space="preserve">J4</w:t>
            </w:r>
          </w:p>
        </w:tc>
        <w:tc>
          <w:tcPr>
            <w:tcW w:w="2340" w:type="dxa"/>
          </w:tcPr>
          <w:p>
            <w:pPr/>
            <w:r>
              <w:t xml:space="preserve">La télédétection seule ne permet pas d'estimer une ressource ; on parle de potentiel qualitatif</w:t>
            </w:r>
          </w:p>
        </w:tc>
      </w:tr>
      <w:tr>
        <w:tc>
          <w:tcPr>
            <w:tcW w:w="2340" w:type="dxa"/>
          </w:tcPr>
          <w:p>
            <w:pPr/>
            <w:r>
              <w:t xml:space="preserve">4. How?</w:t>
            </w:r>
          </w:p>
        </w:tc>
        <w:tc>
          <w:tcPr>
            <w:tcW w:w="2340" w:type="dxa"/>
          </w:tcPr>
          <w:p>
            <w:pPr/>
            <w:r>
              <w:t xml:space="preserve">Comment développer le projet ? Programme d'exploration, statut cadastral</w:t>
            </w:r>
          </w:p>
        </w:tc>
        <w:tc>
          <w:tcPr>
            <w:tcW w:w="2340" w:type="dxa"/>
          </w:tcPr>
          <w:p>
            <w:pPr/>
            <w:r>
              <w:t xml:space="preserve">J3–J4</w:t>
            </w:r>
          </w:p>
        </w:tc>
        <w:tc>
          <w:tcPr>
            <w:tcW w:w="2340" w:type="dxa"/>
          </w:tcPr>
          <w:p>
            <w:pPr/>
            <w:r>
              <w:t xml:space="preserve">Budget et calendrier indicatifs</w:t>
            </w:r>
          </w:p>
        </w:tc>
      </w:tr>
      <w:tr>
        <w:tc>
          <w:tcPr>
            <w:tcW w:w="2340" w:type="dxa"/>
          </w:tcPr>
          <w:p>
            <w:pPr/>
            <w:r>
              <w:t xml:space="preserve">5. What product?</w:t>
            </w:r>
          </w:p>
        </w:tc>
        <w:tc>
          <w:tcPr>
            <w:tcW w:w="2340" w:type="dxa"/>
          </w:tcPr>
          <w:p>
            <w:pPr/>
            <w:r>
              <w:t xml:space="preserve">Quel produit commercialiser ?</w:t>
            </w:r>
          </w:p>
        </w:tc>
        <w:tc>
          <w:tcPr>
            <w:tcW w:w="2340" w:type="dxa"/>
          </w:tcPr>
          <w:p>
            <w:pPr/>
            <w:r>
              <w:t xml:space="preserve">J5</w:t>
            </w:r>
          </w:p>
        </w:tc>
        <w:tc>
          <w:tcPr>
            <w:tcW w:w="2340" w:type="dxa"/>
          </w:tcPr>
          <w:p>
            <w:pPr/>
            <w:r>
              <w:t xml:space="preserve">Selon le type de minerai supposé</w:t>
            </w:r>
          </w:p>
        </w:tc>
      </w:tr>
      <w:tr>
        <w:tc>
          <w:tcPr>
            <w:tcW w:w="2340" w:type="dxa"/>
          </w:tcPr>
          <w:p>
            <w:pPr/>
            <w:r>
              <w:t xml:space="preserve">6. Where to process?</w:t>
            </w:r>
          </w:p>
        </w:tc>
        <w:tc>
          <w:tcPr>
            <w:tcW w:w="2340" w:type="dxa"/>
          </w:tcPr>
          <w:p>
            <w:pPr/>
            <w:r>
              <w:t xml:space="preserve">Où transformer ?</w:t>
            </w:r>
          </w:p>
        </w:tc>
        <w:tc>
          <w:tcPr>
            <w:tcW w:w="2340" w:type="dxa"/>
          </w:tcPr>
          <w:p>
            <w:pPr/>
            <w:r>
              <w:t xml:space="preserve">J4–J5</w:t>
            </w:r>
          </w:p>
        </w:tc>
        <w:tc>
          <w:tcPr>
            <w:tcW w:w="2340" w:type="dxa"/>
          </w:tcPr>
          <w:p>
            <w:pPr/>
            <w:r>
              <w:t xml:space="preserve">Énergie, eau, rail, port</w:t>
            </w:r>
          </w:p>
        </w:tc>
      </w:tr>
      <w:tr>
        <w:tc>
          <w:tcPr>
            <w:tcW w:w="2340" w:type="dxa"/>
          </w:tcPr>
          <w:p>
            <w:pPr/>
            <w:r>
              <w:t xml:space="preserve">7. Where to sell?</w:t>
            </w:r>
          </w:p>
        </w:tc>
        <w:tc>
          <w:tcPr>
            <w:tcW w:w="2340" w:type="dxa"/>
          </w:tcPr>
          <w:p>
            <w:pPr/>
            <w:r>
              <w:t xml:space="preserve">Quels marchés ?</w:t>
            </w:r>
          </w:p>
        </w:tc>
        <w:tc>
          <w:tcPr>
            <w:tcW w:w="2340" w:type="dxa"/>
          </w:tcPr>
          <w:p>
            <w:pPr/>
            <w:r>
              <w:t xml:space="preserve">J5</w:t>
            </w:r>
          </w:p>
        </w:tc>
        <w:tc>
          <w:tcPr>
            <w:tcW w:w="2340" w:type="dxa"/>
          </w:tcPr>
          <w:p>
            <w:pPr/>
            <w:r>
              <w:t xml:space="preserve">Pas de chiffres non sourcés</w:t>
            </w:r>
          </w:p>
        </w:tc>
      </w:tr>
    </w:tbl>
    <w:p>
      <w:pPr/>
      <w:r>
        <w:rPr>
          <w:b/>
        </w:rPr>
        <w:t xml:space="preserve">Les douze livrables</w:t>
      </w:r>
    </w:p>
    <w:p>
      <w:pPr>
        <w:pStyle w:val="ListParagraph"/>
        <w:numPr>
          <w:ilvl w:val="0"/>
          <w:numId w:val="14"/>
        </w:numPr>
      </w:pPr>
      <w:r>
        <w:t xml:space="preserve">☐ 1. Carte géologique</w:t>
      </w:r>
    </w:p>
    <w:p>
      <w:pPr>
        <w:pStyle w:val="ListParagraph"/>
        <w:numPr>
          <w:ilvl w:val="0"/>
          <w:numId w:val="14"/>
        </w:numPr>
      </w:pPr>
      <w:r>
        <w:t xml:space="preserve">☐ 2. Carte des anomalies spectrales</w:t>
      </w:r>
    </w:p>
    <w:p>
      <w:pPr>
        <w:pStyle w:val="ListParagraph"/>
        <w:numPr>
          <w:ilvl w:val="0"/>
          <w:numId w:val="14"/>
        </w:numPr>
      </w:pPr>
      <w:r>
        <w:t xml:space="preserve">☐ 3. Carte des structures</w:t>
      </w:r>
    </w:p>
    <w:p>
      <w:pPr>
        <w:pStyle w:val="ListParagraph"/>
        <w:numPr>
          <w:ilvl w:val="0"/>
          <w:numId w:val="14"/>
        </w:numPr>
      </w:pPr>
      <w:r>
        <w:t xml:space="preserve">☐ 4. Carte géochimique</w:t>
      </w:r>
    </w:p>
    <w:p>
      <w:pPr>
        <w:pStyle w:val="ListParagraph"/>
        <w:numPr>
          <w:ilvl w:val="0"/>
          <w:numId w:val="14"/>
        </w:numPr>
      </w:pPr>
      <w:r>
        <w:t xml:space="preserve">☐ 5. Carte de prospectivité avec courbe de validation</w:t>
      </w:r>
    </w:p>
    <w:p>
      <w:pPr>
        <w:pStyle w:val="ListParagraph"/>
        <w:numPr>
          <w:ilvl w:val="0"/>
          <w:numId w:val="14"/>
        </w:numPr>
      </w:pPr>
      <w:r>
        <w:t xml:space="preserve">☐ 6. Top 5 à 10 des cibles</w:t>
      </w:r>
    </w:p>
    <w:p>
      <w:pPr>
        <w:pStyle w:val="ListParagraph"/>
        <w:numPr>
          <w:ilvl w:val="0"/>
          <w:numId w:val="14"/>
        </w:numPr>
      </w:pPr>
      <w:r>
        <w:t xml:space="preserve">☐ 7. Fiche par cible (coordonnées, critères, score, robustesse, statut cadastral, travaux de terrain proposés)</w:t>
      </w:r>
    </w:p>
    <w:p>
      <w:pPr>
        <w:pStyle w:val="ListParagraph"/>
        <w:numPr>
          <w:ilvl w:val="0"/>
          <w:numId w:val="14"/>
        </w:numPr>
      </w:pPr>
      <w:r>
        <w:t xml:space="preserve">☐ 8. Chaîne de transformation du minerai</w:t>
      </w:r>
    </w:p>
    <w:p>
      <w:pPr>
        <w:pStyle w:val="ListParagraph"/>
        <w:numPr>
          <w:ilvl w:val="0"/>
          <w:numId w:val="14"/>
        </w:numPr>
      </w:pPr>
      <w:r>
        <w:t xml:space="preserve">☐ 9. Analyse du produit minier</w:t>
      </w:r>
    </w:p>
    <w:p>
      <w:pPr>
        <w:pStyle w:val="ListParagraph"/>
        <w:numPr>
          <w:ilvl w:val="0"/>
          <w:numId w:val="14"/>
        </w:numPr>
      </w:pPr>
      <w:r>
        <w:t xml:space="preserve">☐ 10. Analyse infrastructures et logistique</w:t>
      </w:r>
    </w:p>
    <w:p>
      <w:pPr>
        <w:pStyle w:val="ListParagraph"/>
        <w:numPr>
          <w:ilvl w:val="0"/>
          <w:numId w:val="14"/>
        </w:numPr>
      </w:pPr>
      <w:r>
        <w:t xml:space="preserve">☐ 11. Analyse du marché</w:t>
      </w:r>
    </w:p>
    <w:p>
      <w:pPr>
        <w:pStyle w:val="ListParagraph"/>
        <w:numPr>
          <w:ilvl w:val="0"/>
          <w:numId w:val="14"/>
        </w:numPr>
      </w:pPr>
      <w:r>
        <w:t xml:space="preserve">☐ 12. Mini investment brief (2 pages)</w:t>
      </w:r>
    </w:p>
    <w:p>
      <w:pPr/>
      <w:r>
        <w:rPr>
          <w:b/>
        </w:rPr>
        <w:t xml:space="preserve">Grille d'évaluation (sur 100)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Critère</w:t>
            </w:r>
          </w:p>
        </w:tc>
        <w:tc>
          <w:tcPr>
            <w:tcW w:w="4680" w:type="dxa"/>
            <w:shd w:val="clear" w:color="auto" w:fill="F2F2F2"/>
          </w:tcPr>
          <w:p>
            <w:pPr/>
            <w:r>
              <w:t xml:space="preserve">Points</w:t>
            </w:r>
          </w:p>
        </w:tc>
      </w:tr>
      <w:tr>
        <w:tc>
          <w:tcPr>
            <w:tcW w:w="4680" w:type="dxa"/>
          </w:tcPr>
          <w:p>
            <w:pPr/>
            <w:r>
              <w:t xml:space="preserve">Qualité et rigueur des cartes (sources, échelles, projections, légendes)</w:t>
            </w:r>
          </w:p>
        </w:tc>
        <w:tc>
          <w:tcPr>
            <w:tcW w:w="4680" w:type="dxa"/>
          </w:tcPr>
          <w:p>
            <w:pPr/>
            <w:r>
              <w:t xml:space="preserve">20</w:t>
            </w:r>
          </w:p>
        </w:tc>
      </w:tr>
      <w:tr>
        <w:tc>
          <w:tcPr>
            <w:tcW w:w="4680" w:type="dxa"/>
          </w:tcPr>
          <w:p>
            <w:pPr/>
            <w:r>
              <w:t xml:space="preserve">Méthode de prospectivité et validation</w:t>
            </w:r>
          </w:p>
        </w:tc>
        <w:tc>
          <w:tcPr>
            <w:tcW w:w="4680" w:type="dxa"/>
          </w:tcPr>
          <w:p>
            <w:pPr/>
            <w:r>
              <w:t xml:space="preserve">25</w:t>
            </w:r>
          </w:p>
        </w:tc>
      </w:tr>
      <w:tr>
        <w:tc>
          <w:tcPr>
            <w:tcW w:w="4680" w:type="dxa"/>
          </w:tcPr>
          <w:p>
            <w:pPr/>
            <w:r>
              <w:t xml:space="preserve">Cohérence géologique des cibles</w:t>
            </w:r>
          </w:p>
        </w:tc>
        <w:tc>
          <w:tcPr>
            <w:tcW w:w="4680" w:type="dxa"/>
          </w:tcPr>
          <w:p>
            <w:pPr/>
            <w:r>
              <w:t xml:space="preserve">15</w:t>
            </w:r>
          </w:p>
        </w:tc>
      </w:tr>
      <w:tr>
        <w:tc>
          <w:tcPr>
            <w:tcW w:w="4680" w:type="dxa"/>
          </w:tcPr>
          <w:p>
            <w:pPr/>
            <w:r>
              <w:t xml:space="preserve">Analyse cadastrale, environnementale et sociale</w:t>
            </w:r>
          </w:p>
        </w:tc>
        <w:tc>
          <w:tcPr>
            <w:tcW w:w="4680" w:type="dxa"/>
          </w:tcPr>
          <w:p>
            <w:pPr/>
            <w:r>
              <w:t xml:space="preserve">10</w:t>
            </w:r>
          </w:p>
        </w:tc>
      </w:tr>
      <w:tr>
        <w:tc>
          <w:tcPr>
            <w:tcW w:w="4680" w:type="dxa"/>
          </w:tcPr>
          <w:p>
            <w:pPr/>
            <w:r>
              <w:t xml:space="preserve">Chaîne de valeur, produit, marché</w:t>
            </w:r>
          </w:p>
        </w:tc>
        <w:tc>
          <w:tcPr>
            <w:tcW w:w="4680" w:type="dxa"/>
          </w:tcPr>
          <w:p>
            <w:pPr/>
            <w:r>
              <w:t xml:space="preserve">15</w:t>
            </w:r>
          </w:p>
        </w:tc>
      </w:tr>
      <w:tr>
        <w:tc>
          <w:tcPr>
            <w:tcW w:w="4680" w:type="dxa"/>
          </w:tcPr>
          <w:p>
            <w:pPr/>
            <w:r>
              <w:t xml:space="preserve">Honnêteté sur les limites et incertitudes</w:t>
            </w:r>
          </w:p>
        </w:tc>
        <w:tc>
          <w:tcPr>
            <w:tcW w:w="4680" w:type="dxa"/>
          </w:tcPr>
          <w:p>
            <w:pPr/>
            <w:r>
              <w:t xml:space="preserve">5</w:t>
            </w:r>
          </w:p>
        </w:tc>
      </w:tr>
      <w:tr>
        <w:tc>
          <w:tcPr>
            <w:tcW w:w="4680" w:type="dxa"/>
          </w:tcPr>
          <w:p>
            <w:pPr/>
            <w:r>
              <w:t xml:space="preserve">Soutenance orale</w:t>
            </w:r>
          </w:p>
        </w:tc>
        <w:tc>
          <w:tcPr>
            <w:tcW w:w="4680" w:type="dxa"/>
          </w:tcPr>
          <w:p>
            <w:pPr/>
            <w:r>
              <w:t xml:space="preserve">10</w:t>
            </w:r>
          </w:p>
        </w:tc>
      </w:tr>
    </w:tbl>
    <w:p>
      <w:pPr/>
      <w:r>
        <w:t xml:space="preserve">Seuil de certification proposé : 60/100 et 80 % de présence. Un brief qui présente une cible comme une ressource chiffrée perd tous les points du critère « limites ».</w:t>
      </w:r>
    </w:p>
    <w:p>
      <w:pPr>
        <w:pStyle w:val="Heading2"/>
      </w:pPr>
      <w:r>
        <w:t xml:space="preserve">Points de vigilance</w:t>
      </w:r>
    </w:p>
    <w:p>
      <w:pPr/>
      <w:r>
        <w:t xml:space="preserve">Le programme proposé est solide dans sa logique ; huit points demandaient une correction ou une précaution, déjà intégrées ci-dessus.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Point du programme initial</w:t>
            </w:r>
          </w:p>
        </w:tc>
        <w:tc>
          <w:tcPr>
            <w:tcW w:w="2340" w:type="dxa"/>
            <w:shd w:val="clear" w:color="auto" w:fill="F2F2F2"/>
          </w:tcPr>
          <w:p>
            <w:pPr/>
            <w:r>
              <w:t xml:space="preserve">Problème</w:t>
            </w:r>
          </w:p>
        </w:tc>
        <w:tc>
          <w:tcPr>
            <w:tcW w:w="2340" w:type="dxa"/>
            <w:shd w:val="clear" w:color="auto" w:fill="F2F2F2"/>
          </w:tcPr>
          <w:p>
            <w:pPr/>
            <w:r>
              <w:t xml:space="preserve">Ajustement retenu</w:t>
            </w:r>
          </w:p>
        </w:tc>
      </w:tr>
      <w:tr>
        <w:tc>
          <w:tcPr>
            <w:tcW w:w="2340" w:type="dxa"/>
          </w:tcPr>
          <w:p>
            <w:pPr/>
            <w:r>
              <w:t xml:space="preserve">1</w:t>
            </w:r>
          </w:p>
        </w:tc>
        <w:tc>
          <w:tcPr>
            <w:tcW w:w="2340" w:type="dxa"/>
          </w:tcPr>
          <w:p>
            <w:pPr/>
            <w:r>
              <w:t xml:space="preserve">Télédétection optique au cœur du cas Cameroun</w:t>
            </w:r>
          </w:p>
        </w:tc>
        <w:tc>
          <w:tcPr>
            <w:tcW w:w="2340" w:type="dxa"/>
          </w:tcPr>
          <w:p>
            <w:pPr/>
            <w:r>
              <w:t xml:space="preserve">Le Sud et l'Est sont sous forêt dense et nuageuse ; le signal minéral y est masqué</w:t>
            </w:r>
          </w:p>
        </w:tc>
        <w:tc>
          <w:tcPr>
            <w:tcW w:w="2340" w:type="dxa"/>
          </w:tcPr>
          <w:p>
            <w:pPr/>
            <w:r>
              <w:t xml:space="preserve">Fenêtres en savane pour apprendre, radar + MNT + géochimie sous forêt ; poids spectral réduit</w:t>
            </w:r>
          </w:p>
        </w:tc>
      </w:tr>
      <w:tr>
        <w:tc>
          <w:tcPr>
            <w:tcW w:w="2340" w:type="dxa"/>
          </w:tcPr>
          <w:p>
            <w:pPr/>
            <w:r>
              <w:t xml:space="preserve">2</w:t>
            </w:r>
          </w:p>
        </w:tc>
        <w:tc>
          <w:tcPr>
            <w:tcW w:w="2340" w:type="dxa"/>
          </w:tcPr>
          <w:p>
            <w:pPr/>
            <w:r>
              <w:t xml:space="preserve">Silice recherchée sur Sentinel-2</w:t>
            </w:r>
          </w:p>
        </w:tc>
        <w:tc>
          <w:tcPr>
            <w:tcW w:w="2340" w:type="dxa"/>
          </w:tcPr>
          <w:p>
            <w:pPr/>
            <w:r>
              <w:t xml:space="preserve">Sentinel-2 et Landsat n'ont pas les bandes thermiques nécessaires</w:t>
            </w:r>
          </w:p>
        </w:tc>
        <w:tc>
          <w:tcPr>
            <w:tcW w:w="2340" w:type="dxa"/>
          </w:tcPr>
          <w:p>
            <w:pPr/>
            <w:r>
              <w:t xml:space="preserve">ASTER thermique uniquement</w:t>
            </w:r>
          </w:p>
        </w:tc>
      </w:tr>
      <w:tr>
        <w:tc>
          <w:tcPr>
            <w:tcW w:w="2340" w:type="dxa"/>
          </w:tcPr>
          <w:p>
            <w:pPr/>
            <w:r>
              <w:t xml:space="preserve">3</w:t>
            </w:r>
          </w:p>
        </w:tc>
        <w:tc>
          <w:tcPr>
            <w:tcW w:w="2340" w:type="dxa"/>
          </w:tcPr>
          <w:p>
            <w:pPr/>
            <w:r>
              <w:t xml:space="preserve">ASTER pour les argiles</w:t>
            </w:r>
          </w:p>
        </w:tc>
        <w:tc>
          <w:tcPr>
            <w:tcW w:w="2340" w:type="dxa"/>
          </w:tcPr>
          <w:p>
            <w:pPr/>
            <w:r>
              <w:t xml:space="preserve">Détecteurs SWIR hors service depuis 2008</w:t>
            </w:r>
          </w:p>
        </w:tc>
        <w:tc>
          <w:tcPr>
            <w:tcW w:w="2340" w:type="dxa"/>
          </w:tcPr>
          <w:p>
            <w:pPr/>
            <w:r>
              <w:t xml:space="preserve">Archives antérieures à 2008, ou Sentinel-2 B11/B12</w:t>
            </w:r>
          </w:p>
        </w:tc>
      </w:tr>
      <w:tr>
        <w:tc>
          <w:tcPr>
            <w:tcW w:w="2340" w:type="dxa"/>
          </w:tcPr>
          <w:p>
            <w:pPr/>
            <w:r>
              <w:t xml:space="preserve">4</w:t>
            </w:r>
          </w:p>
        </w:tc>
        <w:tc>
          <w:tcPr>
            <w:tcW w:w="2340" w:type="dxa"/>
          </w:tcPr>
          <w:p>
            <w:pPr/>
            <w:r>
              <w:t xml:space="preserve">Proximité des occurrences dans l'indice (10 %)</w:t>
            </w:r>
          </w:p>
        </w:tc>
        <w:tc>
          <w:tcPr>
            <w:tcW w:w="2340" w:type="dxa"/>
          </w:tcPr>
          <w:p>
            <w:pPr/>
            <w:r>
              <w:t xml:space="preserve">Validation circulaire si on teste sur les mêmes occurrences</w:t>
            </w:r>
          </w:p>
        </w:tc>
        <w:tc>
          <w:tcPr>
            <w:tcW w:w="2340" w:type="dxa"/>
          </w:tcPr>
          <w:p>
            <w:pPr/>
            <w:r>
              <w:t xml:space="preserve">Occurrences réservées à la validation</w:t>
            </w:r>
          </w:p>
        </w:tc>
      </w:tr>
      <w:tr>
        <w:tc>
          <w:tcPr>
            <w:tcW w:w="2340" w:type="dxa"/>
          </w:tcPr>
          <w:p>
            <w:pPr/>
            <w:r>
              <w:t xml:space="preserve">5</w:t>
            </w:r>
          </w:p>
        </w:tc>
        <w:tc>
          <w:tcPr>
            <w:tcW w:w="2340" w:type="dxa"/>
          </w:tcPr>
          <w:p>
            <w:pPr/>
            <w:r>
              <w:t xml:space="preserve">Accessibilité dans l'indice (5 %)</w:t>
            </w:r>
          </w:p>
        </w:tc>
        <w:tc>
          <w:tcPr>
            <w:tcW w:w="2340" w:type="dxa"/>
          </w:tcPr>
          <w:p>
            <w:pPr/>
            <w:r>
              <w:t xml:space="preserve">Mélange probabilité géologique et attractivité économique</w:t>
            </w:r>
          </w:p>
        </w:tc>
        <w:tc>
          <w:tcPr>
            <w:tcW w:w="2340" w:type="dxa"/>
          </w:tcPr>
          <w:p>
            <w:pPr/>
            <w:r>
              <w:t xml:space="preserve">Couche séparée, utilisée au classement final</w:t>
            </w:r>
          </w:p>
        </w:tc>
      </w:tr>
      <w:tr>
        <w:tc>
          <w:tcPr>
            <w:tcW w:w="2340" w:type="dxa"/>
          </w:tcPr>
          <w:p>
            <w:pPr/>
            <w:r>
              <w:t xml:space="preserve">6</w:t>
            </w:r>
          </w:p>
        </w:tc>
        <w:tc>
          <w:tcPr>
            <w:tcW w:w="2340" w:type="dxa"/>
          </w:tcPr>
          <w:p>
            <w:pPr/>
            <w:r>
              <w:t xml:space="preserve">Trois cas Cameroun pour tous le J3 et quatre pays le J4</w:t>
            </w:r>
          </w:p>
        </w:tc>
        <w:tc>
          <w:tcPr>
            <w:tcW w:w="2340" w:type="dxa"/>
          </w:tcPr>
          <w:p>
            <w:pPr/>
            <w:r>
              <w:t xml:space="preserve">Trop dense pour 5,5 h de pratique par jour</w:t>
            </w:r>
          </w:p>
        </w:tc>
        <w:tc>
          <w:tcPr>
            <w:tcW w:w="2340" w:type="dxa"/>
          </w:tcPr>
          <w:p>
            <w:pPr/>
            <w:r>
              <w:t xml:space="preserve">Un cas par groupe le J3 ; ateliers tournants le J4</w:t>
            </w:r>
          </w:p>
        </w:tc>
      </w:tr>
      <w:tr>
        <w:tc>
          <w:tcPr>
            <w:tcW w:w="2340" w:type="dxa"/>
          </w:tcPr>
          <w:p>
            <w:pPr/>
            <w:r>
              <w:t xml:space="preserve">7</w:t>
            </w:r>
          </w:p>
        </w:tc>
        <w:tc>
          <w:tcPr>
            <w:tcW w:w="2340" w:type="dxa"/>
          </w:tcPr>
          <w:p>
            <w:pPr/>
            <w:r>
              <w:t xml:space="preserve">RDC et Zambie traitées sur le même thème</w:t>
            </w:r>
          </w:p>
        </w:tc>
        <w:tc>
          <w:tcPr>
            <w:tcW w:w="2340" w:type="dxa"/>
          </w:tcPr>
          <w:p>
            <w:pPr/>
            <w:r>
              <w:t xml:space="preserve">Même ceinture cuprifère, doublon pédagogique</w:t>
            </w:r>
          </w:p>
        </w:tc>
        <w:tc>
          <w:tcPr>
            <w:tcW w:w="2340" w:type="dxa"/>
          </w:tcPr>
          <w:p>
            <w:pPr/>
            <w:r>
              <w:t xml:space="preserve">RDC = chaîne de valeur ; Zambie = impacts environnementaux</w:t>
            </w:r>
          </w:p>
        </w:tc>
      </w:tr>
      <w:tr>
        <w:tc>
          <w:tcPr>
            <w:tcW w:w="2340" w:type="dxa"/>
          </w:tcPr>
          <w:p>
            <w:pPr/>
            <w:r>
              <w:t xml:space="preserve">8</w:t>
            </w:r>
          </w:p>
        </w:tc>
        <w:tc>
          <w:tcPr>
            <w:tcW w:w="2340" w:type="dxa"/>
          </w:tcPr>
          <w:p>
            <w:pPr/>
            <w:r>
              <w:t xml:space="preserve">Chaîne du cuivre par fusion uniquement</w:t>
            </w:r>
          </w:p>
        </w:tc>
        <w:tc>
          <w:tcPr>
            <w:tcW w:w="2340" w:type="dxa"/>
          </w:tcPr>
          <w:p>
            <w:pPr/>
            <w:r>
              <w:t xml:space="preserve">Au Katanga et dans le Copperbelt, une part importante passe par la voie SX-EW</w:t>
            </w:r>
          </w:p>
        </w:tc>
        <w:tc>
          <w:tcPr>
            <w:tcW w:w="2340" w:type="dxa"/>
          </w:tcPr>
          <w:p>
            <w:pPr/>
            <w:r>
              <w:t xml:space="preserve">Les deux voies enseignées</w:t>
            </w:r>
          </w:p>
        </w:tc>
      </w:tr>
    </w:tbl>
    <w:p>
      <w:pPr/>
      <w:r>
        <w:rPr>
          <w:b/>
        </w:rPr>
        <w:t xml:space="preserve">Précautions supplémentaires</w:t>
      </w:r>
    </w:p>
    <w:p>
      <w:pPr>
        <w:pStyle w:val="ListParagraph"/>
        <w:numPr>
          <w:ilvl w:val="0"/>
          <w:numId w:val="15"/>
        </w:numPr>
      </w:pPr>
      <w:r>
        <w:rPr>
          <w:b/>
        </w:rPr>
        <w:t xml:space="preserve">Droits sur les données.</w:t>
      </w:r>
      <w:r>
        <w:t xml:space="preserve"> Confirmer par écrit avec le PRECASEM ou le MINMIDT que les données peuvent être redistribuées aux participants. Une formation commerciale n'a pas les mêmes droits qu'un usage interne.</w:t>
      </w:r>
    </w:p>
    <w:p>
      <w:pPr>
        <w:pStyle w:val="ListParagraph"/>
        <w:numPr>
          <w:ilvl w:val="0"/>
          <w:numId w:val="15"/>
        </w:numPr>
      </w:pPr>
      <w:r>
        <w:rPr>
          <w:b/>
        </w:rPr>
        <w:t xml:space="preserve">Certification.</w:t>
      </w:r>
      <w:r>
        <w:t xml:space="preserve"> « Certifiante » suppose un organisme qui délivre le titre (université, ordre professionnel, organisme agréé). Sinon, parler d'attestation de formation.</w:t>
      </w:r>
    </w:p>
    <w:p>
      <w:pPr>
        <w:pStyle w:val="ListParagraph"/>
        <w:numPr>
          <w:ilvl w:val="0"/>
          <w:numId w:val="15"/>
        </w:numPr>
      </w:pPr>
      <w:r>
        <w:rPr>
          <w:b/>
        </w:rPr>
        <w:t xml:space="preserve">Investisseurs.</w:t>
      </w:r>
      <w:r>
        <w:t xml:space="preserve"> Le mini brief est un exercice pédagogique, pas un conseil d'investissement : le dire sur chaque support.</w:t>
      </w:r>
    </w:p>
    <w:p>
      <w:pPr>
        <w:pStyle w:val="ListParagraph"/>
        <w:numPr>
          <w:ilvl w:val="0"/>
          <w:numId w:val="15"/>
        </w:numPr>
      </w:pPr>
      <w:r>
        <w:rPr>
          <w:b/>
        </w:rPr>
        <w:t xml:space="preserve">Sensibilité des cibles.</w:t>
      </w:r>
      <w:r>
        <w:t xml:space="preserve"> Des cibles réelles publiées dans un support peuvent intéresser des spéculateurs ou des orpailleurs. Anonymiser ou décaler les zones si nécessaire.</w:t>
      </w:r>
    </w:p>
    <w:p>
      <w:pPr>
        <w:pStyle w:val="Heading2"/>
      </w:pPr>
      <w:r>
        <w:t xml:space="preserve">Sources et vérifications</w:t>
      </w:r>
    </w:p>
    <w:p>
      <w:pPr/>
      <w:r>
        <w:rPr>
          <w:b/>
        </w:rPr>
        <w:t xml:space="preserve">Affirmations du programme initial à vérifier avant diffusion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Affirmation</w:t>
            </w:r>
          </w:p>
        </w:tc>
        <w:tc>
          <w:tcPr>
            <w:tcW w:w="4680" w:type="dxa"/>
            <w:shd w:val="clear" w:color="auto" w:fill="F2F2F2"/>
          </w:tcPr>
          <w:p>
            <w:pPr/>
            <w:r>
              <w:t xml:space="preserve">Résultat de la vérification</w:t>
            </w:r>
          </w:p>
        </w:tc>
      </w:tr>
      <w:tr>
        <w:tc>
          <w:tcPr>
            <w:tcW w:w="4680" w:type="dxa"/>
          </w:tcPr>
          <w:p>
            <w:pPr/>
            <w:r>
              <w:t xml:space="preserve">PRECASEM, projet financé par la Banque mondiale depuis 2010, avec cartographie, géochimie et géophysique</w:t>
            </w:r>
          </w:p>
        </w:tc>
        <w:tc>
          <w:tcPr>
            <w:tcW w:w="4680" w:type="dxa"/>
          </w:tcPr>
          <w:p>
            <w:pPr/>
            <w:r>
              <w:t xml:space="preserve">Confirmé par la presse ; la presse cite aussi 14 cartes géologiques et géotechniques et une géophysique aéroportée couvrant environ 75 % du territoire</w:t>
            </w:r>
          </w:p>
        </w:tc>
      </w:tr>
      <w:tr>
        <w:tc>
          <w:tcPr>
            <w:tcW w:w="4680" w:type="dxa"/>
          </w:tcPr>
          <w:p>
            <w:pPr/>
            <w:r>
              <w:t xml:space="preserve">BRGM : 18 cartes au 1:200 000 et 12 cartes géochimiques</w:t>
            </w:r>
          </w:p>
        </w:tc>
        <w:tc>
          <w:tcPr>
            <w:tcW w:w="4680" w:type="dxa"/>
          </w:tcPr>
          <w:p>
            <w:pPr/>
            <w:r>
              <w:t xml:space="preserve">Non confirmé. La presse de 2017 annonçait 13 cartes au 1:200 000 par le consortium BRGM–BEIG3–GTK et 18 000 échantillons prévus. Chiffres à vérifier auprès du BRGM</w:t>
            </w:r>
          </w:p>
        </w:tc>
      </w:tr>
      <w:tr>
        <w:tc>
          <w:tcPr>
            <w:tcW w:w="4680" w:type="dxa"/>
          </w:tcPr>
          <w:p>
            <w:pPr/>
            <w:r>
              <w:t xml:space="preserve">Jeu géochimique : ≈ 15 500 échantillons, 49 éléments + Au, ≈ 157 000 km²</w:t>
            </w:r>
          </w:p>
        </w:tc>
        <w:tc>
          <w:tcPr>
            <w:tcW w:w="4680" w:type="dxa"/>
          </w:tcPr>
          <w:p>
            <w:pPr/>
            <w:r>
              <w:t xml:space="preserve">Non retrouvé. Récupérer la référence exacte de l'article ScienceDirect</w:t>
            </w:r>
          </w:p>
        </w:tc>
      </w:tr>
      <w:tr>
        <w:tc>
          <w:tcPr>
            <w:tcW w:w="4680" w:type="dxa"/>
          </w:tcPr>
          <w:p>
            <w:pPr/>
            <w:r>
              <w:t xml:space="preserve">Plateforme numérique du cadastre minier depuis septembre 2026</w:t>
            </w:r>
          </w:p>
        </w:tc>
        <w:tc>
          <w:tcPr>
            <w:tcW w:w="4680" w:type="dxa"/>
          </w:tcPr>
          <w:p>
            <w:pPr/>
            <w:r>
              <w:t xml:space="preserve">Non confirmée. Un portail public du cadastre (Landfolio) existe déjà ; un projet « Flexicadastre » avait été annoncé en 2017</w:t>
            </w:r>
          </w:p>
        </w:tc>
      </w:tr>
      <w:tr>
        <w:tc>
          <w:tcPr>
            <w:tcW w:w="4680" w:type="dxa"/>
          </w:tcPr>
          <w:p>
            <w:pPr/>
            <w:r>
              <w:t xml:space="preserve">Rapports PRECASEM de télédétection sur l'orpaillage</w:t>
            </w:r>
          </w:p>
        </w:tc>
        <w:tc>
          <w:tcPr>
            <w:tcW w:w="4680" w:type="dxa"/>
          </w:tcPr>
          <w:p>
            <w:pPr/>
            <w:r>
              <w:t xml:space="preserve">Non vérifié</w:t>
            </w:r>
          </w:p>
        </w:tc>
      </w:tr>
      <w:tr>
        <w:tc>
          <w:tcPr>
            <w:tcW w:w="4680" w:type="dxa"/>
          </w:tcPr>
          <w:p>
            <w:pPr/>
            <w:r>
              <w:t xml:space="preserve">Service WMS OneGeology du Congo</w:t>
            </w:r>
          </w:p>
        </w:tc>
        <w:tc>
          <w:tcPr>
            <w:tcW w:w="4680" w:type="dxa"/>
          </w:tcPr>
          <w:p>
            <w:pPr/>
            <w:r>
              <w:t xml:space="preserve">Non vérifié ; à tester</w:t>
            </w:r>
          </w:p>
        </w:tc>
      </w:tr>
      <w:tr>
        <w:tc>
          <w:tcPr>
            <w:tcW w:w="4680" w:type="dxa"/>
          </w:tcPr>
          <w:p>
            <w:pPr/>
            <w:r>
              <w:t xml:space="preserve">Base USGS Afrique publique, lisible sous QGIS</w:t>
            </w:r>
          </w:p>
        </w:tc>
        <w:tc>
          <w:tcPr>
            <w:tcW w:w="4680" w:type="dxa"/>
          </w:tcPr>
          <w:p>
            <w:pPr/>
            <w:r>
              <w:t xml:space="preserve">Confirmé (data release 2021, référence 2018)</w:t>
            </w:r>
          </w:p>
        </w:tc>
      </w:tr>
    </w:tbl>
    <w:p>
      <w:pPr/>
      <w:r>
        <w:rPr>
          <w:b/>
        </w:rPr>
        <w:t xml:space="preserve">Sources consultées</w:t>
      </w:r>
    </w:p>
    <w:p>
      <w:pPr>
        <w:pStyle w:val="ListParagraph"/>
        <w:numPr>
          <w:ilvl w:val="0"/>
          <w:numId w:val="16"/>
        </w:numPr>
      </w:pPr>
      <w:hyperlink r:id="rId4" w:history="1">
        <w:r>
          <w:rPr>
            <w:rStyle w:val="Hyperlink"/>
          </w:rPr>
          <w:t xml:space="preserve">USGS — Compilation of Geospatial Data for the Mineral Industries and Related Infrastructure of Africa</w:t>
        </w:r>
      </w:hyperlink>
    </w:p>
    <w:p>
      <w:pPr>
        <w:pStyle w:val="ListParagraph"/>
        <w:numPr>
          <w:ilvl w:val="0"/>
          <w:numId w:val="16"/>
        </w:numPr>
      </w:pPr>
      <w:hyperlink r:id="rId5" w:history="1">
        <w:r>
          <w:rPr>
            <w:rStyle w:val="Hyperlink"/>
          </w:rPr>
          <w:t xml:space="preserve">USGS — Open-File Report 2024-1041</w:t>
        </w:r>
      </w:hyperlink>
    </w:p>
    <w:p>
      <w:pPr>
        <w:pStyle w:val="ListParagraph"/>
        <w:numPr>
          <w:ilvl w:val="0"/>
          <w:numId w:val="16"/>
        </w:numPr>
      </w:pPr>
      <w:hyperlink r:id="rId7" w:history="1">
        <w:r>
          <w:rPr>
            <w:rStyle w:val="Hyperlink"/>
          </w:rPr>
          <w:t xml:space="preserve">Agence Ecofin — Le Cameroun décroche le prix « Best Performing Project » avec le PRECASEM</w:t>
        </w:r>
      </w:hyperlink>
    </w:p>
    <w:p>
      <w:pPr>
        <w:pStyle w:val="ListParagraph"/>
        <w:numPr>
          <w:ilvl w:val="0"/>
          <w:numId w:val="16"/>
        </w:numPr>
      </w:pPr>
      <w:hyperlink r:id="rId10" w:history="1">
        <w:r>
          <w:rPr>
            <w:rStyle w:val="Hyperlink"/>
          </w:rPr>
          <w:t xml:space="preserve">Agence Ecofin — Nouvelle campagne de prospection dans six régions (2017)</w:t>
        </w:r>
      </w:hyperlink>
    </w:p>
    <w:p>
      <w:pPr>
        <w:pStyle w:val="ListParagraph"/>
        <w:numPr>
          <w:ilvl w:val="0"/>
          <w:numId w:val="16"/>
        </w:numPr>
      </w:pPr>
      <w:hyperlink r:id="rId11" w:history="1">
        <w:r>
          <w:rPr>
            <w:rStyle w:val="Hyperlink"/>
          </w:rPr>
          <w:t xml:space="preserve">PRECASEM — plaquette du projet</w:t>
        </w:r>
      </w:hyperlink>
    </w:p>
    <w:p>
      <w:pPr>
        <w:pStyle w:val="ListParagraph"/>
        <w:numPr>
          <w:ilvl w:val="0"/>
          <w:numId w:val="16"/>
        </w:numPr>
      </w:pPr>
      <w:hyperlink r:id="rId8" w:history="1">
        <w:r>
          <w:rPr>
            <w:rStyle w:val="Hyperlink"/>
          </w:rPr>
          <w:t xml:space="preserve">Portail du cadastre minier du Cameroun</w:t>
        </w:r>
      </w:hyperlink>
    </w:p>
    <w:p>
      <w:pPr>
        <w:pStyle w:val="ListParagraph"/>
        <w:numPr>
          <w:ilvl w:val="0"/>
          <w:numId w:val="16"/>
        </w:numPr>
      </w:pPr>
      <w:hyperlink r:id="rId12" w:history="1">
        <w:r>
          <w:rPr>
            <w:rStyle w:val="Hyperlink"/>
          </w:rPr>
          <w:t xml:space="preserve">Agence Ecofin — Flexicadastre (2017)</w:t>
        </w:r>
      </w:hyperlink>
    </w:p>
    <w:p>
      <w:pPr>
        <w:pStyle w:val="ListParagraph"/>
        <w:numPr>
          <w:ilvl w:val="0"/>
          <w:numId w:val="16"/>
        </w:numPr>
      </w:pPr>
      <w:hyperlink r:id="rId9" w:history="1">
        <w:r>
          <w:rPr>
            <w:rStyle w:val="Hyperlink"/>
          </w:rPr>
          <w:t xml:space="preserve">Cadastre minier de la RDC (CAMI)</w:t>
        </w:r>
      </w:hyperlink>
    </w:p>
    <w:p>
      <w:pPr/>
      <w:r>
        <w:t xml:space="preserve">Les pages ont été lues via des résumés de recherche, pas toutes ouvertes en entier : les chiffres sont à contrôler sur la source avant impression.</w:t>
      </w:r>
    </w:p>
    <w:p>
      <w:pPr/>
      <w:r>
        <w:rPr>
          <w:b/>
        </w:rPr>
        <w:t xml:space="preserve">Prochaines étapes</w:t>
      </w:r>
    </w:p>
    <w:p>
      <w:pPr>
        <w:pStyle w:val="ListParagraph"/>
        <w:numPr>
          <w:ilvl w:val="0"/>
          <w:numId w:val="17"/>
        </w:numPr>
      </w:pPr>
      <w:r>
        <w:t xml:space="preserve">☐ Obtenir l'accord écrit d'utilisation des données PRECASEM</w:t>
      </w:r>
    </w:p>
    <w:p>
      <w:pPr>
        <w:pStyle w:val="ListParagraph"/>
        <w:numPr>
          <w:ilvl w:val="0"/>
          <w:numId w:val="17"/>
        </w:numPr>
      </w:pPr>
      <w:r>
        <w:t xml:space="preserve">☐ Retrouver les références exactes BRGM et ScienceDirect</w:t>
      </w:r>
    </w:p>
    <w:p>
      <w:pPr>
        <w:pStyle w:val="ListParagraph"/>
        <w:numPr>
          <w:ilvl w:val="0"/>
          <w:numId w:val="17"/>
        </w:numPr>
      </w:pPr>
      <w:r>
        <w:t xml:space="preserve">☐ Préparer les zones d'étude et projets QGIS (Cameroun + 4 pays)</w:t>
      </w:r>
    </w:p>
    <w:p>
      <w:pPr>
        <w:pStyle w:val="ListParagraph"/>
        <w:numPr>
          <w:ilvl w:val="0"/>
          <w:numId w:val="17"/>
        </w:numPr>
      </w:pPr>
      <w:r>
        <w:t xml:space="preserve">☐ Écrire les scripts GEE des TP2, TP3 et TP4</w:t>
      </w:r>
    </w:p>
    <w:p>
      <w:pPr>
        <w:pStyle w:val="ListParagraph"/>
        <w:numPr>
          <w:ilvl w:val="0"/>
          <w:numId w:val="17"/>
        </w:numPr>
      </w:pPr>
      <w:r>
        <w:t xml:space="preserve">☐ Rédiger les supports de cours et les fiches TP</w:t>
      </w:r>
    </w:p>
    <w:p>
      <w:pPr>
        <w:pStyle w:val="ListParagraph"/>
        <w:numPr>
          <w:ilvl w:val="0"/>
          <w:numId w:val="17"/>
        </w:numPr>
      </w:pPr>
      <w:r>
        <w:t xml:space="preserve">☐ Choisir l'organisme de certification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usgs.gov/data/compilation-geospatial-data-gis-mineral-industries-and-related-infrastructure-africa" TargetMode="External"/><Relationship Id="rId5" Type="http://schemas.openxmlformats.org/officeDocument/2006/relationships/hyperlink" Target="https://pubs.usgs.gov/publication/ofr20241041" TargetMode="External"/><Relationship Id="rId6" Type="http://schemas.openxmlformats.org/officeDocument/2006/relationships/hyperlink" Target="https://precasem.cm" TargetMode="External"/><Relationship Id="rId7" Type="http://schemas.openxmlformats.org/officeDocument/2006/relationships/hyperlink" Target="https://www.agenceecofin.com/gestion-publique/0409-68904-le-cameroun-decroche-le-prix-best-performing-project-in-world-bank-porfolio-avec-le-projet-minier-precasem" TargetMode="External"/><Relationship Id="rId8" Type="http://schemas.openxmlformats.org/officeDocument/2006/relationships/hyperlink" Target="https://portals.landfolio.com/cameroon/fr/" TargetMode="External"/><Relationship Id="rId9" Type="http://schemas.openxmlformats.org/officeDocument/2006/relationships/hyperlink" Target="https://cami.cd/" TargetMode="External"/><Relationship Id="rId10" Type="http://schemas.openxmlformats.org/officeDocument/2006/relationships/hyperlink" Target="https://www.agenceecofin.com/gestion-publique/2701-44293-le-cameroun-lance-une-nouvelle-campagne-de-prospection-de-sites-miniers-dans-six-regions-du-pays" TargetMode="External"/><Relationship Id="rId11" Type="http://schemas.openxmlformats.org/officeDocument/2006/relationships/hyperlink" Target="https://precasem.cm/wp-content/uploads/2021/03/Plaquette_PRECASEM_CIMEC-2019-version-francaise-.pdf" TargetMode="External"/><Relationship Id="rId12" Type="http://schemas.openxmlformats.org/officeDocument/2006/relationships/hyperlink" Target="https://www.agenceecofin.com/gestion-publique/3005-47739-le-cameroun-va-mettre-en-ligne-flexicadastre-un-systeme-informatise-pour-garantir-la-gestion-des-donnees-minier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Africa Mining Intelligence — Programme de formation (5 jours)</dc:title>
  <dc:description>Claude Docs node/6ae196c5-1b34@13 docx-w6</dc:description>
  <cp:revision>13</cp:revision>
</cp:coreProperties>
</file>