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t xml:space="preserve"> </w:t>
      </w:r>
    </w:p>
    <w:p>
      <w:pPr>
        <w:spacing w:after="400"/>
        <w:jc w:val="center"/>
      </w:pPr>
      <w:r>
        <w:rPr>
          <w:rFonts w:ascii="Cambria" w:cs="Cambria" w:eastAsia="Cambria" w:hAnsi="Cambria"/>
          <w:b/>
          <w:bCs/>
          <w:color w:val="B8860B"/>
          <w:spacing w:val="60"/>
          <w:sz w:val="22"/>
          <w:szCs w:val="22"/>
        </w:rPr>
        <w:t xml:space="preserve">BIBLE DE LA SÉRIE</w:t>
      </w:r>
    </w:p>
    <w:p>
      <w:pPr>
        <w:pBdr>
          <w:top w:val="single" w:color="B8860B" w:sz="12" w:space="12"/>
        </w:pBdr>
        <w:spacing w:after="200"/>
        <w:jc w:val="center"/>
      </w:pPr>
    </w:p>
    <w:p>
      <w:pPr>
        <w:spacing/>
        <w:jc w:val="center"/>
      </w:pPr>
      <w:r>
        <w:rPr>
          <w:rFonts w:ascii="Cambria" w:cs="Cambria" w:eastAsia="Cambria" w:hAnsi="Cambria"/>
          <w:b/>
          <w:bCs/>
          <w:color w:val="14213D"/>
          <w:sz w:val="44"/>
          <w:szCs w:val="44"/>
        </w:rPr>
        <w:t xml:space="preserve">LES MYSTÈRES DU</w:t>
      </w:r>
    </w:p>
    <w:p>
      <w:pPr>
        <w:spacing w:after="300"/>
        <w:jc w:val="center"/>
      </w:pPr>
      <w:r>
        <w:rPr>
          <w:rFonts w:ascii="Cambria" w:cs="Cambria" w:eastAsia="Cambria" w:hAnsi="Cambria"/>
          <w:b/>
          <w:bCs/>
          <w:color w:val="14213D"/>
          <w:sz w:val="60"/>
          <w:szCs w:val="60"/>
        </w:rPr>
        <w:t xml:space="preserve">TOMBEAU DE RAMSÈS VI</w:t>
      </w:r>
    </w:p>
    <w:p>
      <w:pPr>
        <w:spacing w:after="200"/>
        <w:jc w:val="center"/>
      </w:pPr>
      <w:r>
        <w:rPr>
          <w:rFonts w:ascii="Cambria" w:cs="Cambria" w:eastAsia="Cambria" w:hAnsi="Cambria"/>
          <w:i/>
          <w:iCs/>
          <w:color w:val="A0522D"/>
          <w:sz w:val="28"/>
          <w:szCs w:val="28"/>
        </w:rPr>
        <w:t xml:space="preserve">Saison 1 — Le Livre de la Terre : le secret de la renaissance solaire</w:t>
      </w:r>
    </w:p>
    <w:p>
      <w:pPr>
        <w:pBdr>
          <w:bottom w:val="single" w:color="B8860B" w:sz="12" w:space="12"/>
        </w:pBdr>
        <w:spacing w:after="600"/>
        <w:jc w:val="center"/>
      </w:pPr>
    </w:p>
    <w:p>
      <w:pPr>
        <w:spacing w:after="120"/>
        <w:jc w:val="center"/>
      </w:pPr>
      <w:r>
        <w:rPr>
          <w:color w:val="5A5A5A"/>
          <w:sz w:val="24"/>
          <w:szCs w:val="24"/>
        </w:rPr>
        <w:t xml:space="preserve">Une aventure archéologique du Dr Kerbu</w:t>
      </w:r>
    </w:p>
    <w:p>
      <w:pPr>
        <w:spacing w:after="2400"/>
        <w:jc w:val="center"/>
      </w:pPr>
      <w:r>
        <w:rPr>
          <w:color w:val="5A5A5A"/>
          <w:sz w:val="20"/>
          <w:szCs w:val="20"/>
        </w:rPr>
        <w:t xml:space="preserve">Référence historique sourcée, personnages, épisodes, édition</w:t>
      </w:r>
    </w:p>
    <w:p>
      <w:pPr>
        <w:spacing/>
        <w:jc w:val="center"/>
      </w:pPr>
      <w:r>
        <w:rPr>
          <w:color w:val="5A5A5A"/>
          <w:sz w:val="18"/>
          <w:szCs w:val="18"/>
        </w:rPr>
        <w:t xml:space="preserve">Balisage : [H] histoire documentée · [F] fiction · [S] symbolisme</w:t>
      </w:r>
    </w:p>
    <w:p>
      <w:pPr>
        <w:spacing/>
        <w:jc w:val="center"/>
      </w:pPr>
      <w:r>
        <w:rPr>
          <w:color w:val="5A5A5A"/>
          <w:sz w:val="18"/>
          <w:szCs w:val="18"/>
        </w:rPr>
        <w:t xml:space="preserve">Statuts : V vérifié · C sources en désaccord · N non vérifié</w:t>
      </w:r>
    </w:p>
    <w:p>
      <w:pPr>
        <w:spacing w:before="200"/>
        <w:jc w:val="center"/>
      </w:pPr>
      <w:r>
        <w:rPr>
          <w:color w:val="5A5A5A"/>
          <w:sz w:val="18"/>
          <w:szCs w:val="18"/>
        </w:rPr>
        <w:t xml:space="preserve">Version du 26 octobre 2026 — document de travail</w:t>
      </w:r>
    </w:p>
    <w:p>
      <w:r>
        <w:br w:type="page"/>
      </w:r>
    </w:p>
    <w:p>
      <w:pPr>
        <w:pBdr>
          <w:bottom w:val="single" w:color="B8860B" w:sz="10" w:space="6"/>
        </w:pBdr>
        <w:spacing w:after="240"/>
      </w:pPr>
      <w:r>
        <w:rPr>
          <w:rFonts w:ascii="Cambria" w:cs="Cambria" w:eastAsia="Cambria" w:hAnsi="Cambria"/>
          <w:b/>
          <w:bCs/>
          <w:color w:val="14213D"/>
          <w:sz w:val="36"/>
          <w:szCs w:val="36"/>
        </w:rPr>
        <w:t xml:space="preserve">Sommaire</w:t>
      </w:r>
    </w:p>
    <w:p>
      <w:pPr>
        <w:tabs>
          <w:tab w:val="right" w:pos="9638" w:leader="dot"/>
        </w:tabs>
        <w:spacing w:after="30" w:before="140"/>
        <w:ind w:left="0"/>
      </w:pPr>
      <w:r>
        <w:rPr>
          <w:rFonts w:ascii="Cambria" w:cs="Cambria" w:eastAsia="Cambria" w:hAnsi="Cambria"/>
          <w:b/>
          <w:bCs/>
          <w:color w:val="14213D"/>
          <w:sz w:val="21"/>
          <w:szCs w:val="21"/>
        </w:rPr>
        <w:t xml:space="preserve">Bible de la série — Index et journal des corrections</w:t>
      </w:r>
      <w:r>
        <w:rPr>
          <w:sz w:val="21"/>
          <w:szCs w:val="21"/>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Index</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Balisage narratif (rappel)</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Journal des corrections du concept initial</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Points encore ouverts (à lever avant impression)</w:t>
      </w:r>
      <w:r>
        <w:rPr>
          <w:sz w:val="19"/>
          <w:szCs w:val="19"/>
        </w:rPr>
        <w:t xml:space="preserve">	5</w:t>
      </w:r>
    </w:p>
    <w:p>
      <w:pPr>
        <w:tabs>
          <w:tab w:val="right" w:pos="9638" w:leader="dot"/>
        </w:tabs>
        <w:spacing w:after="30" w:before="140"/>
        <w:ind w:left="0"/>
      </w:pPr>
      <w:r>
        <w:rPr>
          <w:rFonts w:ascii="Cambria" w:cs="Cambria" w:eastAsia="Cambria" w:hAnsi="Cambria"/>
          <w:b/>
          <w:bCs/>
          <w:color w:val="14213D"/>
          <w:sz w:val="21"/>
          <w:szCs w:val="21"/>
        </w:rPr>
        <w:t xml:space="preserve">Bible · 1 — Référence historique : le tombeau KV9</w:t>
      </w:r>
      <w:r>
        <w:rPr>
          <w:sz w:val="21"/>
          <w:szCs w:val="21"/>
        </w:rPr>
        <w:t xml:space="preserve">	6</w:t>
      </w:r>
    </w:p>
    <w:p>
      <w:pPr>
        <w:tabs>
          <w:tab w:val="right" w:pos="9638" w:leader="dot"/>
        </w:tabs>
        <w:spacing w:after="30" w:before="0"/>
        <w:ind w:left="400"/>
      </w:pPr>
      <w:r>
        <w:rPr>
          <w:rFonts w:ascii="Calibri" w:cs="Calibri" w:eastAsia="Calibri" w:hAnsi="Calibri"/>
          <w:b w:val="false"/>
          <w:bCs w:val="false"/>
          <w:color w:val="333333"/>
          <w:sz w:val="19"/>
          <w:szCs w:val="19"/>
        </w:rPr>
        <w:t xml:space="preserve">1. Propriétaires et chantier</w:t>
      </w:r>
      <w:r>
        <w:rPr>
          <w:sz w:val="19"/>
          <w:szCs w:val="19"/>
        </w:rPr>
        <w:t xml:space="preserve">	6</w:t>
      </w:r>
    </w:p>
    <w:p>
      <w:pPr>
        <w:tabs>
          <w:tab w:val="right" w:pos="9638" w:leader="dot"/>
        </w:tabs>
        <w:spacing w:after="30" w:before="0"/>
        <w:ind w:left="400"/>
      </w:pPr>
      <w:r>
        <w:rPr>
          <w:rFonts w:ascii="Calibri" w:cs="Calibri" w:eastAsia="Calibri" w:hAnsi="Calibri"/>
          <w:b w:val="false"/>
          <w:bCs w:val="false"/>
          <w:color w:val="333333"/>
          <w:sz w:val="19"/>
          <w:szCs w:val="19"/>
        </w:rPr>
        <w:t xml:space="preserve">2. Architecture (TMP)</w:t>
      </w:r>
      <w:r>
        <w:rPr>
          <w:sz w:val="19"/>
          <w:szCs w:val="19"/>
        </w:rPr>
        <w:t xml:space="preserve">	6</w:t>
      </w:r>
    </w:p>
    <w:p>
      <w:pPr>
        <w:tabs>
          <w:tab w:val="right" w:pos="9638" w:leader="dot"/>
        </w:tabs>
        <w:spacing w:after="30" w:before="0"/>
        <w:ind w:left="400"/>
      </w:pPr>
      <w:r>
        <w:rPr>
          <w:rFonts w:ascii="Calibri" w:cs="Calibri" w:eastAsia="Calibri" w:hAnsi="Calibri"/>
          <w:b w:val="false"/>
          <w:bCs w:val="false"/>
          <w:color w:val="333333"/>
          <w:sz w:val="19"/>
          <w:szCs w:val="19"/>
        </w:rPr>
        <w:t xml:space="preserve">3. Sarcophages</w:t>
      </w:r>
      <w:r>
        <w:rPr>
          <w:sz w:val="19"/>
          <w:szCs w:val="19"/>
        </w:rPr>
        <w:t xml:space="preserve">	7</w:t>
      </w:r>
    </w:p>
    <w:p>
      <w:pPr>
        <w:tabs>
          <w:tab w:val="right" w:pos="9638" w:leader="dot"/>
        </w:tabs>
        <w:spacing w:after="30" w:before="0"/>
        <w:ind w:left="400"/>
      </w:pPr>
      <w:r>
        <w:rPr>
          <w:rFonts w:ascii="Calibri" w:cs="Calibri" w:eastAsia="Calibri" w:hAnsi="Calibri"/>
          <w:b w:val="false"/>
          <w:bCs w:val="false"/>
          <w:color w:val="333333"/>
          <w:sz w:val="19"/>
          <w:szCs w:val="19"/>
        </w:rPr>
        <w:t xml:space="preserve">4. Pillage et momie</w:t>
      </w:r>
      <w:r>
        <w:rPr>
          <w:sz w:val="19"/>
          <w:szCs w:val="19"/>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5. Visiteurs antiques et graffiti</w:t>
      </w:r>
      <w:r>
        <w:rPr>
          <w:sz w:val="19"/>
          <w:szCs w:val="19"/>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6. Histoire de l'exploration</w:t>
      </w:r>
      <w:r>
        <w:rPr>
          <w:sz w:val="19"/>
          <w:szCs w:val="19"/>
        </w:rPr>
        <w:t xml:space="preserve">	9</w:t>
      </w:r>
    </w:p>
    <w:p>
      <w:pPr>
        <w:tabs>
          <w:tab w:val="right" w:pos="9638" w:leader="dot"/>
        </w:tabs>
        <w:spacing w:after="30" w:before="0"/>
        <w:ind w:left="400"/>
      </w:pPr>
      <w:r>
        <w:rPr>
          <w:rFonts w:ascii="Calibri" w:cs="Calibri" w:eastAsia="Calibri" w:hAnsi="Calibri"/>
          <w:b w:val="false"/>
          <w:bCs w:val="false"/>
          <w:color w:val="333333"/>
          <w:sz w:val="19"/>
          <w:szCs w:val="19"/>
        </w:rPr>
        <w:t xml:space="preserve">7. Visite aujourd'hui (pour la fiction — vérifier à nouveau avant impression)</w:t>
      </w:r>
      <w:r>
        <w:rPr>
          <w:sz w:val="19"/>
          <w:szCs w:val="19"/>
        </w:rPr>
        <w:t xml:space="preserve">	9</w:t>
      </w:r>
    </w:p>
    <w:p>
      <w:pPr>
        <w:tabs>
          <w:tab w:val="right" w:pos="9638" w:leader="dot"/>
        </w:tabs>
        <w:spacing w:after="30" w:before="140"/>
        <w:ind w:left="0"/>
      </w:pPr>
      <w:r>
        <w:rPr>
          <w:rFonts w:ascii="Cambria" w:cs="Cambria" w:eastAsia="Cambria" w:hAnsi="Cambria"/>
          <w:b/>
          <w:bCs/>
          <w:color w:val="14213D"/>
          <w:sz w:val="21"/>
          <w:szCs w:val="21"/>
        </w:rPr>
        <w:t xml:space="preserve">Bible · 2 — Le Livre de la Terre</w:t>
      </w:r>
      <w:r>
        <w:rPr>
          <w:sz w:val="21"/>
          <w:szCs w:val="21"/>
        </w:rPr>
        <w:t xml:space="preserve">	10</w:t>
      </w:r>
    </w:p>
    <w:p>
      <w:pPr>
        <w:tabs>
          <w:tab w:val="right" w:pos="9638" w:leader="dot"/>
        </w:tabs>
        <w:spacing w:after="30" w:before="0"/>
        <w:ind w:left="400"/>
      </w:pPr>
      <w:r>
        <w:rPr>
          <w:rFonts w:ascii="Calibri" w:cs="Calibri" w:eastAsia="Calibri" w:hAnsi="Calibri"/>
          <w:b w:val="false"/>
          <w:bCs w:val="false"/>
          <w:color w:val="333333"/>
          <w:sz w:val="19"/>
          <w:szCs w:val="19"/>
        </w:rPr>
        <w:t xml:space="preserve">1. Les noms (aucun titre antique n'est connu)</w:t>
      </w:r>
      <w:r>
        <w:rPr>
          <w:sz w:val="19"/>
          <w:szCs w:val="19"/>
        </w:rPr>
        <w:t xml:space="preserve">	10</w:t>
      </w:r>
    </w:p>
    <w:p>
      <w:pPr>
        <w:tabs>
          <w:tab w:val="right" w:pos="9638" w:leader="dot"/>
        </w:tabs>
        <w:spacing w:after="30" w:before="0"/>
        <w:ind w:left="400"/>
      </w:pPr>
      <w:r>
        <w:rPr>
          <w:rFonts w:ascii="Calibri" w:cs="Calibri" w:eastAsia="Calibri" w:hAnsi="Calibri"/>
          <w:b w:val="false"/>
          <w:bCs w:val="false"/>
          <w:color w:val="333333"/>
          <w:sz w:val="19"/>
          <w:szCs w:val="19"/>
        </w:rPr>
        <w:t xml:space="preserve">2. Où et depuis quand</w:t>
      </w:r>
      <w:r>
        <w:rPr>
          <w:sz w:val="19"/>
          <w:szCs w:val="19"/>
        </w:rPr>
        <w:t xml:space="preserve">	10</w:t>
      </w:r>
    </w:p>
    <w:p>
      <w:pPr>
        <w:tabs>
          <w:tab w:val="right" w:pos="9638" w:leader="dot"/>
        </w:tabs>
        <w:spacing w:after="30" w:before="0"/>
        <w:ind w:left="400"/>
      </w:pPr>
      <w:r>
        <w:rPr>
          <w:rFonts w:ascii="Calibri" w:cs="Calibri" w:eastAsia="Calibri" w:hAnsi="Calibri"/>
          <w:b w:val="false"/>
          <w:bCs w:val="false"/>
          <w:color w:val="333333"/>
          <w:sz w:val="19"/>
          <w:szCs w:val="19"/>
        </w:rPr>
        <w:t xml:space="preserve">3. Disposition dans la chambre J — deux systèmes de lettres</w:t>
      </w:r>
      <w:r>
        <w:rPr>
          <w:sz w:val="19"/>
          <w:szCs w:val="19"/>
        </w:rPr>
        <w:t xml:space="preserve">	10</w:t>
      </w:r>
    </w:p>
    <w:p>
      <w:pPr>
        <w:tabs>
          <w:tab w:val="right" w:pos="9638" w:leader="dot"/>
        </w:tabs>
        <w:spacing w:after="30" w:before="0"/>
        <w:ind w:left="400"/>
      </w:pPr>
      <w:r>
        <w:rPr>
          <w:rFonts w:ascii="Calibri" w:cs="Calibri" w:eastAsia="Calibri" w:hAnsi="Calibri"/>
          <w:b w:val="false"/>
          <w:bCs w:val="false"/>
          <w:color w:val="333333"/>
          <w:sz w:val="19"/>
          <w:szCs w:val="19"/>
        </w:rPr>
        <w:t xml:space="preserve">4. Le débat sur l'ordre de lecture (le « mystère » de la série) — [PLEUGER]</w:t>
      </w:r>
      <w:r>
        <w:rPr>
          <w:sz w:val="19"/>
          <w:szCs w:val="19"/>
        </w:rPr>
        <w:t xml:space="preserve">	11</w:t>
      </w:r>
    </w:p>
    <w:p>
      <w:pPr>
        <w:tabs>
          <w:tab w:val="right" w:pos="9638" w:leader="dot"/>
        </w:tabs>
        <w:spacing w:after="30" w:before="0"/>
        <w:ind w:left="400"/>
      </w:pPr>
      <w:r>
        <w:rPr>
          <w:rFonts w:ascii="Calibri" w:cs="Calibri" w:eastAsia="Calibri" w:hAnsi="Calibri"/>
          <w:b w:val="false"/>
          <w:bCs w:val="false"/>
          <w:color w:val="333333"/>
          <w:sz w:val="19"/>
          <w:szCs w:val="19"/>
        </w:rPr>
        <w:t xml:space="preserve">5. Scènes clés de KV9 (numérotation Darnell, chap. 6 — toutes V [DARNELL])</w:t>
      </w:r>
      <w:r>
        <w:rPr>
          <w:sz w:val="19"/>
          <w:szCs w:val="19"/>
        </w:rPr>
        <w:t xml:space="preserve">	11</w:t>
      </w:r>
    </w:p>
    <w:p>
      <w:pPr>
        <w:tabs>
          <w:tab w:val="right" w:pos="9638" w:leader="dot"/>
        </w:tabs>
        <w:spacing w:after="30" w:before="0"/>
        <w:ind w:left="400"/>
      </w:pPr>
      <w:r>
        <w:rPr>
          <w:rFonts w:ascii="Calibri" w:cs="Calibri" w:eastAsia="Calibri" w:hAnsi="Calibri"/>
          <w:b w:val="false"/>
          <w:bCs w:val="false"/>
          <w:color w:val="333333"/>
          <w:sz w:val="19"/>
          <w:szCs w:val="19"/>
        </w:rPr>
        <w:t xml:space="preserve">6. Traductions disponibles (pour ne jamais inventer une légende)</w:t>
      </w:r>
      <w:r>
        <w:rPr>
          <w:sz w:val="19"/>
          <w:szCs w:val="19"/>
        </w:rPr>
        <w:t xml:space="preserve">	12</w:t>
      </w:r>
    </w:p>
    <w:p>
      <w:pPr>
        <w:tabs>
          <w:tab w:val="right" w:pos="9638" w:leader="dot"/>
        </w:tabs>
        <w:spacing w:after="30" w:before="140"/>
        <w:ind w:left="0"/>
      </w:pPr>
      <w:r>
        <w:rPr>
          <w:rFonts w:ascii="Cambria" w:cs="Cambria" w:eastAsia="Cambria" w:hAnsi="Cambria"/>
          <w:b/>
          <w:bCs/>
          <w:color w:val="14213D"/>
          <w:sz w:val="21"/>
          <w:szCs w:val="21"/>
        </w:rPr>
        <w:t xml:space="preserve">Bible · 3 — Divinités, autres livres funéraires, iconographie</w:t>
      </w:r>
      <w:r>
        <w:rPr>
          <w:sz w:val="21"/>
          <w:szCs w:val="21"/>
        </w:rPr>
        <w:t xml:space="preserve">	13</w:t>
      </w:r>
    </w:p>
    <w:p>
      <w:pPr>
        <w:tabs>
          <w:tab w:val="right" w:pos="9638" w:leader="dot"/>
        </w:tabs>
        <w:spacing w:after="30" w:before="0"/>
        <w:ind w:left="400"/>
      </w:pPr>
      <w:r>
        <w:rPr>
          <w:rFonts w:ascii="Calibri" w:cs="Calibri" w:eastAsia="Calibri" w:hAnsi="Calibri"/>
          <w:b w:val="false"/>
          <w:bCs w:val="false"/>
          <w:color w:val="333333"/>
          <w:sz w:val="19"/>
          <w:szCs w:val="19"/>
        </w:rPr>
        <w:t xml:space="preserve">1. Fiches divinités (pour les model sheets)</w:t>
      </w:r>
      <w:r>
        <w:rPr>
          <w:sz w:val="19"/>
          <w:szCs w:val="19"/>
        </w:rPr>
        <w:t xml:space="preserve">	13</w:t>
      </w:r>
    </w:p>
    <w:p>
      <w:pPr>
        <w:tabs>
          <w:tab w:val="right" w:pos="9638" w:leader="dot"/>
        </w:tabs>
        <w:spacing w:after="30" w:before="0"/>
        <w:ind w:left="400"/>
      </w:pPr>
      <w:r>
        <w:rPr>
          <w:rFonts w:ascii="Calibri" w:cs="Calibri" w:eastAsia="Calibri" w:hAnsi="Calibri"/>
          <w:b w:val="false"/>
          <w:bCs w:val="false"/>
          <w:color w:val="333333"/>
          <w:sz w:val="19"/>
          <w:szCs w:val="19"/>
        </w:rPr>
        <w:t xml:space="preserve">2. Les autres livres funéraires de KV9</w:t>
      </w:r>
      <w:r>
        <w:rPr>
          <w:sz w:val="19"/>
          <w:szCs w:val="19"/>
        </w:rPr>
        <w:t xml:space="preserve">	14</w:t>
      </w:r>
    </w:p>
    <w:p>
      <w:pPr>
        <w:tabs>
          <w:tab w:val="right" w:pos="9638" w:leader="dot"/>
        </w:tabs>
        <w:spacing w:after="30" w:before="0"/>
        <w:ind w:left="400"/>
      </w:pPr>
      <w:r>
        <w:rPr>
          <w:rFonts w:ascii="Calibri" w:cs="Calibri" w:eastAsia="Calibri" w:hAnsi="Calibri"/>
          <w:b w:val="false"/>
          <w:bCs w:val="false"/>
          <w:color w:val="333333"/>
          <w:sz w:val="19"/>
          <w:szCs w:val="19"/>
        </w:rPr>
        <w:t xml:space="preserve">3. Couleurs (symbolique égyptienne)</w:t>
      </w:r>
      <w:r>
        <w:rPr>
          <w:sz w:val="19"/>
          <w:szCs w:val="19"/>
        </w:rPr>
        <w:t xml:space="preserve">	15</w:t>
      </w:r>
    </w:p>
    <w:p>
      <w:pPr>
        <w:tabs>
          <w:tab w:val="right" w:pos="9638" w:leader="dot"/>
        </w:tabs>
        <w:spacing w:after="30" w:before="0"/>
        <w:ind w:left="400"/>
      </w:pPr>
      <w:r>
        <w:rPr>
          <w:rFonts w:ascii="Calibri" w:cs="Calibri" w:eastAsia="Calibri" w:hAnsi="Calibri"/>
          <w:b w:val="false"/>
          <w:bCs w:val="false"/>
          <w:color w:val="333333"/>
          <w:sz w:val="19"/>
          <w:szCs w:val="19"/>
        </w:rPr>
        <w:t xml:space="preserve">4. Canon des proportions (pour le monde mythologique)</w:t>
      </w:r>
      <w:r>
        <w:rPr>
          <w:sz w:val="19"/>
          <w:szCs w:val="19"/>
        </w:rPr>
        <w:t xml:space="preserve">	15</w:t>
      </w:r>
    </w:p>
    <w:p>
      <w:pPr>
        <w:tabs>
          <w:tab w:val="right" w:pos="9638" w:leader="dot"/>
        </w:tabs>
        <w:spacing w:after="30" w:before="0"/>
        <w:ind w:left="400"/>
      </w:pPr>
      <w:r>
        <w:rPr>
          <w:rFonts w:ascii="Calibri" w:cs="Calibri" w:eastAsia="Calibri" w:hAnsi="Calibri"/>
          <w:b w:val="false"/>
          <w:bCs w:val="false"/>
          <w:color w:val="333333"/>
          <w:sz w:val="19"/>
          <w:szCs w:val="19"/>
        </w:rPr>
        <w:t xml:space="preserve">5. Théories marginales : à ne pas attribuer à KV9</w:t>
      </w:r>
      <w:r>
        <w:rPr>
          <w:sz w:val="19"/>
          <w:szCs w:val="19"/>
        </w:rPr>
        <w:t xml:space="preserve">	15</w:t>
      </w:r>
    </w:p>
    <w:p>
      <w:pPr>
        <w:tabs>
          <w:tab w:val="right" w:pos="9638" w:leader="dot"/>
        </w:tabs>
        <w:spacing w:after="30" w:before="140"/>
        <w:ind w:left="0"/>
      </w:pPr>
      <w:r>
        <w:rPr>
          <w:rFonts w:ascii="Cambria" w:cs="Cambria" w:eastAsia="Cambria" w:hAnsi="Cambria"/>
          <w:b/>
          <w:bCs/>
          <w:color w:val="14213D"/>
          <w:sz w:val="21"/>
          <w:szCs w:val="21"/>
        </w:rPr>
        <w:t xml:space="preserve">Bible · 4 — Contexte historique : Ramsès V, Ramsès VI, la XXᵉ dynastie</w:t>
      </w:r>
      <w:r>
        <w:rPr>
          <w:sz w:val="21"/>
          <w:szCs w:val="21"/>
        </w:rPr>
        <w:t xml:space="preserve">	17</w:t>
      </w:r>
    </w:p>
    <w:p>
      <w:pPr>
        <w:tabs>
          <w:tab w:val="right" w:pos="9638" w:leader="dot"/>
        </w:tabs>
        <w:spacing w:after="30" w:before="0"/>
        <w:ind w:left="400"/>
      </w:pPr>
      <w:r>
        <w:rPr>
          <w:rFonts w:ascii="Calibri" w:cs="Calibri" w:eastAsia="Calibri" w:hAnsi="Calibri"/>
          <w:b w:val="false"/>
          <w:bCs w:val="false"/>
          <w:color w:val="333333"/>
          <w:sz w:val="19"/>
          <w:szCs w:val="19"/>
        </w:rPr>
        <w:t xml:space="preserve">1. Dates de règne — C : toujours écrire « selon la chronologie de… »</w:t>
      </w:r>
      <w:r>
        <w:rPr>
          <w:sz w:val="19"/>
          <w:szCs w:val="19"/>
        </w:rPr>
        <w:t xml:space="preserve">	17</w:t>
      </w:r>
    </w:p>
    <w:p>
      <w:pPr>
        <w:tabs>
          <w:tab w:val="right" w:pos="9638" w:leader="dot"/>
        </w:tabs>
        <w:spacing w:after="30" w:before="0"/>
        <w:ind w:left="400"/>
      </w:pPr>
      <w:r>
        <w:rPr>
          <w:rFonts w:ascii="Calibri" w:cs="Calibri" w:eastAsia="Calibri" w:hAnsi="Calibri"/>
          <w:b w:val="false"/>
          <w:bCs w:val="false"/>
          <w:color w:val="333333"/>
          <w:sz w:val="19"/>
          <w:szCs w:val="19"/>
        </w:rPr>
        <w:t xml:space="preserve">2. Noms et famille</w:t>
      </w:r>
      <w:r>
        <w:rPr>
          <w:sz w:val="19"/>
          <w:szCs w:val="19"/>
        </w:rPr>
        <w:t xml:space="preserve">	17</w:t>
      </w:r>
    </w:p>
    <w:p>
      <w:pPr>
        <w:tabs>
          <w:tab w:val="right" w:pos="9638" w:leader="dot"/>
        </w:tabs>
        <w:spacing w:after="30" w:before="0"/>
        <w:ind w:left="400"/>
      </w:pPr>
      <w:r>
        <w:rPr>
          <w:rFonts w:ascii="Calibri" w:cs="Calibri" w:eastAsia="Calibri" w:hAnsi="Calibri"/>
          <w:b w:val="false"/>
          <w:bCs w:val="false"/>
          <w:color w:val="333333"/>
          <w:sz w:val="19"/>
          <w:szCs w:val="19"/>
        </w:rPr>
        <w:t xml:space="preserve">3. Une époque de crise (décor des reconstitutions)</w:t>
      </w:r>
      <w:r>
        <w:rPr>
          <w:sz w:val="19"/>
          <w:szCs w:val="19"/>
        </w:rPr>
        <w:t xml:space="preserve">	17</w:t>
      </w:r>
    </w:p>
    <w:p>
      <w:pPr>
        <w:tabs>
          <w:tab w:val="right" w:pos="9638" w:leader="dot"/>
        </w:tabs>
        <w:spacing w:after="30" w:before="0"/>
        <w:ind w:left="400"/>
      </w:pPr>
      <w:r>
        <w:rPr>
          <w:rFonts w:ascii="Calibri" w:cs="Calibri" w:eastAsia="Calibri" w:hAnsi="Calibri"/>
          <w:b w:val="false"/>
          <w:bCs w:val="false"/>
          <w:color w:val="333333"/>
          <w:sz w:val="19"/>
          <w:szCs w:val="19"/>
        </w:rPr>
        <w:t xml:space="preserve">4. Les ouvriers de la Tombe (Deir el-Médina)</w:t>
      </w:r>
      <w:r>
        <w:rPr>
          <w:sz w:val="19"/>
          <w:szCs w:val="19"/>
        </w:rPr>
        <w:t xml:space="preserve">	17</w:t>
      </w:r>
    </w:p>
    <w:p>
      <w:pPr>
        <w:tabs>
          <w:tab w:val="right" w:pos="9638" w:leader="dot"/>
        </w:tabs>
        <w:spacing w:after="30" w:before="0"/>
        <w:ind w:left="400"/>
      </w:pPr>
      <w:r>
        <w:rPr>
          <w:rFonts w:ascii="Calibri" w:cs="Calibri" w:eastAsia="Calibri" w:hAnsi="Calibri"/>
          <w:b w:val="false"/>
          <w:bCs w:val="false"/>
          <w:color w:val="333333"/>
          <w:sz w:val="19"/>
          <w:szCs w:val="19"/>
        </w:rPr>
        <w:t xml:space="preserve">5. Après le règne</w:t>
      </w:r>
      <w:r>
        <w:rPr>
          <w:sz w:val="19"/>
          <w:szCs w:val="19"/>
        </w:rPr>
        <w:t xml:space="preserve">	18</w:t>
      </w:r>
    </w:p>
    <w:p>
      <w:pPr>
        <w:tabs>
          <w:tab w:val="right" w:pos="9638" w:leader="dot"/>
        </w:tabs>
        <w:spacing w:after="30" w:before="140"/>
        <w:ind w:left="0"/>
      </w:pPr>
      <w:r>
        <w:rPr>
          <w:rFonts w:ascii="Cambria" w:cs="Cambria" w:eastAsia="Cambria" w:hAnsi="Cambria"/>
          <w:b/>
          <w:bCs/>
          <w:color w:val="14213D"/>
          <w:sz w:val="21"/>
          <w:szCs w:val="21"/>
        </w:rPr>
        <w:t xml:space="preserve">Bible · 5 — Saison 1 : les 12 épisodes détaillés</w:t>
      </w:r>
      <w:r>
        <w:rPr>
          <w:sz w:val="21"/>
          <w:szCs w:val="21"/>
        </w:rPr>
        <w:t xml:space="preserve">	19</w:t>
      </w:r>
    </w:p>
    <w:p>
      <w:pPr>
        <w:tabs>
          <w:tab w:val="right" w:pos="9638" w:leader="dot"/>
        </w:tabs>
        <w:spacing w:after="30" w:before="0"/>
        <w:ind w:left="400"/>
      </w:pPr>
      <w:r>
        <w:rPr>
          <w:rFonts w:ascii="Calibri" w:cs="Calibri" w:eastAsia="Calibri" w:hAnsi="Calibri"/>
          <w:b w:val="false"/>
          <w:bCs w:val="false"/>
          <w:color w:val="333333"/>
          <w:sz w:val="19"/>
          <w:szCs w:val="19"/>
        </w:rPr>
        <w:t xml:space="preserve">Arc de la saison</w:t>
      </w:r>
      <w:r>
        <w:rPr>
          <w:sz w:val="19"/>
          <w:szCs w:val="19"/>
        </w:rPr>
        <w:t xml:space="preserve">	19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 — La porte de KV9 · Nuit 1 · Zones A, porte B, B</w:t>
      </w:r>
      <w:r>
        <w:rPr>
          <w:sz w:val="19"/>
          <w:szCs w:val="19"/>
        </w:rPr>
        <w:t xml:space="preserve">	19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2 — Le plafond des étoiles · Nuit 2 · B, C, D (plafonds et parois sud)</w:t>
      </w:r>
      <w:r>
        <w:rPr>
          <w:sz w:val="19"/>
          <w:szCs w:val="19"/>
        </w:rPr>
        <w:t xml:space="preserve">	20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3 — Le livre sans commencement · Nuit 3 · chambre J (premier passage)</w:t>
      </w:r>
      <w:r>
        <w:rPr>
          <w:sz w:val="19"/>
          <w:szCs w:val="19"/>
        </w:rPr>
        <w:t xml:space="preserve">	20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4 — Les deux horizons d'Aker · Nuit 4 · D (Cavernes div. 3), J</w:t>
      </w:r>
      <w:r>
        <w:rPr>
          <w:sz w:val="19"/>
          <w:szCs w:val="19"/>
        </w:rPr>
        <w:t xml:space="preserve">	21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5 — Le corps d'Osiris · Nuit 5 · F (paroi ouest), Cavernes div. 4, J (§6.4)</w:t>
      </w:r>
      <w:r>
        <w:rPr>
          <w:sz w:val="19"/>
          <w:szCs w:val="19"/>
        </w:rPr>
        <w:t xml:space="preserve">	21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6 — La naissance du disque solaire · Nuit 6 · descente F, G, H (Amdouat), J (§6.3, 6.11, 6.16, 6.40)</w:t>
      </w:r>
      <w:r>
        <w:rPr>
          <w:sz w:val="19"/>
          <w:szCs w:val="19"/>
        </w:rPr>
        <w:t xml:space="preserve">	22</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7 — Les puissances souterraines · Nuit 7 · H (plafond cryptographique), porte I, J</w:t>
      </w:r>
      <w:r>
        <w:rPr>
          <w:sz w:val="19"/>
          <w:szCs w:val="19"/>
        </w:rPr>
        <w:t xml:space="preserve">	22</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8 — Le secret de Tatenen · Nuit 8 · J (§6.15, 6.35, 6.40)</w:t>
      </w:r>
      <w:r>
        <w:rPr>
          <w:sz w:val="19"/>
          <w:szCs w:val="19"/>
        </w:rPr>
        <w:t xml:space="preserve">	23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9 — La chambre du silence · Nuit 9 · I (antichambre), J (sarcophage)</w:t>
      </w:r>
      <w:r>
        <w:rPr>
          <w:sz w:val="19"/>
          <w:szCs w:val="19"/>
        </w:rPr>
        <w:t xml:space="preserve">	23</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10 — Les quatre divisions · Nuit 10 · J (les quatre parois)</w:t>
      </w:r>
      <w:r>
        <w:rPr>
          <w:sz w:val="19"/>
          <w:szCs w:val="19"/>
        </w:rPr>
        <w:t xml:space="preserve">	24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11 — La nuit avant l'aube · Nuit 11 · voûte de J</w:t>
      </w:r>
      <w:r>
        <w:rPr>
          <w:sz w:val="19"/>
          <w:szCs w:val="19"/>
        </w:rPr>
        <w:t xml:space="preserve">	24</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12 — Le Soleil renaît · Nuit 12 · K, puis sortie à l'aube</w:t>
      </w:r>
      <w:r>
        <w:rPr>
          <w:sz w:val="19"/>
          <w:szCs w:val="19"/>
        </w:rPr>
        <w:t xml:space="preserve">	25</w:t>
      </w:r>
    </w:p>
    <w:p>
      <w:pPr>
        <w:tabs>
          <w:tab w:val="right" w:pos="9638" w:leader="dot"/>
        </w:tabs>
        <w:spacing w:after="30" w:before="0"/>
        <w:ind w:left="400"/>
      </w:pPr>
      <w:r>
        <w:rPr>
          <w:rFonts w:ascii="Calibri" w:cs="Calibri" w:eastAsia="Calibri" w:hAnsi="Calibri"/>
          <w:b w:val="false"/>
          <w:bCs w:val="false"/>
          <w:color w:val="333333"/>
          <w:sz w:val="19"/>
          <w:szCs w:val="19"/>
        </w:rPr>
        <w:t xml:space="preserve">Pages hors épisodes (volume de 80 pages, voir l'édition)</w:t>
      </w:r>
      <w:r>
        <w:rPr>
          <w:sz w:val="19"/>
          <w:szCs w:val="19"/>
        </w:rPr>
        <w:t xml:space="preserve">	25</w:t>
      </w:r>
    </w:p>
    <w:p>
      <w:pPr>
        <w:tabs>
          <w:tab w:val="right" w:pos="9638" w:leader="dot"/>
        </w:tabs>
        <w:spacing w:after="30" w:before="140"/>
        <w:ind w:left="0"/>
      </w:pPr>
      <w:r>
        <w:rPr>
          <w:rFonts w:ascii="Cambria" w:cs="Cambria" w:eastAsia="Cambria" w:hAnsi="Cambria"/>
          <w:b/>
          <w:bCs/>
          <w:color w:val="14213D"/>
          <w:sz w:val="21"/>
          <w:szCs w:val="21"/>
        </w:rPr>
        <w:t xml:space="preserve">Bible · 6 — Édition (Amazon KDP), droits et dépôt légal</w:t>
      </w:r>
      <w:r>
        <w:rPr>
          <w:sz w:val="21"/>
          <w:szCs w:val="21"/>
        </w:rPr>
        <w:t xml:space="preserve">	27</w:t>
      </w:r>
    </w:p>
    <w:p>
      <w:pPr>
        <w:tabs>
          <w:tab w:val="right" w:pos="9638" w:leader="dot"/>
        </w:tabs>
        <w:spacing w:after="30" w:before="0"/>
        <w:ind w:left="400"/>
      </w:pPr>
      <w:r>
        <w:rPr>
          <w:rFonts w:ascii="Calibri" w:cs="Calibri" w:eastAsia="Calibri" w:hAnsi="Calibri"/>
          <w:b w:val="false"/>
          <w:bCs w:val="false"/>
          <w:color w:val="333333"/>
          <w:sz w:val="19"/>
          <w:szCs w:val="19"/>
        </w:rPr>
        <w:t xml:space="preserve">1. Conséquences directes pour un volume de 68 à 72 pages</w:t>
      </w:r>
      <w:r>
        <w:rPr>
          <w:sz w:val="19"/>
          <w:szCs w:val="19"/>
        </w:rPr>
        <w:t xml:space="preserve">	27</w:t>
      </w:r>
    </w:p>
    <w:p>
      <w:pPr>
        <w:tabs>
          <w:tab w:val="right" w:pos="9638" w:leader="dot"/>
        </w:tabs>
        <w:spacing w:after="30" w:before="0"/>
        <w:ind w:left="400"/>
      </w:pPr>
      <w:r>
        <w:rPr>
          <w:rFonts w:ascii="Calibri" w:cs="Calibri" w:eastAsia="Calibri" w:hAnsi="Calibri"/>
          <w:b w:val="false"/>
          <w:bCs w:val="false"/>
          <w:color w:val="333333"/>
          <w:sz w:val="19"/>
          <w:szCs w:val="19"/>
        </w:rPr>
        <w:t xml:space="preserve">2. Spécifications</w:t>
      </w:r>
      <w:r>
        <w:rPr>
          <w:sz w:val="19"/>
          <w:szCs w:val="19"/>
        </w:rPr>
        <w:t xml:space="preserve">	27</w:t>
      </w:r>
    </w:p>
    <w:p>
      <w:pPr>
        <w:tabs>
          <w:tab w:val="right" w:pos="9638" w:leader="dot"/>
        </w:tabs>
        <w:spacing w:after="30" w:before="0"/>
        <w:ind w:left="400"/>
      </w:pPr>
      <w:r>
        <w:rPr>
          <w:rFonts w:ascii="Calibri" w:cs="Calibri" w:eastAsia="Calibri" w:hAnsi="Calibri"/>
          <w:b w:val="false"/>
          <w:bCs w:val="false"/>
          <w:color w:val="333333"/>
          <w:sz w:val="19"/>
          <w:szCs w:val="19"/>
        </w:rPr>
        <w:t xml:space="preserve">3. Coûts et redevances (calculs à confirmer avec le calculateur KDP)</w:t>
      </w:r>
      <w:r>
        <w:rPr>
          <w:sz w:val="19"/>
          <w:szCs w:val="19"/>
        </w:rPr>
        <w:t xml:space="preserve">	27</w:t>
      </w:r>
    </w:p>
    <w:p>
      <w:pPr>
        <w:tabs>
          <w:tab w:val="right" w:pos="9638" w:leader="dot"/>
        </w:tabs>
        <w:spacing w:after="30" w:before="0"/>
        <w:ind w:left="400"/>
      </w:pPr>
      <w:r>
        <w:rPr>
          <w:rFonts w:ascii="Calibri" w:cs="Calibri" w:eastAsia="Calibri" w:hAnsi="Calibri"/>
          <w:b w:val="false"/>
          <w:bCs w:val="false"/>
          <w:color w:val="333333"/>
          <w:sz w:val="19"/>
          <w:szCs w:val="19"/>
        </w:rPr>
        <w:t xml:space="preserve">4. Kindle</w:t>
      </w:r>
      <w:r>
        <w:rPr>
          <w:sz w:val="19"/>
          <w:szCs w:val="19"/>
        </w:rPr>
        <w:t xml:space="preserve">	27</w:t>
      </w:r>
    </w:p>
    <w:p>
      <w:pPr>
        <w:tabs>
          <w:tab w:val="right" w:pos="9638" w:leader="dot"/>
        </w:tabs>
        <w:spacing w:after="30" w:before="0"/>
        <w:ind w:left="400"/>
      </w:pPr>
      <w:r>
        <w:rPr>
          <w:rFonts w:ascii="Calibri" w:cs="Calibri" w:eastAsia="Calibri" w:hAnsi="Calibri"/>
          <w:b w:val="false"/>
          <w:bCs w:val="false"/>
          <w:color w:val="333333"/>
          <w:sz w:val="19"/>
          <w:szCs w:val="19"/>
        </w:rPr>
        <w:t xml:space="preserve">5. Intelligence artificielle</w:t>
      </w:r>
      <w:r>
        <w:rPr>
          <w:sz w:val="19"/>
          <w:szCs w:val="19"/>
        </w:rPr>
        <w:t xml:space="preserve">	27</w:t>
      </w:r>
    </w:p>
    <w:p>
      <w:pPr>
        <w:tabs>
          <w:tab w:val="right" w:pos="9638" w:leader="dot"/>
        </w:tabs>
        <w:spacing w:after="30" w:before="0"/>
        <w:ind w:left="400"/>
      </w:pPr>
      <w:r>
        <w:rPr>
          <w:rFonts w:ascii="Calibri" w:cs="Calibri" w:eastAsia="Calibri" w:hAnsi="Calibri"/>
          <w:b w:val="false"/>
          <w:bCs w:val="false"/>
          <w:color w:val="333333"/>
          <w:sz w:val="19"/>
          <w:szCs w:val="19"/>
        </w:rPr>
        <w:t xml:space="preserve">6. Images et droits</w:t>
      </w:r>
      <w:r>
        <w:rPr>
          <w:sz w:val="19"/>
          <w:szCs w:val="19"/>
        </w:rPr>
        <w:t xml:space="preserve">	28</w:t>
      </w:r>
    </w:p>
    <w:p>
      <w:pPr>
        <w:tabs>
          <w:tab w:val="right" w:pos="9638" w:leader="dot"/>
        </w:tabs>
        <w:spacing w:after="30" w:before="0"/>
        <w:ind w:left="400"/>
      </w:pPr>
      <w:r>
        <w:rPr>
          <w:rFonts w:ascii="Calibri" w:cs="Calibri" w:eastAsia="Calibri" w:hAnsi="Calibri"/>
          <w:b w:val="false"/>
          <w:bCs w:val="false"/>
          <w:color w:val="333333"/>
          <w:sz w:val="19"/>
          <w:szCs w:val="19"/>
        </w:rPr>
        <w:t xml:space="preserve">7. ISBN et dépôt légal (France)</w:t>
      </w:r>
      <w:r>
        <w:rPr>
          <w:sz w:val="19"/>
          <w:szCs w:val="19"/>
        </w:rPr>
        <w:t xml:space="preserve">	28</w:t>
      </w:r>
    </w:p>
    <w:p>
      <w:pPr>
        <w:tabs>
          <w:tab w:val="right" w:pos="9638" w:leader="dot"/>
        </w:tabs>
        <w:spacing w:after="30" w:before="140"/>
        <w:ind w:left="0"/>
      </w:pPr>
      <w:r>
        <w:rPr>
          <w:rFonts w:ascii="Cambria" w:cs="Cambria" w:eastAsia="Cambria" w:hAnsi="Cambria"/>
          <w:b/>
          <w:bCs/>
          <w:color w:val="14213D"/>
          <w:sz w:val="21"/>
          <w:szCs w:val="21"/>
        </w:rPr>
        <w:t xml:space="preserve">Bible · 7 — Bibliographie et sources consultées</w:t>
      </w:r>
      <w:r>
        <w:rPr>
          <w:sz w:val="21"/>
          <w:szCs w:val="21"/>
        </w:rPr>
        <w:t xml:space="preserve">	29</w:t>
      </w:r>
    </w:p>
    <w:p>
      <w:pPr>
        <w:tabs>
          <w:tab w:val="right" w:pos="9638" w:leader="dot"/>
        </w:tabs>
        <w:spacing w:after="30" w:before="0"/>
        <w:ind w:left="400"/>
      </w:pPr>
      <w:r>
        <w:rPr>
          <w:rFonts w:ascii="Calibri" w:cs="Calibri" w:eastAsia="Calibri" w:hAnsi="Calibri"/>
          <w:b w:val="false"/>
          <w:bCs w:val="false"/>
          <w:color w:val="333333"/>
          <w:sz w:val="19"/>
          <w:szCs w:val="19"/>
        </w:rPr>
        <w:t xml:space="preserve">Sources principales (ouvertes)</w:t>
      </w:r>
      <w:r>
        <w:rPr>
          <w:sz w:val="19"/>
          <w:szCs w:val="19"/>
        </w:rPr>
        <w:t xml:space="preserve">	29</w:t>
      </w:r>
    </w:p>
    <w:p>
      <w:pPr>
        <w:tabs>
          <w:tab w:val="right" w:pos="9638" w:leader="dot"/>
        </w:tabs>
        <w:spacing w:after="30" w:before="0"/>
        <w:ind w:left="400"/>
      </w:pPr>
      <w:r>
        <w:rPr>
          <w:rFonts w:ascii="Calibri" w:cs="Calibri" w:eastAsia="Calibri" w:hAnsi="Calibri"/>
          <w:b w:val="false"/>
          <w:bCs w:val="false"/>
          <w:color w:val="333333"/>
          <w:sz w:val="19"/>
          <w:szCs w:val="19"/>
        </w:rPr>
        <w:t xml:space="preserve">Sources secondaires (des pistes, pas des preuves)</w:t>
      </w:r>
      <w:r>
        <w:rPr>
          <w:sz w:val="19"/>
          <w:szCs w:val="19"/>
        </w:rPr>
        <w:t xml:space="preserve">	30</w:t>
      </w:r>
    </w:p>
    <w:p>
      <w:pPr>
        <w:tabs>
          <w:tab w:val="right" w:pos="9638" w:leader="dot"/>
        </w:tabs>
        <w:spacing w:after="30" w:before="0"/>
        <w:ind w:left="400"/>
      </w:pPr>
      <w:r>
        <w:rPr>
          <w:rFonts w:ascii="Calibri" w:cs="Calibri" w:eastAsia="Calibri" w:hAnsi="Calibri"/>
          <w:b w:val="false"/>
          <w:bCs w:val="false"/>
          <w:color w:val="333333"/>
          <w:sz w:val="19"/>
          <w:szCs w:val="19"/>
        </w:rPr>
        <w:t xml:space="preserve">À lire avant impression (non ouverts)</w:t>
      </w:r>
      <w:r>
        <w:rPr>
          <w:sz w:val="19"/>
          <w:szCs w:val="19"/>
        </w:rPr>
        <w:t xml:space="preserve">	30</w:t>
      </w:r>
    </w:p>
    <w:p>
      <w:pPr>
        <w:tabs>
          <w:tab w:val="right" w:pos="9638" w:leader="dot"/>
        </w:tabs>
        <w:spacing w:after="30" w:before="0"/>
        <w:ind w:left="400"/>
      </w:pPr>
      <w:r>
        <w:rPr>
          <w:rFonts w:ascii="Calibri" w:cs="Calibri" w:eastAsia="Calibri" w:hAnsi="Calibri"/>
          <w:b w:val="false"/>
          <w:bCs w:val="false"/>
          <w:color w:val="333333"/>
          <w:sz w:val="19"/>
          <w:szCs w:val="19"/>
        </w:rPr>
        <w:t xml:space="preserve">Échecs d'accès (pour mémoire)</w:t>
      </w:r>
      <w:r>
        <w:rPr>
          <w:sz w:val="19"/>
          <w:szCs w:val="19"/>
        </w:rPr>
        <w:t xml:space="preserve">	30</w:t>
      </w:r>
    </w:p>
    <w:p>
      <w:r>
        <w:br w:type="page"/>
      </w:r>
    </w:p>
    <w:p>
      <w:pPr>
        <w:pStyle w:val="Heading1"/>
      </w:pPr>
      <w:r>
        <w:t xml:space="preserve">Bible de la série — Index et journal des corrections</w:t>
      </w:r>
    </w:p>
    <w:p>
      <w:pPr>
        <w:spacing w:after="120" w:line="276"/>
      </w:pPr>
      <w:r>
        <w:rPr>
          <w:b/>
          <w:bCs/>
        </w:rPr>
        <w:t xml:space="preserve">LES MYSTÈRES DU TOMBEAU DE RAMSÈS VI</w:t>
      </w:r>
      <w:r>
        <w:t xml:space="preserve"> · Saison 1 / Volume 1 : </w:t>
      </w:r>
      <w:r>
        <w:rPr>
          <w:i/>
          <w:iCs/>
        </w:rPr>
        <w:t xml:space="preserve">Le Livre de la Terre</w:t>
      </w:r>
    </w:p>
    <w:p>
      <w:pPr>
        <w:pStyle w:val="Heading2"/>
      </w:pPr>
      <w:r>
        <w:t xml:space="preserve">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2"/>
        <w:gridCol w:w="5756"/>
      </w:tblGrid>
      <w:tr>
        <w:trPr>
          <w:cantSplit/>
          <w:tblHeader/>
        </w:trPr>
        <w:tc>
          <w:tcPr>
            <w:tcW w:type="dxa" w:w="388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Fichier</w:t>
            </w:r>
          </w:p>
        </w:tc>
        <w:tc>
          <w:tcPr>
            <w:tcW w:type="dxa" w:w="575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Contenu</w:t>
            </w:r>
          </w:p>
        </w:tc>
      </w:tr>
      <w:tr>
        <w:trPr>
          <w:cantSplit/>
          <w:tblHeader w:val="false"/>
        </w:trPr>
        <w:tc>
          <w:tcPr>
            <w:tcW w:type="dxa" w:w="388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01_reference_kv9.md »</w:t>
            </w:r>
          </w:p>
        </w:tc>
        <w:tc>
          <w:tcPr>
            <w:tcW w:type="dxa" w:w="575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Le tombeau : chantier, architecture salle par salle, décor, sarcophages, pillage, momie, graffiti, exploration, visite</w:t>
            </w:r>
          </w:p>
        </w:tc>
      </w:tr>
      <w:tr>
        <w:trPr>
          <w:cantSplit/>
          <w:tblHeader w:val="false"/>
        </w:trPr>
        <w:tc>
          <w:tcPr>
            <w:tcW w:type="dxa" w:w="388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02_livre_de_la_terre.md »</w:t>
            </w:r>
          </w:p>
        </w:tc>
        <w:tc>
          <w:tcPr>
            <w:tcW w:type="dxa" w:w="575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Noms, attestations, disposition des parois, débat sur l'ordre de lecture, scènes clés et légendes traduites</w:t>
            </w:r>
          </w:p>
        </w:tc>
      </w:tr>
      <w:tr>
        <w:trPr>
          <w:cantSplit/>
          <w:tblHeader w:val="false"/>
        </w:trPr>
        <w:tc>
          <w:tcPr>
            <w:tcW w:type="dxa" w:w="388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03_divinites_iconographie.md »</w:t>
            </w:r>
          </w:p>
        </w:tc>
        <w:tc>
          <w:tcPr>
            <w:tcW w:type="dxa" w:w="575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Fiches divinités, autres livres funéraires de KV9, couleurs, canon des proportions, théories marginales à éviter</w:t>
            </w:r>
          </w:p>
        </w:tc>
      </w:tr>
      <w:tr>
        <w:trPr>
          <w:cantSplit/>
          <w:tblHeader w:val="false"/>
        </w:trPr>
        <w:tc>
          <w:tcPr>
            <w:tcW w:type="dxa" w:w="388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04_histoire_ramses_v_vi.md »</w:t>
            </w:r>
          </w:p>
        </w:tc>
        <w:tc>
          <w:tcPr>
            <w:tcW w:type="dxa" w:w="575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Chronologies, noms, famille, contexte de crise, ouvriers de Deir el-Médina, devenir de la momie</w:t>
            </w:r>
          </w:p>
        </w:tc>
      </w:tr>
      <w:tr>
        <w:trPr>
          <w:cantSplit/>
          <w:tblHeader w:val="false"/>
        </w:trPr>
        <w:tc>
          <w:tcPr>
            <w:tcW w:type="dxa" w:w="388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05_episodes_saison_1.md »</w:t>
            </w:r>
          </w:p>
        </w:tc>
        <w:tc>
          <w:tcPr>
            <w:tcW w:type="dxa" w:w="575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Arc de la saison, personnages, </w:t>
            </w:r>
            <w:r>
              <w:rPr>
                <w:b/>
                <w:bCs/>
                <w:sz w:val="18"/>
                <w:szCs w:val="18"/>
              </w:rPr>
              <w:t xml:space="preserve">12 épisodes détaillés</w:t>
            </w:r>
            <w:r>
              <w:rPr>
                <w:sz w:val="18"/>
                <w:szCs w:val="18"/>
              </w:rPr>
              <w:t xml:space="preserve"> (contenu historique, 4 planches, page documentaire), plan du volume</w:t>
            </w:r>
          </w:p>
        </w:tc>
      </w:tr>
      <w:tr>
        <w:trPr>
          <w:cantSplit/>
          <w:tblHeader w:val="false"/>
        </w:trPr>
        <w:tc>
          <w:tcPr>
            <w:tcW w:type="dxa" w:w="388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06_edition_kdp_droits.md »</w:t>
            </w:r>
          </w:p>
        </w:tc>
        <w:tc>
          <w:tcPr>
            <w:tcW w:type="dxa" w:w="575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Spécifications KDP, coûts, IA, droits des images en Égypte, ISBN, dépôt légal BnF</w:t>
            </w:r>
          </w:p>
        </w:tc>
      </w:tr>
      <w:tr>
        <w:trPr>
          <w:cantSplit/>
          <w:tblHeader w:val="false"/>
        </w:trPr>
        <w:tc>
          <w:tcPr>
            <w:tcW w:type="dxa" w:w="388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07_bibliographie.md »</w:t>
            </w:r>
          </w:p>
        </w:tc>
        <w:tc>
          <w:tcPr>
            <w:tcW w:type="dxa" w:w="575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Toutes les sources consultées (avec URL), ouvrages à lire avant impression</w:t>
            </w:r>
          </w:p>
        </w:tc>
      </w:tr>
    </w:tbl>
    <w:p>
      <w:pPr>
        <w:spacing w:after="120"/>
      </w:pPr>
    </w:p>
    <w:p>
      <w:pPr>
        <w:spacing w:after="120" w:line="276"/>
      </w:pPr>
      <w:r>
        <w:rPr>
          <w:b/>
          <w:bCs/>
        </w:rPr>
        <w:t xml:space="preserve">Méthode</w:t>
      </w:r>
      <w:r>
        <w:t xml:space="preserve"> : recherche menée le 26/10/2026 par six agents en parallèle (KV9, Livre de la Terre, autres livres funéraires, histoire, divinités, édition), puis recoupement. Chaque fait porte un statut : </w:t>
      </w:r>
      <w:r>
        <w:rPr>
          <w:b/>
          <w:bCs/>
        </w:rPr>
        <w:t xml:space="preserve">V</w:t>
      </w:r>
      <w:r>
        <w:t xml:space="preserve"> vérifié · </w:t>
      </w:r>
      <w:r>
        <w:rPr>
          <w:b/>
          <w:bCs/>
        </w:rPr>
        <w:t xml:space="preserve">C</w:t>
      </w:r>
      <w:r>
        <w:t xml:space="preserve"> sources en désaccord · </w:t>
      </w:r>
      <w:r>
        <w:rPr>
          <w:b/>
          <w:bCs/>
        </w:rPr>
        <w:t xml:space="preserve">N</w:t>
      </w:r>
      <w:r>
        <w:t xml:space="preserve"> non vérifié.</w:t>
      </w:r>
    </w:p>
    <w:p>
      <w:pPr>
        <w:pStyle w:val="Heading2"/>
      </w:pPr>
      <w:r>
        <w:t xml:space="preserve">Balisage narratif (rappel)</w:t>
      </w:r>
    </w:p>
    <w:p>
      <w:pPr>
        <w:pStyle w:val="ListParagraph"/>
        <w:numPr>
          <w:ilvl w:val="0"/>
          <w:numId w:val="2"/>
        </w:numPr>
        <w:spacing w:after="60" w:line="264"/>
      </w:pPr>
      <w:r>
        <w:rPr>
          <w:b/>
          <w:bCs/>
        </w:rPr>
        <w:t xml:space="preserve">[H]</w:t>
      </w:r>
      <w:r>
        <w:t xml:space="preserve"> Histoire documentée : sourcée dans la bible.</w:t>
      </w:r>
    </w:p>
    <w:p>
      <w:pPr>
        <w:pStyle w:val="ListParagraph"/>
        <w:numPr>
          <w:ilvl w:val="0"/>
          <w:numId w:val="2"/>
        </w:numPr>
        <w:spacing w:after="60" w:line="264"/>
      </w:pPr>
      <w:r>
        <w:rPr>
          <w:b/>
          <w:bCs/>
        </w:rPr>
        <w:t xml:space="preserve">[F]</w:t>
      </w:r>
      <w:r>
        <w:t xml:space="preserve"> Fiction : personnages contemporains, mission, dialogues, artisans antiques nommés.</w:t>
      </w:r>
    </w:p>
    <w:p>
      <w:pPr>
        <w:pStyle w:val="ListParagraph"/>
        <w:numPr>
          <w:ilvl w:val="0"/>
          <w:numId w:val="2"/>
        </w:numPr>
        <w:spacing w:after="60" w:line="264"/>
      </w:pPr>
      <w:r>
        <w:rPr>
          <w:b/>
          <w:bCs/>
        </w:rPr>
        <w:t xml:space="preserve">[S]</w:t>
      </w:r>
      <w:r>
        <w:t xml:space="preserve"> Symbolisme / interprétation : présenté comme tel.</w:t>
      </w:r>
    </w:p>
    <w:p>
      <w:pPr>
        <w:spacing w:after="60"/>
      </w:pPr>
    </w:p>
    <w:p>
      <w:pPr>
        <w:pStyle w:val="Heading2"/>
      </w:pPr>
      <w:r>
        <w:t xml:space="preserve">Journal des corrections du concept initial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7"/>
        <w:gridCol w:w="2347"/>
        <w:gridCol w:w="5132"/>
        <w:gridCol w:w="1532"/>
      </w:tblGrid>
      <w:tr>
        <w:trPr>
          <w:cantSplit/>
          <w:tblHeader/>
        </w:trPr>
        <w:tc>
          <w:tcPr>
            <w:tcW w:type="dxa" w:w="62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w:t>
            </w:r>
          </w:p>
        </w:tc>
        <w:tc>
          <w:tcPr>
            <w:tcW w:type="dxa" w:w="234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Concept initial</w:t>
            </w:r>
          </w:p>
        </w:tc>
        <w:tc>
          <w:tcPr>
            <w:tcW w:type="dxa" w:w="513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Correction</w:t>
            </w:r>
          </w:p>
        </w:tc>
        <w:tc>
          <w:tcPr>
            <w:tcW w:type="dxa" w:w="153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62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w:t>
            </w:r>
          </w:p>
        </w:tc>
        <w:tc>
          <w:tcPr>
            <w:tcW w:type="dxa" w:w="234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KV9 = tombeau de Ramsès VI</w:t>
            </w:r>
          </w:p>
        </w:tc>
        <w:tc>
          <w:tcPr>
            <w:tcW w:type="dxa" w:w="51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Commencé pour </w:t>
            </w:r>
            <w:r>
              <w:rPr>
                <w:b/>
                <w:bCs/>
                <w:sz w:val="18"/>
                <w:szCs w:val="18"/>
              </w:rPr>
              <w:t xml:space="preserve">Ramsès V</w:t>
            </w:r>
            <w:r>
              <w:rPr>
                <w:sz w:val="18"/>
                <w:szCs w:val="18"/>
              </w:rPr>
              <w:t xml:space="preserve"> (jusqu'à la salle E), achevé par Ramsès VI, qui fait regraver les noms</w:t>
            </w:r>
          </w:p>
        </w:tc>
        <w:tc>
          <w:tcPr>
            <w:tcW w:type="dxa" w:w="15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62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2</w:t>
            </w:r>
          </w:p>
        </w:tc>
        <w:tc>
          <w:tcPr>
            <w:tcW w:type="dxa" w:w="234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Épisode 10 « Les quatre divisions »</w:t>
            </w:r>
          </w:p>
        </w:tc>
        <w:tc>
          <w:tcPr>
            <w:tcW w:type="dxa" w:w="51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Maintenu</w:t>
            </w:r>
            <w:r>
              <w:rPr>
                <w:sz w:val="18"/>
                <w:szCs w:val="18"/>
              </w:rPr>
              <w:t xml:space="preserve"> : division traditionnelle de Piankoff en 4 sections (A-D) ; Hornung ajoute E, Roberson utilise un autre découpage → à montrer</w:t>
            </w:r>
          </w:p>
        </w:tc>
        <w:tc>
          <w:tcPr>
            <w:tcW w:type="dxa" w:w="15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[PLEUGER], [DARNELL]</w:t>
            </w:r>
          </w:p>
        </w:tc>
      </w:tr>
      <w:tr>
        <w:trPr>
          <w:cantSplit/>
          <w:tblHeader w:val="false"/>
        </w:trPr>
        <w:tc>
          <w:tcPr>
            <w:tcW w:type="dxa" w:w="62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3</w:t>
            </w:r>
          </w:p>
        </w:tc>
        <w:tc>
          <w:tcPr>
            <w:tcW w:type="dxa" w:w="234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Tatenen dans le Livre de la Terre ?</w:t>
            </w:r>
          </w:p>
        </w:tc>
        <w:tc>
          <w:tcPr>
            <w:tcW w:type="dxa" w:w="51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Oui</w:t>
            </w:r>
            <w:r>
              <w:rPr>
                <w:sz w:val="18"/>
                <w:szCs w:val="18"/>
              </w:rPr>
              <w:t xml:space="preserve">, 3 scènes dans KV9 (§6.15, 6.35, 6.40). Wikipédia se trompe sur ce point</w:t>
            </w:r>
          </w:p>
        </w:tc>
        <w:tc>
          <w:tcPr>
            <w:tcW w:type="dxa" w:w="15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w:t>
            </w:r>
          </w:p>
        </w:tc>
      </w:tr>
      <w:tr>
        <w:trPr>
          <w:cantSplit/>
          <w:tblHeader w:val="false"/>
        </w:trPr>
        <w:tc>
          <w:tcPr>
            <w:tcW w:type="dxa" w:w="62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4</w:t>
            </w:r>
          </w:p>
        </w:tc>
        <w:tc>
          <w:tcPr>
            <w:tcW w:type="dxa" w:w="234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 « mystère » de l'ordre de lecture</w:t>
            </w:r>
          </w:p>
        </w:tc>
        <w:tc>
          <w:tcPr>
            <w:tcW w:type="dxa" w:w="51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C'est un vrai débat savant</w:t>
            </w:r>
            <w:r>
              <w:rPr>
                <w:sz w:val="18"/>
                <w:szCs w:val="18"/>
              </w:rPr>
              <w:t xml:space="preserve">, non résolu : deux écoles (paroi nord / paroi sud), pas de consensus sur la première ni sur la dernière scène</w:t>
            </w:r>
          </w:p>
        </w:tc>
        <w:tc>
          <w:tcPr>
            <w:tcW w:type="dxa" w:w="15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[PLEUGER]</w:t>
            </w:r>
          </w:p>
        </w:tc>
      </w:tr>
      <w:tr>
        <w:trPr>
          <w:cantSplit/>
          <w:tblHeader w:val="false"/>
        </w:trPr>
        <w:tc>
          <w:tcPr>
            <w:tcW w:type="dxa" w:w="62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5</w:t>
            </w:r>
          </w:p>
        </w:tc>
        <w:tc>
          <w:tcPr>
            <w:tcW w:type="dxa" w:w="234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Prologue : le Livre de la Terre dès l'entrée</w:t>
            </w:r>
          </w:p>
        </w:tc>
        <w:tc>
          <w:tcPr>
            <w:tcW w:type="dxa" w:w="51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Il est </w:t>
            </w:r>
            <w:r>
              <w:rPr>
                <w:b/>
                <w:bCs/>
                <w:sz w:val="18"/>
                <w:szCs w:val="18"/>
              </w:rPr>
              <w:t xml:space="preserve">seulement dans la chambre funéraire J</w:t>
            </w:r>
            <w:r>
              <w:rPr>
                <w:sz w:val="18"/>
                <w:szCs w:val="18"/>
              </w:rPr>
              <w:t xml:space="preserve"> ; les corridors portent les Livres des Portes, des Cavernes et l'Amdouat</w:t>
            </w:r>
          </w:p>
        </w:tc>
        <w:tc>
          <w:tcPr>
            <w:tcW w:type="dxa" w:w="15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62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w:t>
            </w:r>
          </w:p>
        </w:tc>
        <w:tc>
          <w:tcPr>
            <w:tcW w:type="dxa" w:w="234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Chambre d'or »</w:t>
            </w:r>
          </w:p>
        </w:tc>
        <w:tc>
          <w:tcPr>
            <w:tcW w:type="dxa" w:w="51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Expression retirée (non vérifiée)</w:t>
            </w:r>
          </w:p>
        </w:tc>
        <w:tc>
          <w:tcPr>
            <w:tcW w:type="dxa" w:w="15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t>
            </w:r>
          </w:p>
        </w:tc>
      </w:tr>
      <w:tr>
        <w:trPr>
          <w:cantSplit/>
          <w:tblHeader w:val="false"/>
        </w:trPr>
        <w:tc>
          <w:tcPr>
            <w:tcW w:type="dxa" w:w="62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7</w:t>
            </w:r>
          </w:p>
        </w:tc>
        <w:tc>
          <w:tcPr>
            <w:tcW w:type="dxa" w:w="234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995 graffiti</w:t>
            </w:r>
          </w:p>
        </w:tc>
        <w:tc>
          <w:tcPr>
            <w:tcW w:type="dxa" w:w="51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Décomptes en désaccord → « </w:t>
            </w:r>
            <w:r>
              <w:rPr>
                <w:b/>
                <w:bCs/>
                <w:sz w:val="18"/>
                <w:szCs w:val="18"/>
              </w:rPr>
              <w:t xml:space="preserve">près d'un millier</w:t>
            </w:r>
            <w:r>
              <w:rPr>
                <w:sz w:val="18"/>
                <w:szCs w:val="18"/>
              </w:rPr>
              <w:t xml:space="preserve"> »</w:t>
            </w:r>
          </w:p>
        </w:tc>
        <w:tc>
          <w:tcPr>
            <w:tcW w:type="dxa" w:w="15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62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8</w:t>
            </w:r>
          </w:p>
        </w:tc>
        <w:tc>
          <w:tcPr>
            <w:tcW w:type="dxa" w:w="234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Piankoff « 1958 » (TMP)</w:t>
            </w:r>
          </w:p>
        </w:tc>
        <w:tc>
          <w:tcPr>
            <w:tcW w:type="dxa" w:w="51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Publication </w:t>
            </w:r>
            <w:r>
              <w:rPr>
                <w:b/>
                <w:bCs/>
                <w:sz w:val="18"/>
                <w:szCs w:val="18"/>
              </w:rPr>
              <w:t xml:space="preserve">1954</w:t>
            </w:r>
            <w:r>
              <w:rPr>
                <w:sz w:val="18"/>
                <w:szCs w:val="18"/>
              </w:rPr>
              <w:t xml:space="preserve"> (Bollingen XL-1)</w:t>
            </w:r>
          </w:p>
        </w:tc>
        <w:tc>
          <w:tcPr>
            <w:tcW w:type="dxa" w:w="15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[ARCHIVE]</w:t>
            </w:r>
          </w:p>
        </w:tc>
      </w:tr>
      <w:tr>
        <w:trPr>
          <w:cantSplit/>
          <w:tblHeader w:val="false"/>
        </w:trPr>
        <w:tc>
          <w:tcPr>
            <w:tcW w:type="dxa" w:w="62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9</w:t>
            </w:r>
          </w:p>
        </w:tc>
        <w:tc>
          <w:tcPr>
            <w:tcW w:type="dxa" w:w="234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Format 68-72 pages</w:t>
            </w:r>
          </w:p>
        </w:tc>
        <w:tc>
          <w:tcPr>
            <w:tcW w:type="dxa" w:w="51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Passer à 80 pages</w:t>
            </w:r>
            <w:r>
              <w:rPr>
                <w:sz w:val="18"/>
                <w:szCs w:val="18"/>
              </w:rPr>
              <w:t xml:space="preserve"> : texte sur la tranche (≥ 79 p.), relié (≥ 75 p.), couleur standard (≥ 72 p.)</w:t>
            </w:r>
          </w:p>
        </w:tc>
        <w:tc>
          <w:tcPr>
            <w:tcW w:type="dxa" w:w="15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KDP</w:t>
            </w:r>
          </w:p>
        </w:tc>
      </w:tr>
      <w:tr>
        <w:trPr>
          <w:cantSplit/>
          <w:tblHeader w:val="false"/>
        </w:trPr>
        <w:tc>
          <w:tcPr>
            <w:tcW w:type="dxa" w:w="62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10</w:t>
            </w:r>
          </w:p>
        </w:tc>
        <w:tc>
          <w:tcPr>
            <w:tcW w:type="dxa" w:w="234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Héros « Dr Kémani »</w:t>
            </w:r>
          </w:p>
        </w:tc>
        <w:tc>
          <w:tcPr>
            <w:tcW w:type="dxa" w:w="51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Renommé </w:t>
            </w:r>
            <w:r>
              <w:rPr>
                <w:b/>
                <w:bCs/>
                <w:sz w:val="18"/>
                <w:szCs w:val="18"/>
              </w:rPr>
              <w:t xml:space="preserve">Dr Kerbu</w:t>
            </w:r>
            <w:r>
              <w:rPr>
                <w:sz w:val="18"/>
                <w:szCs w:val="18"/>
              </w:rPr>
              <w:t xml:space="preserve"> (décision de l'auteur, 26/10/2026)</w:t>
            </w:r>
          </w:p>
        </w:tc>
        <w:tc>
          <w:tcPr>
            <w:tcW w:type="dxa" w:w="15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t>
            </w:r>
          </w:p>
        </w:tc>
      </w:tr>
      <w:tr>
        <w:trPr>
          <w:cantSplit/>
          <w:tblHeader w:val="false"/>
        </w:trPr>
        <w:tc>
          <w:tcPr>
            <w:tcW w:type="dxa" w:w="62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11</w:t>
            </w:r>
          </w:p>
        </w:tc>
        <w:tc>
          <w:tcPr>
            <w:tcW w:type="dxa" w:w="234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Rê-Osiris (« Rê repose en Osiris… »)</w:t>
            </w:r>
          </w:p>
        </w:tc>
        <w:tc>
          <w:tcPr>
            <w:tcW w:type="dxa" w:w="51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La formule est attestée dans la </w:t>
            </w:r>
            <w:r>
              <w:rPr>
                <w:b/>
                <w:bCs/>
                <w:sz w:val="18"/>
                <w:szCs w:val="18"/>
              </w:rPr>
              <w:t xml:space="preserve">tombe de Néfertari (QV66)</w:t>
            </w:r>
            <w:r>
              <w:rPr>
                <w:sz w:val="18"/>
                <w:szCs w:val="18"/>
              </w:rPr>
              <w:t xml:space="preserve">, </w:t>
            </w:r>
            <w:r>
              <w:rPr>
                <w:b/>
                <w:bCs/>
                <w:sz w:val="18"/>
                <w:szCs w:val="18"/>
              </w:rPr>
              <w:t xml:space="preserve">pas dans KV9</w:t>
            </w:r>
            <w:r>
              <w:rPr>
                <w:sz w:val="18"/>
                <w:szCs w:val="18"/>
              </w:rPr>
              <w:t xml:space="preserve"> → à présenter comme un parallèle</w:t>
            </w:r>
          </w:p>
        </w:tc>
        <w:tc>
          <w:tcPr>
            <w:tcW w:type="dxa" w:w="153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[OEAE] Luft</w:t>
            </w:r>
          </w:p>
        </w:tc>
      </w:tr>
      <w:tr>
        <w:trPr>
          <w:cantSplit/>
          <w:tblHeader w:val="false"/>
        </w:trPr>
        <w:tc>
          <w:tcPr>
            <w:tcW w:type="dxa" w:w="62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12</w:t>
            </w:r>
          </w:p>
        </w:tc>
        <w:tc>
          <w:tcPr>
            <w:tcW w:type="dxa" w:w="234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Théories marginales</w:t>
            </w:r>
          </w:p>
        </w:tc>
        <w:tc>
          <w:tcPr>
            <w:tcW w:type="dxa" w:w="51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Électricité = Dendérah ; chambres cachées = KV62 ; rien de publié pour KV9 → réfutées dans les épisodes (personnage de Julien Marsac)</w:t>
            </w:r>
          </w:p>
        </w:tc>
        <w:tc>
          <w:tcPr>
            <w:tcW w:type="dxa" w:w="153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voir 03 §5</w:t>
            </w:r>
          </w:p>
        </w:tc>
      </w:tr>
    </w:tbl>
    <w:p>
      <w:pPr>
        <w:spacing w:after="120"/>
      </w:pPr>
    </w:p>
    <w:p>
      <w:pPr>
        <w:pStyle w:val="Heading2"/>
      </w:pPr>
      <w:r>
        <w:t xml:space="preserve">Points encore ouverts (à lever avant impression)</w:t>
      </w:r>
    </w:p>
    <w:p>
      <w:pPr>
        <w:pStyle w:val="ListParagraph"/>
        <w:numPr>
          <w:ilvl w:val="0"/>
          <w:numId w:val="3"/>
        </w:numPr>
        <w:spacing w:after="60" w:line="264"/>
      </w:pPr>
      <w:r>
        <w:t xml:space="preserve">Consulter </w:t>
      </w:r>
      <w:r>
        <w:rPr>
          <w:b/>
          <w:bCs/>
        </w:rPr>
        <w:t xml:space="preserve">Hornung 1999</w:t>
      </w:r>
      <w:r>
        <w:t xml:space="preserve"> et le corps de </w:t>
      </w:r>
      <w:r>
        <w:rPr>
          <w:b/>
          <w:bCs/>
        </w:rPr>
        <w:t xml:space="preserve">Roberson 2012</w:t>
      </w:r>
      <w:r>
        <w:t xml:space="preserve"> (parties A-E, correspondance des lettres).</w:t>
      </w:r>
    </w:p>
    <w:p>
      <w:pPr>
        <w:pStyle w:val="ListParagraph"/>
        <w:numPr>
          <w:ilvl w:val="0"/>
          <w:numId w:val="3"/>
        </w:numPr>
        <w:spacing w:after="60" w:line="264"/>
      </w:pPr>
      <w:r>
        <w:t xml:space="preserve">Vérifier la </w:t>
      </w:r>
      <w:r>
        <w:rPr>
          <w:b/>
          <w:bCs/>
        </w:rPr>
        <w:t xml:space="preserve">technique de peinture</w:t>
      </w:r>
      <w:r>
        <w:t xml:space="preserve"> (esquisse rouge, correction noire) : Laboury, Keller.</w:t>
      </w:r>
    </w:p>
    <w:p>
      <w:pPr>
        <w:pStyle w:val="ListParagraph"/>
        <w:numPr>
          <w:ilvl w:val="0"/>
          <w:numId w:val="3"/>
        </w:numPr>
        <w:spacing w:after="60" w:line="264"/>
      </w:pPr>
      <w:r>
        <w:t xml:space="preserve">Confirmer </w:t>
      </w:r>
      <w:r>
        <w:rPr>
          <w:b/>
          <w:bCs/>
        </w:rPr>
        <w:t xml:space="preserve">Livre des Morts 126</w:t>
      </w:r>
      <w:r>
        <w:t xml:space="preserve"> dans l'antichambre I.</w:t>
      </w:r>
    </w:p>
    <w:p>
      <w:pPr>
        <w:pStyle w:val="ListParagraph"/>
        <w:numPr>
          <w:ilvl w:val="0"/>
          <w:numId w:val="3"/>
        </w:numPr>
        <w:spacing w:after="60" w:line="264"/>
      </w:pPr>
      <w:r>
        <w:t xml:space="preserve">Décider du </w:t>
      </w:r>
      <w:r>
        <w:rPr>
          <w:b/>
          <w:bCs/>
        </w:rPr>
        <w:t xml:space="preserve">système de lettres</w:t>
      </w:r>
      <w:r>
        <w:t xml:space="preserve"> affiché au lecteur pour le Livre de la Terre (recommandé : Piankoff, qui est le standard).</w:t>
      </w:r>
    </w:p>
    <w:p>
      <w:pPr>
        <w:pStyle w:val="ListParagraph"/>
        <w:numPr>
          <w:ilvl w:val="0"/>
          <w:numId w:val="3"/>
        </w:numPr>
        <w:spacing w:after="60" w:line="264"/>
      </w:pPr>
      <w:r>
        <w:t xml:space="preserve">Noms des lions d'Aker « hier / demain » (C).</w:t>
      </w:r>
    </w:p>
    <w:p>
      <w:pPr>
        <w:pStyle w:val="ListParagraph"/>
        <w:numPr>
          <w:ilvl w:val="0"/>
          <w:numId w:val="3"/>
        </w:numPr>
        <w:spacing w:after="60" w:line="264"/>
      </w:pPr>
      <w:r>
        <w:rPr>
          <w:b/>
          <w:bCs/>
        </w:rPr>
        <w:t xml:space="preserve">Avis juridique</w:t>
      </w:r>
      <w:r>
        <w:t xml:space="preserve"> sur la loi égyptienne 117/1983 (art. 146-147 du règlement) pour un livre vendu.</w:t>
      </w:r>
    </w:p>
    <w:p>
      <w:pPr>
        <w:pStyle w:val="ListParagraph"/>
        <w:numPr>
          <w:ilvl w:val="0"/>
          <w:numId w:val="3"/>
        </w:numPr>
        <w:spacing w:after="60" w:line="264"/>
      </w:pPr>
      <w:r>
        <w:t xml:space="preserve">Déclaration </w:t>
      </w:r>
      <w:r>
        <w:rPr>
          <w:b/>
          <w:bCs/>
        </w:rPr>
        <w:t xml:space="preserve">IA</w:t>
      </w:r>
      <w:r>
        <w:t xml:space="preserve"> sur KDP si les illustrations sont générées.</w:t>
      </w:r>
    </w:p>
    <w:p>
      <w:pPr>
        <w:pStyle w:val="ListParagraph"/>
        <w:numPr>
          <w:ilvl w:val="0"/>
          <w:numId w:val="3"/>
        </w:numPr>
        <w:spacing w:after="60" w:line="264"/>
      </w:pPr>
      <w:r>
        <w:t xml:space="preserve">Recontrôler prix, horaires et règles de photographie sur le site officiel juste avant publication.</w:t>
      </w:r>
    </w:p>
    <w:p>
      <w:pPr>
        <w:pStyle w:val="ListParagraph"/>
        <w:numPr>
          <w:ilvl w:val="0"/>
          <w:numId w:val="3"/>
        </w:numPr>
        <w:spacing w:after="60" w:line="264"/>
      </w:pPr>
      <w:r>
        <w:t xml:space="preserve">Origine et biographie du </w:t>
      </w:r>
      <w:r>
        <w:rPr>
          <w:b/>
          <w:bCs/>
        </w:rPr>
        <w:t xml:space="preserve">Dr Kerbu</w:t>
      </w:r>
      <w:r>
        <w:t xml:space="preserve"> : à définir par l'auteur.</w:t>
      </w:r>
    </w:p>
    <w:p>
      <w:pPr>
        <w:spacing w:after="60"/>
      </w:pPr>
    </w:p>
    <w:p>
      <w:r>
        <w:br w:type="page"/>
      </w:r>
    </w:p>
    <w:p>
      <w:pPr>
        <w:pStyle w:val="Heading1"/>
      </w:pPr>
      <w:r>
        <w:t xml:space="preserve">Bible · 1 — Référence historique : le tombeau KV9</w:t>
      </w:r>
    </w:p>
    <w:p>
      <w:pPr>
        <w:spacing w:after="120" w:line="276"/>
      </w:pPr>
      <w:r>
        <w:t xml:space="preserve">Recherche du 26/10/2026. Statuts : </w:t>
      </w:r>
      <w:r>
        <w:rPr>
          <w:b/>
          <w:bCs/>
        </w:rPr>
        <w:t xml:space="preserve">V</w:t>
      </w:r>
      <w:r>
        <w:t xml:space="preserve"> = vérifié dans la source citée · </w:t>
      </w:r>
      <w:r>
        <w:rPr>
          <w:b/>
          <w:bCs/>
        </w:rPr>
        <w:t xml:space="preserve">C</w:t>
      </w:r>
      <w:r>
        <w:t xml:space="preserve"> = sources en désaccord · </w:t>
      </w:r>
      <w:r>
        <w:rPr>
          <w:b/>
          <w:bCs/>
        </w:rPr>
        <w:t xml:space="preserve">N</w:t>
      </w:r>
      <w:r>
        <w:t xml:space="preserve"> = non vérifié. Les codes de source (</w:t>
      </w:r>
      <w:r>
        <w:rPr>
          <w:rFonts w:ascii="Consolas" w:cs="Consolas" w:eastAsia="Consolas" w:hAnsi="Consolas"/>
          <w:color w:val="A0522D"/>
          <w:sz w:val="19"/>
          <w:szCs w:val="19"/>
        </w:rPr>
        <w:t xml:space="preserve">[TMP]</w:t>
      </w:r>
      <w:r>
        <w:t xml:space="preserve">, </w:t>
      </w:r>
      <w:r>
        <w:rPr>
          <w:rFonts w:ascii="Consolas" w:cs="Consolas" w:eastAsia="Consolas" w:hAnsi="Consolas"/>
          <w:color w:val="A0522D"/>
          <w:sz w:val="19"/>
          <w:szCs w:val="19"/>
        </w:rPr>
        <w:t xml:space="preserve">[ARCE]</w:t>
      </w:r>
      <w:r>
        <w:t xml:space="preserve">…) renvoient à « 07_bibliographie.md ».</w:t>
      </w:r>
    </w:p>
    <w:p>
      <w:pPr>
        <w:pBdr>
          <w:left w:val="single" w:color="B8860B" w:sz="18" w:space="8"/>
        </w:pBdr>
        <w:shd w:fill="FBF6EC" w:color="auto" w:val="clear"/>
        <w:spacing w:after="140" w:before="60" w:line="264"/>
        <w:ind w:left="340" w:right="200"/>
      </w:pPr>
      <w:r>
        <w:rPr>
          <w:b/>
          <w:bCs/>
          <w:sz w:val="21"/>
          <w:szCs w:val="21"/>
        </w:rPr>
        <w:t xml:space="preserve">Convention adoptée pour toute la série</w:t>
      </w:r>
      <w:r>
        <w:rPr>
          <w:sz w:val="21"/>
          <w:szCs w:val="21"/>
        </w:rPr>
        <w:t xml:space="preserve"> : lettres des salles du </w:t>
      </w:r>
      <w:r>
        <w:rPr>
          <w:b/>
          <w:bCs/>
          <w:sz w:val="21"/>
          <w:szCs w:val="21"/>
        </w:rPr>
        <w:t xml:space="preserve">Theban Mapping Project</w:t>
      </w:r>
      <w:r>
        <w:rPr>
          <w:sz w:val="21"/>
          <w:szCs w:val="21"/>
        </w:rPr>
        <w:t xml:space="preserve"> (TMP). D'autres systèmes existent (Porter &amp; Moss, Piankoff : la salle à piliers F y est appelée « salle E », l'antichambre I « salle H »). Ne jamais mélanger les systèmes dans une même bulle.</w:t>
      </w:r>
    </w:p>
    <w:p>
      <w:pPr>
        <w:pStyle w:val="Heading2"/>
      </w:pPr>
      <w:r>
        <w:t xml:space="preserve">1. Propriétaires et chantier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7"/>
        <w:gridCol w:w="1668"/>
        <w:gridCol w:w="3353"/>
      </w:tblGrid>
      <w:tr>
        <w:trPr>
          <w:cantSplit/>
          <w:tblHeader/>
        </w:trPr>
        <w:tc>
          <w:tcPr>
            <w:tcW w:type="dxa" w:w="461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166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3353"/>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461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Creusé pour </w:t>
            </w:r>
            <w:r>
              <w:rPr>
                <w:b/>
                <w:bCs/>
                <w:sz w:val="18"/>
                <w:szCs w:val="18"/>
              </w:rPr>
              <w:t xml:space="preserve">Ramsès V</w:t>
            </w:r>
            <w:r>
              <w:rPr>
                <w:sz w:val="18"/>
                <w:szCs w:val="18"/>
              </w:rPr>
              <w:t xml:space="preserve"> de l'entrée jusqu'à la salle </w:t>
            </w:r>
            <w:r>
              <w:rPr>
                <w:b/>
                <w:bCs/>
                <w:sz w:val="18"/>
                <w:szCs w:val="18"/>
              </w:rPr>
              <w:t xml:space="preserve">E</w:t>
            </w:r>
            <w:r>
              <w:rPr>
                <w:sz w:val="18"/>
                <w:szCs w:val="18"/>
              </w:rPr>
              <w:t xml:space="preserve"> ; </w:t>
            </w:r>
            <w:r>
              <w:rPr>
                <w:b/>
                <w:bCs/>
                <w:sz w:val="18"/>
                <w:szCs w:val="18"/>
              </w:rPr>
              <w:t xml:space="preserve">Ramsès VI</w:t>
            </w:r>
            <w:r>
              <w:rPr>
                <w:sz w:val="18"/>
                <w:szCs w:val="18"/>
              </w:rPr>
              <w:t xml:space="preserve"> (son oncle) l'achève et fait </w:t>
            </w:r>
            <w:r>
              <w:rPr>
                <w:b/>
                <w:bCs/>
                <w:sz w:val="18"/>
                <w:szCs w:val="18"/>
              </w:rPr>
              <w:t xml:space="preserve">regraver les noms</w:t>
            </w:r>
            <w:r>
              <w:rPr>
                <w:sz w:val="18"/>
                <w:szCs w:val="18"/>
              </w:rPr>
              <w:t xml:space="preserve"> sur les montants des portes B à F</w:t>
            </w:r>
          </w:p>
        </w:tc>
        <w:tc>
          <w:tcPr>
            <w:tcW w:type="dxa" w:w="16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335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461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Ramsès V est inhumé tardivement, en l'</w:t>
            </w:r>
            <w:r>
              <w:rPr>
                <w:b/>
                <w:bCs/>
                <w:sz w:val="18"/>
                <w:szCs w:val="18"/>
              </w:rPr>
              <w:t xml:space="preserve">an 2 de Ramsès VI</w:t>
            </w:r>
            <w:r>
              <w:rPr>
                <w:sz w:val="18"/>
                <w:szCs w:val="18"/>
              </w:rPr>
              <w:t xml:space="preserve"> (ostracon)</w:t>
            </w:r>
          </w:p>
        </w:tc>
        <w:tc>
          <w:tcPr>
            <w:tcW w:type="dxa" w:w="16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(secondaire)</w:t>
            </w:r>
          </w:p>
        </w:tc>
        <w:tc>
          <w:tcPr>
            <w:tcW w:type="dxa" w:w="335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[WIKI-R5], [WIKI-R6] citant Peden 1994</w:t>
            </w:r>
          </w:p>
        </w:tc>
      </w:tr>
      <w:tr>
        <w:trPr>
          <w:cantSplit/>
          <w:tblHeader w:val="false"/>
        </w:trPr>
        <w:tc>
          <w:tcPr>
            <w:tcW w:type="dxa" w:w="461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Où</w:t>
            </w:r>
            <w:r>
              <w:rPr>
                <w:sz w:val="18"/>
                <w:szCs w:val="18"/>
              </w:rPr>
              <w:t xml:space="preserve"> Ramsès V a été inhumé : dans KV9 ? dans une tombe non identifiée ?</w:t>
            </w:r>
          </w:p>
        </w:tc>
        <w:tc>
          <w:tcPr>
            <w:tcW w:type="dxa" w:w="16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C</w:t>
            </w:r>
          </w:p>
        </w:tc>
        <w:tc>
          <w:tcPr>
            <w:tcW w:type="dxa" w:w="335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 [BM] : « on ne sait pas » ; Peden 2001 (</w:t>
            </w:r>
            <w:r>
              <w:rPr>
                <w:i/>
                <w:iCs/>
                <w:sz w:val="18"/>
                <w:szCs w:val="18"/>
              </w:rPr>
              <w:t xml:space="preserve">GM</w:t>
            </w:r>
            <w:r>
              <w:rPr>
                <w:sz w:val="18"/>
                <w:szCs w:val="18"/>
              </w:rPr>
              <w:t xml:space="preserve"> 181) via [WIKI-R6]</w:t>
            </w:r>
          </w:p>
        </w:tc>
      </w:tr>
      <w:tr>
        <w:trPr>
          <w:cantSplit/>
          <w:tblHeader w:val="false"/>
        </w:trPr>
        <w:tc>
          <w:tcPr>
            <w:tcW w:type="dxa" w:w="461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Papyrus Turin 2044 : arrêt du travail en l'an 1 (de Ramsès V) par peur de « l'ennemi » (Libyens présumés) ; P. Turin 1923 : reprise en l'an 2 de Ramsès VI</w:t>
            </w:r>
          </w:p>
        </w:tc>
        <w:tc>
          <w:tcPr>
            <w:tcW w:type="dxa" w:w="16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(secondaire)</w:t>
            </w:r>
          </w:p>
        </w:tc>
        <w:tc>
          <w:tcPr>
            <w:tcW w:type="dxa" w:w="335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[WIKI-R5]/[WIKI-R6] citant Peden 1994</w:t>
            </w:r>
          </w:p>
        </w:tc>
      </w:tr>
      <w:tr>
        <w:trPr>
          <w:cantSplit/>
          <w:tblHeader w:val="false"/>
        </w:trPr>
        <w:tc>
          <w:tcPr>
            <w:tcW w:type="dxa" w:w="461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Équipe réduite de </w:t>
            </w:r>
            <w:r>
              <w:rPr>
                <w:b/>
                <w:bCs/>
                <w:sz w:val="18"/>
                <w:szCs w:val="18"/>
              </w:rPr>
              <w:t xml:space="preserve">120 à 60 ouvriers</w:t>
            </w:r>
            <w:r>
              <w:rPr>
                <w:sz w:val="18"/>
                <w:szCs w:val="18"/>
              </w:rPr>
              <w:t xml:space="preserve"> sous Ramsès VI (O. Berlin P. 12654)</w:t>
            </w:r>
          </w:p>
        </w:tc>
        <w:tc>
          <w:tcPr>
            <w:tcW w:type="dxa" w:w="16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(secondaire)</w:t>
            </w:r>
          </w:p>
        </w:tc>
        <w:tc>
          <w:tcPr>
            <w:tcW w:type="dxa" w:w="335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[WIKI-R6] citant Černý 1975 ; [NMEC]</w:t>
            </w:r>
          </w:p>
        </w:tc>
      </w:tr>
      <w:tr>
        <w:trPr>
          <w:cantSplit/>
          <w:tblHeader w:val="false"/>
        </w:trPr>
        <w:tc>
          <w:tcPr>
            <w:tcW w:type="dxa" w:w="461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An 6 : le grand prêtre d'Amon Ramsèsnakht reçoit 600 deben d'outils de cuivre — ce qui suggère la fin du chantier</w:t>
            </w:r>
          </w:p>
        </w:tc>
        <w:tc>
          <w:tcPr>
            <w:tcW w:type="dxa" w:w="16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(secondaire)</w:t>
            </w:r>
          </w:p>
        </w:tc>
        <w:tc>
          <w:tcPr>
            <w:tcW w:type="dxa" w:w="335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[WIKI-R6] citant Amer 1985</w:t>
            </w:r>
          </w:p>
        </w:tc>
      </w:tr>
      <w:tr>
        <w:trPr>
          <w:cantSplit/>
          <w:tblHeader w:val="false"/>
        </w:trPr>
        <w:tc>
          <w:tcPr>
            <w:tcW w:type="dxa" w:w="461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Les ouvriers ont </w:t>
            </w:r>
            <w:r>
              <w:rPr>
                <w:b/>
                <w:bCs/>
                <w:sz w:val="18"/>
                <w:szCs w:val="18"/>
              </w:rPr>
              <w:t xml:space="preserve">percé la salle arrière de KV12</w:t>
            </w:r>
            <w:r>
              <w:rPr>
                <w:sz w:val="18"/>
                <w:szCs w:val="18"/>
              </w:rPr>
              <w:t xml:space="preserve"> en creusant les corridors inférieurs ; on a alors abaissé sols et plafonds de H, de la porte I et de la salle I ; brèche rebouchée au sud du linteau de la porte I</w:t>
            </w:r>
          </w:p>
        </w:tc>
        <w:tc>
          <w:tcPr>
            <w:tcW w:type="dxa" w:w="16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335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461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Linteau de la porte I : disque solaire, ennemis ligotés menacés par des serpents — lu comme une protection contre la brèche ; attribution de cette lecture (Hornung ou Abitz)</w:t>
            </w:r>
          </w:p>
        </w:tc>
        <w:tc>
          <w:tcPr>
            <w:tcW w:type="dxa" w:w="16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 </w:t>
            </w:r>
            <w:r>
              <w:rPr>
                <w:b/>
                <w:bCs/>
                <w:sz w:val="18"/>
                <w:szCs w:val="18"/>
              </w:rPr>
              <w:t xml:space="preserve">C</w:t>
            </w:r>
          </w:p>
        </w:tc>
        <w:tc>
          <w:tcPr>
            <w:tcW w:type="dxa" w:w="335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[TMP] (se contredit sur l'auteur)</w:t>
            </w:r>
          </w:p>
        </w:tc>
      </w:tr>
      <w:tr>
        <w:trPr>
          <w:cantSplit/>
          <w:tblHeader w:val="false"/>
        </w:trPr>
        <w:tc>
          <w:tcPr>
            <w:tcW w:type="dxa" w:w="461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Les huttes des ouvriers de KV9 recouvraient l'entrée de </w:t>
            </w:r>
            <w:r>
              <w:rPr>
                <w:b/>
                <w:bCs/>
                <w:sz w:val="18"/>
                <w:szCs w:val="18"/>
              </w:rPr>
              <w:t xml:space="preserve">KV62 (Toutânkhamon)</w:t>
            </w:r>
            <w:r>
              <w:rPr>
                <w:sz w:val="18"/>
                <w:szCs w:val="18"/>
              </w:rPr>
              <w:t xml:space="preserve"> ; Carter trouve la première marche en dégageant la première hutte, le </w:t>
            </w:r>
            <w:r>
              <w:rPr>
                <w:b/>
                <w:bCs/>
                <w:sz w:val="18"/>
                <w:szCs w:val="18"/>
              </w:rPr>
              <w:t xml:space="preserve">4 novembre 1922</w:t>
            </w:r>
          </w:p>
        </w:tc>
        <w:tc>
          <w:tcPr>
            <w:tcW w:type="dxa" w:w="16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335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Notes de Carter c. 1924 [GRIFFITH] ; [SMITH] (qui date les huttes de la XIXᵉ dyn. : </w:t>
            </w:r>
            <w:r>
              <w:rPr>
                <w:b/>
                <w:bCs/>
                <w:sz w:val="18"/>
                <w:szCs w:val="18"/>
              </w:rPr>
              <w:t xml:space="preserve">C</w:t>
            </w:r>
            <w:r>
              <w:rPr>
                <w:sz w:val="18"/>
                <w:szCs w:val="18"/>
              </w:rPr>
              <w:t xml:space="preserve">)</w:t>
            </w:r>
          </w:p>
        </w:tc>
      </w:tr>
    </w:tbl>
    <w:p>
      <w:pPr>
        <w:spacing w:after="120"/>
      </w:pPr>
    </w:p>
    <w:p>
      <w:pPr>
        <w:pStyle w:val="Heading2"/>
      </w:pPr>
      <w:r>
        <w:t xml:space="preserve">2. Architecture (TMP)</w:t>
      </w:r>
    </w:p>
    <w:p>
      <w:pPr>
        <w:spacing w:after="120" w:line="276"/>
      </w:pPr>
      <w:r>
        <w:t xml:space="preserve">Axe </w:t>
      </w:r>
      <w:r>
        <w:rPr>
          <w:b/>
          <w:bCs/>
        </w:rPr>
        <w:t xml:space="preserve">rectiligne</w:t>
      </w:r>
      <w:r>
        <w:t xml:space="preserve">, orienté env. 290° (vers l'ouest, dans la montagne). Longueur totale : </w:t>
      </w:r>
      <w:r>
        <w:rPr>
          <w:b/>
          <w:bCs/>
        </w:rPr>
        <w:t xml:space="preserve">non publiée dans les sources ouvertes</w:t>
      </w:r>
      <w:r>
        <w:t xml:space="preserve"> (somme des longueurs TMP ≈ 117 m, calcul personnel → écrire « plus de cent mètres », formule de [SIP]).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6"/>
        <w:gridCol w:w="2740"/>
        <w:gridCol w:w="5692"/>
      </w:tblGrid>
      <w:tr>
        <w:trPr>
          <w:cantSplit/>
          <w:tblHeader/>
        </w:trPr>
        <w:tc>
          <w:tcPr>
            <w:tcW w:type="dxa" w:w="120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Salle</w:t>
            </w:r>
          </w:p>
        </w:tc>
        <w:tc>
          <w:tcPr>
            <w:tcW w:type="dxa" w:w="274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Description</w:t>
            </w:r>
          </w:p>
        </w:tc>
        <w:tc>
          <w:tcPr>
            <w:tcW w:type="dxa" w:w="569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Décor principal</w:t>
            </w:r>
          </w:p>
        </w:tc>
      </w:tr>
      <w:tr>
        <w:trPr>
          <w:cantSplit/>
          <w:tblHeader w:val="false"/>
        </w:trPr>
        <w:tc>
          <w:tcPr>
            <w:tcW w:type="dxa" w:w="1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A</w:t>
            </w:r>
          </w:p>
        </w:tc>
        <w:tc>
          <w:tcPr>
            <w:tcW w:type="dxa" w:w="274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Entrée</w:t>
            </w:r>
          </w:p>
        </w:tc>
        <w:tc>
          <w:tcPr>
            <w:tcW w:type="dxa" w:w="56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t>
            </w:r>
          </w:p>
        </w:tc>
      </w:tr>
      <w:tr>
        <w:trPr>
          <w:cantSplit/>
          <w:tblHeader w:val="false"/>
        </w:trPr>
        <w:tc>
          <w:tcPr>
            <w:tcW w:type="dxa" w:w="120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Porte B</w:t>
            </w:r>
          </w:p>
        </w:tc>
        <w:tc>
          <w:tcPr>
            <w:tcW w:type="dxa" w:w="274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Disque solaire avec scarabée et dieu à tête de bélier, entre Isis et Nephthys ; noms de Ramsès V regravés en Ramsès VI</w:t>
            </w:r>
          </w:p>
        </w:tc>
        <w:tc>
          <w:tcPr>
            <w:tcW w:type="dxa" w:w="56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[TMP]</w:t>
            </w:r>
          </w:p>
        </w:tc>
      </w:tr>
      <w:tr>
        <w:trPr>
          <w:cantSplit/>
          <w:tblHeader w:val="false"/>
        </w:trPr>
        <w:tc>
          <w:tcPr>
            <w:tcW w:type="dxa" w:w="1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B</w:t>
            </w:r>
          </w:p>
        </w:tc>
        <w:tc>
          <w:tcPr>
            <w:tcW w:type="dxa" w:w="274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Corridor 1</w:t>
            </w:r>
          </w:p>
        </w:tc>
        <w:tc>
          <w:tcPr>
            <w:tcW w:type="dxa" w:w="56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Sud : le roi (à l'origine Ramsès V) devant Rê-Horakhty et Osiris, puis </w:t>
            </w:r>
            <w:r>
              <w:rPr>
                <w:b/>
                <w:bCs/>
                <w:sz w:val="18"/>
                <w:szCs w:val="18"/>
              </w:rPr>
              <w:t xml:space="preserve">Livre des Portes</w:t>
            </w:r>
            <w:r>
              <w:rPr>
                <w:sz w:val="18"/>
                <w:szCs w:val="18"/>
              </w:rPr>
              <w:t xml:space="preserve"> div. 1-2 (Piankoff) ; Nord : </w:t>
            </w:r>
            <w:r>
              <w:rPr>
                <w:b/>
                <w:bCs/>
                <w:sz w:val="18"/>
                <w:szCs w:val="18"/>
              </w:rPr>
              <w:t xml:space="preserve">Livre des Cavernes</w:t>
            </w:r>
            <w:r>
              <w:rPr>
                <w:sz w:val="18"/>
                <w:szCs w:val="18"/>
              </w:rPr>
              <w:t xml:space="preserve"> div. 1 ; plafond : constellations circumpolaires et décans</w:t>
            </w:r>
          </w:p>
        </w:tc>
      </w:tr>
      <w:tr>
        <w:trPr>
          <w:cantSplit/>
          <w:tblHeader w:val="false"/>
        </w:trPr>
        <w:tc>
          <w:tcPr>
            <w:tcW w:type="dxa" w:w="120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C</w:t>
            </w:r>
          </w:p>
        </w:tc>
        <w:tc>
          <w:tcPr>
            <w:tcW w:type="dxa" w:w="274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Corridor 2</w:t>
            </w:r>
          </w:p>
        </w:tc>
        <w:tc>
          <w:tcPr>
            <w:tcW w:type="dxa" w:w="56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Sud : Portes div. 3-5, dont la </w:t>
            </w:r>
            <w:r>
              <w:rPr>
                <w:b/>
                <w:bCs/>
                <w:sz w:val="18"/>
                <w:szCs w:val="18"/>
              </w:rPr>
              <w:t xml:space="preserve">salle du jugement d'Osiris</w:t>
            </w:r>
            <w:r>
              <w:rPr>
                <w:sz w:val="18"/>
                <w:szCs w:val="18"/>
              </w:rPr>
              <w:t xml:space="preserve"> (5ᵉ porte) ; Nord : Cavernes div. 2-début 3 ; plafond astronomique</w:t>
            </w:r>
          </w:p>
        </w:tc>
      </w:tr>
      <w:tr>
        <w:trPr>
          <w:cantSplit/>
          <w:tblHeader w:val="false"/>
        </w:trPr>
        <w:tc>
          <w:tcPr>
            <w:tcW w:type="dxa" w:w="1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D</w:t>
            </w:r>
          </w:p>
        </w:tc>
        <w:tc>
          <w:tcPr>
            <w:tcW w:type="dxa" w:w="274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Corridor 3</w:t>
            </w:r>
          </w:p>
        </w:tc>
        <w:tc>
          <w:tcPr>
            <w:tcW w:type="dxa" w:w="56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Sud : Portes div. 6-7 ; niche sud : extraits du </w:t>
            </w:r>
            <w:r>
              <w:rPr>
                <w:b/>
                <w:bCs/>
                <w:sz w:val="18"/>
                <w:szCs w:val="18"/>
              </w:rPr>
              <w:t xml:space="preserve">Livre de la Vache céleste</w:t>
            </w:r>
            <w:r>
              <w:rPr>
                <w:sz w:val="18"/>
                <w:szCs w:val="18"/>
              </w:rPr>
              <w:t xml:space="preserve"> ; Nord : Cavernes div. 3-4-début 5 ; plafond : jambes de Nout sur le début du Livre du Jour et la fin du Livre de la Nuit</w:t>
            </w:r>
          </w:p>
        </w:tc>
      </w:tr>
      <w:tr>
        <w:trPr>
          <w:cantSplit/>
          <w:tblHeader w:val="false"/>
        </w:trPr>
        <w:tc>
          <w:tcPr>
            <w:tcW w:type="dxa" w:w="120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E</w:t>
            </w:r>
          </w:p>
        </w:tc>
        <w:tc>
          <w:tcPr>
            <w:tcW w:type="dxa" w:w="274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Salle (inachevée, pas de puits) — </w:t>
            </w:r>
            <w:r>
              <w:rPr>
                <w:b/>
                <w:bCs/>
                <w:sz w:val="18"/>
                <w:szCs w:val="18"/>
              </w:rPr>
              <w:t xml:space="preserve">fin du chantier de Ramsès V</w:t>
            </w:r>
          </w:p>
        </w:tc>
        <w:tc>
          <w:tcPr>
            <w:tcW w:type="dxa" w:w="56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Portes div. 8-9 ; Cavernes div. 5 ; plafond : Jour et Nuit</w:t>
            </w:r>
          </w:p>
        </w:tc>
      </w:tr>
      <w:tr>
        <w:trPr>
          <w:cantSplit/>
          <w:tblHeader w:val="false"/>
        </w:trPr>
        <w:tc>
          <w:tcPr>
            <w:tcW w:type="dxa" w:w="1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F</w:t>
            </w:r>
          </w:p>
        </w:tc>
        <w:tc>
          <w:tcPr>
            <w:tcW w:type="dxa" w:w="274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Salle à 4 piliers (8,44 × 7,22 m) avec descente centrale</w:t>
            </w:r>
          </w:p>
        </w:tc>
        <w:tc>
          <w:tcPr>
            <w:tcW w:type="dxa" w:w="56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Sud : Portes div. 10-12 et scène finale ; Nord + pilier 4 : Cavernes div. 6 ; Ouest : le roi encense et libe devant Osiris ; piliers : le roi avec Khonsou, Amon-Rê, Meretseger, Ptah-Sokar-Osiris, Rê-Horakhty, Ptah, Thot ; plafond : tête et bras de Nout, horloges stellaires et décans sur les côtés</w:t>
            </w:r>
          </w:p>
        </w:tc>
      </w:tr>
      <w:tr>
        <w:trPr>
          <w:cantSplit/>
          <w:tblHeader w:val="false"/>
        </w:trPr>
        <w:tc>
          <w:tcPr>
            <w:tcW w:type="dxa" w:w="120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Descente F</w:t>
            </w:r>
          </w:p>
        </w:tc>
        <w:tc>
          <w:tcPr>
            <w:tcW w:type="dxa" w:w="274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c>
          <w:tcPr>
            <w:tcW w:type="dxa" w:w="56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Nekhbet (cobra ailé), </w:t>
            </w:r>
            <w:r>
              <w:rPr>
                <w:b/>
                <w:bCs/>
                <w:sz w:val="18"/>
                <w:szCs w:val="18"/>
              </w:rPr>
              <w:t xml:space="preserve">Amdouat</w:t>
            </w:r>
            <w:r>
              <w:rPr>
                <w:sz w:val="18"/>
                <w:szCs w:val="18"/>
              </w:rPr>
              <w:t xml:space="preserve"> heure 1, Neith ; Meretseger, Amdouat heure 6, Serket ; trois vautours</w:t>
            </w:r>
          </w:p>
        </w:tc>
      </w:tr>
      <w:tr>
        <w:trPr>
          <w:cantSplit/>
          <w:tblHeader w:val="false"/>
        </w:trPr>
        <w:tc>
          <w:tcPr>
            <w:tcW w:type="dxa" w:w="1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G</w:t>
            </w:r>
          </w:p>
        </w:tc>
        <w:tc>
          <w:tcPr>
            <w:tcW w:type="dxa" w:w="274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Corridor</w:t>
            </w:r>
          </w:p>
        </w:tc>
        <w:tc>
          <w:tcPr>
            <w:tcW w:type="dxa" w:w="56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Sud : Amdouat 1-3 ; Nord : Amdouat 6-8 ; plafond : barques solaires, momies sur lits ; deux trous de poutre (peut-être pour descendre le sarcophage)</w:t>
            </w:r>
          </w:p>
        </w:tc>
      </w:tr>
      <w:tr>
        <w:trPr>
          <w:cantSplit/>
          <w:tblHeader w:val="false"/>
        </w:trPr>
        <w:tc>
          <w:tcPr>
            <w:tcW w:type="dxa" w:w="120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H</w:t>
            </w:r>
          </w:p>
        </w:tc>
        <w:tc>
          <w:tcPr>
            <w:tcW w:type="dxa" w:w="274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Corridor</w:t>
            </w:r>
          </w:p>
        </w:tc>
        <w:tc>
          <w:tcPr>
            <w:tcW w:type="dxa" w:w="56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Sud : Amdouat 4-5 ; Nord : Amdouat 8-11 ; plafond : </w:t>
            </w:r>
            <w:r>
              <w:rPr>
                <w:b/>
                <w:bCs/>
                <w:sz w:val="18"/>
                <w:szCs w:val="18"/>
              </w:rPr>
              <w:t xml:space="preserve">scènes cryptographiques</w:t>
            </w:r>
          </w:p>
        </w:tc>
      </w:tr>
      <w:tr>
        <w:trPr>
          <w:cantSplit/>
          <w:tblHeader w:val="false"/>
        </w:trPr>
        <w:tc>
          <w:tcPr>
            <w:tcW w:type="dxa" w:w="1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I</w:t>
            </w:r>
          </w:p>
        </w:tc>
        <w:tc>
          <w:tcPr>
            <w:tcW w:type="dxa" w:w="274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Antichambre</w:t>
            </w:r>
          </w:p>
        </w:tc>
        <w:tc>
          <w:tcPr>
            <w:tcW w:type="dxa" w:w="56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Livre des Morts</w:t>
            </w:r>
            <w:r>
              <w:rPr>
                <w:sz w:val="18"/>
                <w:szCs w:val="18"/>
              </w:rPr>
              <w:t xml:space="preserve"> 124, 125, 127, 129 (126 : </w:t>
            </w:r>
            <w:r>
              <w:rPr>
                <w:b/>
                <w:bCs/>
                <w:sz w:val="18"/>
                <w:szCs w:val="18"/>
              </w:rPr>
              <w:t xml:space="preserve">N</w:t>
            </w:r>
            <w:r>
              <w:rPr>
                <w:sz w:val="18"/>
                <w:szCs w:val="18"/>
              </w:rPr>
              <w:t xml:space="preserve">, seulement Wikipédia) ; le roi devant Heka, adoration de Maât, hymne à Maât, le roi devant deux bassins avec babouins (« lacs de feu ») ; plafond : résurrection d'Osiris (cryptographique)</w:t>
            </w:r>
          </w:p>
        </w:tc>
      </w:tr>
      <w:tr>
        <w:trPr>
          <w:cantSplit/>
          <w:tblHeader w:val="false"/>
        </w:trPr>
        <w:tc>
          <w:tcPr>
            <w:tcW w:type="dxa" w:w="120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J</w:t>
            </w:r>
          </w:p>
        </w:tc>
        <w:tc>
          <w:tcPr>
            <w:tcW w:type="dxa" w:w="274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Chambre funéraire</w:t>
            </w:r>
            <w:r>
              <w:rPr>
                <w:sz w:val="18"/>
                <w:szCs w:val="18"/>
              </w:rPr>
              <w:t xml:space="preserve"> voûtée, 4 piliers à l'avant (1ᵉʳ et 4ᵉ jamais dégagés), plus petite que prévu</w:t>
            </w:r>
          </w:p>
        </w:tc>
        <w:tc>
          <w:tcPr>
            <w:tcW w:type="dxa" w:w="56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Livre de la Terre</w:t>
            </w:r>
            <w:r>
              <w:rPr>
                <w:sz w:val="18"/>
                <w:szCs w:val="18"/>
              </w:rPr>
              <w:t xml:space="preserve"> : partie A paroi nord, B-C paroi ouest, D paroi sud, E pilastre ouest ; ennemis ligotés sur toutes les parois ; voûte : </w:t>
            </w:r>
            <w:r>
              <w:rPr>
                <w:b/>
                <w:bCs/>
                <w:sz w:val="18"/>
                <w:szCs w:val="18"/>
              </w:rPr>
              <w:t xml:space="preserve">deux Nout dos à dos</w:t>
            </w:r>
            <w:r>
              <w:rPr>
                <w:sz w:val="18"/>
                <w:szCs w:val="18"/>
              </w:rPr>
              <w:t xml:space="preserve"> encadrant les Livres du Jour et de la Nuit ; piliers : le roi avec Maât, Ptah-Sokar, Anubis, Meretseger, Osiris, Ptah</w:t>
            </w:r>
          </w:p>
        </w:tc>
      </w:tr>
      <w:tr>
        <w:trPr>
          <w:cantSplit/>
          <w:tblHeader w:val="false"/>
        </w:trPr>
        <w:tc>
          <w:tcPr>
            <w:tcW w:type="dxa" w:w="1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K</w:t>
            </w:r>
          </w:p>
        </w:tc>
        <w:tc>
          <w:tcPr>
            <w:tcW w:type="dxa" w:w="274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Fin de l'axe, jamais achevée</w:t>
            </w:r>
          </w:p>
        </w:tc>
        <w:tc>
          <w:tcPr>
            <w:tcW w:type="dxa" w:w="56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Scène finale du Livre des Portes</w:t>
            </w:r>
            <w:r>
              <w:rPr>
                <w:sz w:val="18"/>
                <w:szCs w:val="18"/>
              </w:rPr>
              <w:t xml:space="preserve"> : Noun soulève la barque de Rê ; le roi agenouillé ; décans en adoration</w:t>
            </w:r>
          </w:p>
        </w:tc>
      </w:tr>
    </w:tbl>
    <w:p>
      <w:pPr>
        <w:spacing w:after="120"/>
      </w:pPr>
    </w:p>
    <w:p>
      <w:pPr>
        <w:spacing w:after="120" w:line="276"/>
      </w:pPr>
      <w:r>
        <w:t xml:space="preserve">Absent de KV9 : </w:t>
      </w:r>
      <w:r>
        <w:rPr>
          <w:b/>
          <w:bCs/>
        </w:rPr>
        <w:t xml:space="preserve">Litanie de Rê</w:t>
      </w:r>
      <w:r>
        <w:t xml:space="preserve"> (V, [TMP-FC]) ; </w:t>
      </w:r>
      <w:r>
        <w:rPr>
          <w:b/>
          <w:bCs/>
        </w:rPr>
        <w:t xml:space="preserve">Livre de Nout</w:t>
      </w:r>
      <w:r>
        <w:t xml:space="preserve"> (V, [TMP-FC] : seulement Osireion et KV2). Hypothèse : programme copié sur l'</w:t>
      </w:r>
      <w:r>
        <w:rPr>
          <w:b/>
          <w:bCs/>
        </w:rPr>
        <w:t xml:space="preserve">Osireion d'Abydos</w:t>
      </w:r>
      <w:r>
        <w:t xml:space="preserve"> (Herzer 2023) — </w:t>
      </w:r>
      <w:r>
        <w:rPr>
          <w:b/>
          <w:bCs/>
        </w:rPr>
        <w:t xml:space="preserve">N</w:t>
      </w:r>
      <w:r>
        <w:t xml:space="preserve"> / thèse isolée, ne pas présenter comme établie.</w:t>
      </w:r>
    </w:p>
    <w:p>
      <w:pPr>
        <w:pStyle w:val="Heading2"/>
      </w:pPr>
      <w:r>
        <w:t xml:space="preserve">3. Sarcophages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8"/>
        <w:gridCol w:w="1116"/>
        <w:gridCol w:w="1384"/>
      </w:tblGrid>
      <w:tr>
        <w:trPr>
          <w:cantSplit/>
          <w:tblHeader/>
        </w:trPr>
        <w:tc>
          <w:tcPr>
            <w:tcW w:type="dxa" w:w="713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111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138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713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Cuve extérieure en </w:t>
            </w:r>
            <w:r>
              <w:rPr>
                <w:b/>
                <w:bCs/>
                <w:sz w:val="18"/>
                <w:szCs w:val="18"/>
              </w:rPr>
              <w:t xml:space="preserve">granit rouge</w:t>
            </w:r>
            <w:r>
              <w:rPr>
                <w:sz w:val="18"/>
                <w:szCs w:val="18"/>
              </w:rPr>
              <w:t xml:space="preserve">, en forme de cartouche, brisée en deux</w:t>
            </w:r>
          </w:p>
        </w:tc>
        <w:tc>
          <w:tcPr>
            <w:tcW w:type="dxa" w:w="111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3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713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Cuve intérieure </w:t>
            </w:r>
            <w:r>
              <w:rPr>
                <w:b/>
                <w:bCs/>
                <w:sz w:val="18"/>
                <w:szCs w:val="18"/>
              </w:rPr>
              <w:t xml:space="preserve">anthropoïde</w:t>
            </w:r>
            <w:r>
              <w:rPr>
                <w:sz w:val="18"/>
                <w:szCs w:val="18"/>
              </w:rPr>
              <w:t xml:space="preserve"> en </w:t>
            </w:r>
            <w:r>
              <w:rPr>
                <w:b/>
                <w:bCs/>
                <w:sz w:val="18"/>
                <w:szCs w:val="18"/>
              </w:rPr>
              <w:t xml:space="preserve">conglomérat vert</w:t>
            </w:r>
            <w:r>
              <w:rPr>
                <w:sz w:val="18"/>
                <w:szCs w:val="18"/>
              </w:rPr>
              <w:t xml:space="preserve">, 2,95 m, fracassée dans l'Antiquité ; surface noircie par les huiles d'onction</w:t>
            </w:r>
          </w:p>
        </w:tc>
        <w:tc>
          <w:tcPr>
            <w:tcW w:type="dxa" w:w="111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3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713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Nombre de fragments : 370 ([ARCE]) ou ~250 ([NBC])</w:t>
            </w:r>
          </w:p>
        </w:tc>
        <w:tc>
          <w:tcPr>
            <w:tcW w:type="dxa" w:w="111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C</w:t>
            </w:r>
          </w:p>
        </w:tc>
        <w:tc>
          <w:tcPr>
            <w:tcW w:type="dxa" w:w="13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r>
      <w:tr>
        <w:trPr>
          <w:cantSplit/>
          <w:tblHeader w:val="false"/>
        </w:trPr>
        <w:tc>
          <w:tcPr>
            <w:tcW w:type="dxa" w:w="713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Visage du couvercle</w:t>
            </w:r>
            <w:r>
              <w:rPr>
                <w:sz w:val="18"/>
                <w:szCs w:val="18"/>
              </w:rPr>
              <w:t xml:space="preserve"> : British Museum </w:t>
            </w:r>
            <w:r>
              <w:rPr>
                <w:b/>
                <w:bCs/>
                <w:sz w:val="18"/>
                <w:szCs w:val="18"/>
              </w:rPr>
              <w:t xml:space="preserve">EA140</w:t>
            </w:r>
            <w:r>
              <w:rPr>
                <w:sz w:val="18"/>
                <w:szCs w:val="18"/>
              </w:rPr>
              <w:t xml:space="preserve">, 98 cm, jusqu'à 600 kg ; prélevé par </w:t>
            </w:r>
            <w:r>
              <w:rPr>
                <w:b/>
                <w:bCs/>
                <w:sz w:val="18"/>
                <w:szCs w:val="18"/>
              </w:rPr>
              <w:t xml:space="preserve">Belzoni</w:t>
            </w:r>
            <w:r>
              <w:rPr>
                <w:sz w:val="18"/>
                <w:szCs w:val="18"/>
              </w:rPr>
              <w:t xml:space="preserve"> pour </w:t>
            </w:r>
            <w:r>
              <w:rPr>
                <w:b/>
                <w:bCs/>
                <w:sz w:val="18"/>
                <w:szCs w:val="18"/>
              </w:rPr>
              <w:t xml:space="preserve">Henry Salt</w:t>
            </w:r>
            <w:r>
              <w:rPr>
                <w:sz w:val="18"/>
                <w:szCs w:val="18"/>
              </w:rPr>
              <w:t xml:space="preserve">, vendu au BM en </w:t>
            </w:r>
            <w:r>
              <w:rPr>
                <w:b/>
                <w:bCs/>
                <w:sz w:val="18"/>
                <w:szCs w:val="18"/>
              </w:rPr>
              <w:t xml:space="preserve">1823</w:t>
            </w:r>
            <w:r>
              <w:rPr>
                <w:sz w:val="18"/>
                <w:szCs w:val="18"/>
              </w:rPr>
              <w:t xml:space="preserve"> ; actuellement prêté au Chimei Museum (Tainan) du 29/01/2026 au 10/01/2027</w:t>
            </w:r>
          </w:p>
        </w:tc>
        <w:tc>
          <w:tcPr>
            <w:tcW w:type="dxa" w:w="111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3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[BM], [ARCE]</w:t>
            </w:r>
          </w:p>
        </w:tc>
      </w:tr>
      <w:tr>
        <w:trPr>
          <w:cantSplit/>
          <w:tblHeader w:val="false"/>
        </w:trPr>
        <w:tc>
          <w:tcPr>
            <w:tcW w:type="dxa" w:w="713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Restauration dirigée par </w:t>
            </w:r>
            <w:r>
              <w:rPr>
                <w:b/>
                <w:bCs/>
                <w:sz w:val="18"/>
                <w:szCs w:val="18"/>
              </w:rPr>
              <w:t xml:space="preserve">Edwin Brock</w:t>
            </w:r>
            <w:r>
              <w:rPr>
                <w:sz w:val="18"/>
                <w:szCs w:val="18"/>
              </w:rPr>
              <w:t xml:space="preserve"> (ARCE, financement USAID), terrain 2001-2003, réplique du visage en fibre de verre (fournie par le BM) 2002 ; dates du projet 2001-2004 ou 2001-2005</w:t>
            </w:r>
          </w:p>
        </w:tc>
        <w:tc>
          <w:tcPr>
            <w:tcW w:type="dxa" w:w="111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 </w:t>
            </w:r>
            <w:r>
              <w:rPr>
                <w:b/>
                <w:bCs/>
                <w:sz w:val="18"/>
                <w:szCs w:val="18"/>
              </w:rPr>
              <w:t xml:space="preserve">C</w:t>
            </w:r>
            <w:r>
              <w:rPr>
                <w:sz w:val="18"/>
                <w:szCs w:val="18"/>
              </w:rPr>
              <w:t xml:space="preserve"> mineur</w:t>
            </w:r>
          </w:p>
        </w:tc>
        <w:tc>
          <w:tcPr>
            <w:tcW w:type="dxa" w:w="13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[ARCE], [BM]</w:t>
            </w:r>
          </w:p>
        </w:tc>
      </w:tr>
      <w:tr>
        <w:trPr>
          <w:cantSplit/>
          <w:tblHeader w:val="false"/>
        </w:trPr>
        <w:tc>
          <w:tcPr>
            <w:tcW w:type="dxa" w:w="713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 sarcophage restauré est présenté dans la chambre J</w:t>
            </w:r>
          </w:p>
        </w:tc>
        <w:tc>
          <w:tcPr>
            <w:tcW w:type="dxa" w:w="111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3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713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Tombeau rouvert le </w:t>
            </w:r>
            <w:r>
              <w:rPr>
                <w:b/>
                <w:bCs/>
                <w:sz w:val="18"/>
                <w:szCs w:val="18"/>
              </w:rPr>
              <w:t xml:space="preserve">21 mars 2004</w:t>
            </w:r>
            <w:r>
              <w:rPr>
                <w:sz w:val="18"/>
                <w:szCs w:val="18"/>
              </w:rPr>
              <w:t xml:space="preserve"> (Farouk Hosni, Zahi Hawass)</w:t>
            </w:r>
          </w:p>
        </w:tc>
        <w:tc>
          <w:tcPr>
            <w:tcW w:type="dxa" w:w="111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3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[ARCE]</w:t>
            </w:r>
          </w:p>
        </w:tc>
      </w:tr>
    </w:tbl>
    <w:p>
      <w:pPr>
        <w:spacing w:after="120"/>
      </w:pPr>
    </w:p>
    <w:p>
      <w:pPr>
        <w:pStyle w:val="Heading2"/>
      </w:pPr>
      <w:r>
        <w:t xml:space="preserve">4. Pillage et momie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44"/>
        <w:gridCol w:w="1609"/>
        <w:gridCol w:w="2385"/>
      </w:tblGrid>
      <w:tr>
        <w:trPr>
          <w:cantSplit/>
          <w:tblHeader/>
        </w:trPr>
        <w:tc>
          <w:tcPr>
            <w:tcW w:type="dxa" w:w="564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160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238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56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Pillé dans l'Antiquité</w:t>
            </w:r>
          </w:p>
        </w:tc>
        <w:tc>
          <w:tcPr>
            <w:tcW w:type="dxa" w:w="16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238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[BM], [TMP]</w:t>
            </w:r>
          </w:p>
        </w:tc>
      </w:tr>
      <w:tr>
        <w:trPr>
          <w:cantSplit/>
          <w:tblHeader w:val="false"/>
        </w:trPr>
        <w:tc>
          <w:tcPr>
            <w:tcW w:type="dxa" w:w="56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Date du pillage : ~20 ans après l'inhumation (Peden), sous Ramsès XI (Grimal)</w:t>
            </w:r>
          </w:p>
        </w:tc>
        <w:tc>
          <w:tcPr>
            <w:tcW w:type="dxa" w:w="16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C</w:t>
            </w:r>
          </w:p>
        </w:tc>
        <w:tc>
          <w:tcPr>
            <w:tcW w:type="dxa" w:w="238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via [WIKI-R6]</w:t>
            </w:r>
          </w:p>
        </w:tc>
      </w:tr>
      <w:tr>
        <w:trPr>
          <w:cantSplit/>
          <w:tblHeader w:val="false"/>
        </w:trPr>
        <w:tc>
          <w:tcPr>
            <w:tcW w:type="dxa" w:w="56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Papyrus Mayer B : voleurs dans une tombe royale, généralement identifiée à celle de Ramsès VI (identification incertaine)</w:t>
            </w:r>
          </w:p>
        </w:tc>
        <w:tc>
          <w:tcPr>
            <w:tcW w:type="dxa" w:w="16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C</w:t>
            </w:r>
          </w:p>
        </w:tc>
        <w:tc>
          <w:tcPr>
            <w:tcW w:type="dxa" w:w="238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 Vinson 2001 via Wikipédia</w:t>
            </w:r>
          </w:p>
        </w:tc>
      </w:tr>
      <w:tr>
        <w:trPr>
          <w:cantSplit/>
          <w:tblHeader w:val="false"/>
        </w:trPr>
        <w:tc>
          <w:tcPr>
            <w:tcW w:type="dxa" w:w="56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 BM évoque l'interrogatoire de cinq voleurs ayant mis quatre jours à entrer</w:t>
            </w:r>
          </w:p>
        </w:tc>
        <w:tc>
          <w:tcPr>
            <w:tcW w:type="dxa" w:w="16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238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[BM]</w:t>
            </w:r>
          </w:p>
        </w:tc>
      </w:tr>
      <w:tr>
        <w:trPr>
          <w:cantSplit/>
          <w:tblHeader w:val="false"/>
        </w:trPr>
        <w:tc>
          <w:tcPr>
            <w:tcW w:type="dxa" w:w="56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Les papyrus Abbott / Leopold-Amherst </w:t>
            </w:r>
            <w:r>
              <w:rPr>
                <w:b/>
                <w:bCs/>
                <w:sz w:val="18"/>
                <w:szCs w:val="18"/>
              </w:rPr>
              <w:t xml:space="preserve">ne concernent pas KV9</w:t>
            </w:r>
            <w:r>
              <w:rPr>
                <w:sz w:val="18"/>
                <w:szCs w:val="18"/>
              </w:rPr>
              <w:t xml:space="preserve"> (tombes de Dra Abou el-Naga)</w:t>
            </w:r>
          </w:p>
        </w:tc>
        <w:tc>
          <w:tcPr>
            <w:tcW w:type="dxa" w:w="16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238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[WIKI-ABBOTT]</w:t>
            </w:r>
          </w:p>
        </w:tc>
      </w:tr>
      <w:tr>
        <w:trPr>
          <w:cantSplit/>
          <w:tblHeader w:val="false"/>
        </w:trPr>
        <w:tc>
          <w:tcPr>
            <w:tcW w:type="dxa" w:w="56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Momie de Ramsès VI retrouvée dans la cachette </w:t>
            </w:r>
            <w:r>
              <w:rPr>
                <w:b/>
                <w:bCs/>
                <w:sz w:val="18"/>
                <w:szCs w:val="18"/>
              </w:rPr>
              <w:t xml:space="preserve">KV35</w:t>
            </w:r>
            <w:r>
              <w:rPr>
                <w:sz w:val="18"/>
                <w:szCs w:val="18"/>
              </w:rPr>
              <w:t xml:space="preserve"> par </w:t>
            </w:r>
            <w:r>
              <w:rPr>
                <w:b/>
                <w:bCs/>
                <w:sz w:val="18"/>
                <w:szCs w:val="18"/>
              </w:rPr>
              <w:t xml:space="preserve">Victor Loret</w:t>
            </w:r>
            <w:r>
              <w:rPr>
                <w:sz w:val="18"/>
                <w:szCs w:val="18"/>
              </w:rPr>
              <w:t xml:space="preserve"> (découverte de KV35 le </w:t>
            </w:r>
            <w:r>
              <w:rPr>
                <w:b/>
                <w:bCs/>
                <w:sz w:val="18"/>
                <w:szCs w:val="18"/>
              </w:rPr>
              <w:t xml:space="preserve">9 mars 1898</w:t>
            </w:r>
            <w:r>
              <w:rPr>
                <w:sz w:val="18"/>
                <w:szCs w:val="18"/>
              </w:rPr>
              <w:t xml:space="preserve">)</w:t>
            </w:r>
          </w:p>
        </w:tc>
        <w:tc>
          <w:tcPr>
            <w:tcW w:type="dxa" w:w="16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238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[WIKI-KV35], [NMEC]</w:t>
            </w:r>
          </w:p>
        </w:tc>
      </w:tr>
      <w:tr>
        <w:trPr>
          <w:cantSplit/>
          <w:tblHeader w:val="false"/>
        </w:trPr>
        <w:tc>
          <w:tcPr>
            <w:tcW w:type="dxa" w:w="56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Momie brisée par des coups de hache (tête, torse) ; âge au décès env. 40 ans</w:t>
            </w:r>
          </w:p>
        </w:tc>
        <w:tc>
          <w:tcPr>
            <w:tcW w:type="dxa" w:w="16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(secondaire)</w:t>
            </w:r>
          </w:p>
        </w:tc>
        <w:tc>
          <w:tcPr>
            <w:tcW w:type="dxa" w:w="238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Clayton 1994, Hayes, via [WIKI-R6]</w:t>
            </w:r>
          </w:p>
        </w:tc>
      </w:tr>
      <w:tr>
        <w:trPr>
          <w:cantSplit/>
          <w:tblHeader w:val="false"/>
        </w:trPr>
        <w:tc>
          <w:tcPr>
            <w:tcW w:type="dxa" w:w="56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 </w:t>
            </w:r>
            <w:r>
              <w:rPr>
                <w:b/>
                <w:bCs/>
                <w:sz w:val="18"/>
                <w:szCs w:val="18"/>
              </w:rPr>
              <w:t xml:space="preserve">3 avril 2021</w:t>
            </w:r>
            <w:r>
              <w:rPr>
                <w:sz w:val="18"/>
                <w:szCs w:val="18"/>
              </w:rPr>
              <w:t xml:space="preserve">, Parade dorée des pharaons : momies de Ramsès V et VI transférées au </w:t>
            </w:r>
            <w:r>
              <w:rPr>
                <w:b/>
                <w:bCs/>
                <w:sz w:val="18"/>
                <w:szCs w:val="18"/>
              </w:rPr>
              <w:t xml:space="preserve">NMEC</w:t>
            </w:r>
            <w:r>
              <w:rPr>
                <w:sz w:val="18"/>
                <w:szCs w:val="18"/>
              </w:rPr>
              <w:t xml:space="preserve"> (Fustat)</w:t>
            </w:r>
          </w:p>
        </w:tc>
        <w:tc>
          <w:tcPr>
            <w:tcW w:type="dxa" w:w="16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238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[NMEC], [WIKI-PARADE]</w:t>
            </w:r>
          </w:p>
        </w:tc>
      </w:tr>
    </w:tbl>
    <w:p>
      <w:pPr>
        <w:spacing w:after="120"/>
      </w:pPr>
    </w:p>
    <w:p>
      <w:pPr>
        <w:pStyle w:val="Heading2"/>
      </w:pPr>
      <w:r>
        <w:t xml:space="preserve">5. Visiteurs antiques et graffiti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58"/>
        <w:gridCol w:w="2192"/>
        <w:gridCol w:w="1988"/>
      </w:tblGrid>
      <w:tr>
        <w:trPr>
          <w:cantSplit/>
          <w:tblHeader/>
        </w:trPr>
        <w:tc>
          <w:tcPr>
            <w:tcW w:type="dxa" w:w="545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219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198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545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Nombre : 995 (Foertmeyer 1989) · « près d'un millier » (TMP) · « plus de mille » (SIP) · « plusieurs centaines » (PCMA)</w:t>
            </w:r>
          </w:p>
        </w:tc>
        <w:tc>
          <w:tcPr>
            <w:tcW w:type="dxa" w:w="21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C</w:t>
            </w:r>
            <w:r>
              <w:rPr>
                <w:sz w:val="18"/>
                <w:szCs w:val="18"/>
              </w:rPr>
              <w:t xml:space="preserve"> → écrire </w:t>
            </w:r>
            <w:r>
              <w:rPr>
                <w:b/>
                <w:bCs/>
                <w:sz w:val="18"/>
                <w:szCs w:val="18"/>
              </w:rPr>
              <w:t xml:space="preserve">« près d'un millier »</w:t>
            </w:r>
          </w:p>
        </w:tc>
        <w:tc>
          <w:tcPr>
            <w:tcW w:type="dxa" w:w="198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r>
      <w:tr>
        <w:trPr>
          <w:cantSplit/>
          <w:tblHeader w:val="false"/>
        </w:trPr>
        <w:tc>
          <w:tcPr>
            <w:tcW w:type="dxa" w:w="545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Graffiti datés : le plus ancien le </w:t>
            </w:r>
            <w:r>
              <w:rPr>
                <w:b/>
                <w:bCs/>
                <w:sz w:val="18"/>
                <w:szCs w:val="18"/>
              </w:rPr>
              <w:t xml:space="preserve">24 décembre 27 av. J.-C.</w:t>
            </w:r>
            <w:r>
              <w:rPr>
                <w:sz w:val="18"/>
                <w:szCs w:val="18"/>
              </w:rPr>
              <w:t xml:space="preserve"> (corridor B) ; le plus récent en grec daté : </w:t>
            </w:r>
            <w:r>
              <w:rPr>
                <w:b/>
                <w:bCs/>
                <w:sz w:val="18"/>
                <w:szCs w:val="18"/>
              </w:rPr>
              <w:t xml:space="preserve">191 apr. J.-C.</w:t>
            </w:r>
          </w:p>
        </w:tc>
        <w:tc>
          <w:tcPr>
            <w:tcW w:type="dxa" w:w="21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98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545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Langues : grec, latin, démotique, copte, phénicien, anatolien, hiératique</w:t>
            </w:r>
          </w:p>
        </w:tc>
        <w:tc>
          <w:tcPr>
            <w:tcW w:type="dxa" w:w="21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98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w:t>
            </w:r>
          </w:p>
        </w:tc>
      </w:tr>
      <w:tr>
        <w:trPr>
          <w:cantSplit/>
          <w:tblHeader w:val="false"/>
        </w:trPr>
        <w:tc>
          <w:tcPr>
            <w:tcW w:type="dxa" w:w="545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w:t>
            </w:r>
            <w:r>
              <w:rPr>
                <w:b/>
                <w:bCs/>
                <w:sz w:val="18"/>
                <w:szCs w:val="18"/>
              </w:rPr>
              <w:t xml:space="preserve">Tombeau de Memnon</w:t>
            </w:r>
            <w:r>
              <w:rPr>
                <w:sz w:val="18"/>
                <w:szCs w:val="18"/>
              </w:rPr>
              <w:t xml:space="preserve"> » : un nom de Ramsès VI ressemblait à un nom d'Amenhotep III (colosses de Memnon)</w:t>
            </w:r>
          </w:p>
        </w:tc>
        <w:tc>
          <w:tcPr>
            <w:tcW w:type="dxa" w:w="21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98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[SIP] (Łukaszewicz)</w:t>
            </w:r>
          </w:p>
        </w:tc>
      </w:tr>
      <w:tr>
        <w:trPr>
          <w:cantSplit/>
          <w:tblHeader w:val="false"/>
        </w:trPr>
        <w:tc>
          <w:tcPr>
            <w:tcW w:type="dxa" w:w="545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Citations (traductions anglaises journalistiques, sans numéro Baillet) : « Je suis venu et rien ne m'a plu, sauf le sarcophage ! » · « J'ai admiré ! » · « Je ne sais pas lire les hiéroglyphes ! » et la réponse d'un autre visiteur : « Pourquoi t'inquiètes-tu de ne pas savoir lire les hiéroglyphes ? Je ne comprends pas ton souci ! »</w:t>
            </w:r>
          </w:p>
        </w:tc>
        <w:tc>
          <w:tcPr>
            <w:tcW w:type="dxa" w:w="21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(niveau presse)</w:t>
            </w:r>
          </w:p>
        </w:tc>
        <w:tc>
          <w:tcPr>
            <w:tcW w:type="dxa" w:w="198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[SIP]</w:t>
            </w:r>
          </w:p>
        </w:tc>
      </w:tr>
      <w:tr>
        <w:trPr>
          <w:cantSplit/>
          <w:tblHeader w:val="false"/>
        </w:trPr>
        <w:tc>
          <w:tcPr>
            <w:tcW w:type="dxa" w:w="545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Moi, Dadouchios, scholastikos et médecin, je suis venu et j'ai admiré </w:t>
            </w:r>
            <w:r>
              <w:rPr>
                <w:b/>
                <w:bCs/>
                <w:sz w:val="18"/>
                <w:szCs w:val="18"/>
              </w:rPr>
              <w:t xml:space="preserve">en silence</w:t>
            </w:r>
            <w:r>
              <w:rPr>
                <w:sz w:val="18"/>
                <w:szCs w:val="18"/>
              </w:rPr>
              <w:t xml:space="preserve">, portant une torche »</w:t>
            </w:r>
          </w:p>
        </w:tc>
        <w:tc>
          <w:tcPr>
            <w:tcW w:type="dxa" w:w="21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(secondaire)</w:t>
            </w:r>
          </w:p>
        </w:tc>
        <w:tc>
          <w:tcPr>
            <w:tcW w:type="dxa" w:w="198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Wikipédia citant Łukaszewicz 2010 (Brill, p. 257)</w:t>
            </w:r>
          </w:p>
        </w:tc>
      </w:tr>
      <w:tr>
        <w:trPr>
          <w:cantSplit/>
          <w:tblHeader w:val="false"/>
        </w:trPr>
        <w:tc>
          <w:tcPr>
            <w:tcW w:type="dxa" w:w="545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Graffito « Amros », lettres d'env. 25 cm, rapproché d'Amr ibn al-As (VIIᵉ s.) ; prince arménien Chosroès (IVᵉ s.)</w:t>
            </w:r>
          </w:p>
        </w:tc>
        <w:tc>
          <w:tcPr>
            <w:tcW w:type="dxa" w:w="21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(presse) / identification </w:t>
            </w:r>
            <w:r>
              <w:rPr>
                <w:b/>
                <w:bCs/>
                <w:sz w:val="18"/>
                <w:szCs w:val="18"/>
              </w:rPr>
              <w:t xml:space="preserve">C</w:t>
            </w:r>
          </w:p>
        </w:tc>
        <w:tc>
          <w:tcPr>
            <w:tcW w:type="dxa" w:w="198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[SIP]</w:t>
            </w:r>
          </w:p>
        </w:tc>
      </w:tr>
      <w:tr>
        <w:trPr>
          <w:cantSplit/>
          <w:tblHeader w:val="false"/>
        </w:trPr>
        <w:tc>
          <w:tcPr>
            <w:tcW w:type="dxa" w:w="545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Mission épigraphique polonaise (PCMA, Université de Varsovie, dir. </w:t>
            </w:r>
            <w:r>
              <w:rPr>
                <w:b/>
                <w:bCs/>
                <w:sz w:val="18"/>
                <w:szCs w:val="18"/>
              </w:rPr>
              <w:t xml:space="preserve">Adam Łukaszewicz</w:t>
            </w:r>
            <w:r>
              <w:rPr>
                <w:sz w:val="18"/>
                <w:szCs w:val="18"/>
              </w:rPr>
              <w:t xml:space="preserve">) depuis 1996 ; documentation 3D de toutes les parois achevée en 2017</w:t>
            </w:r>
          </w:p>
        </w:tc>
        <w:tc>
          <w:tcPr>
            <w:tcW w:type="dxa" w:w="21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98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[PCMA], [SIP]</w:t>
            </w:r>
          </w:p>
        </w:tc>
      </w:tr>
      <w:tr>
        <w:trPr>
          <w:cantSplit/>
          <w:tblHeader w:val="false"/>
        </w:trPr>
        <w:tc>
          <w:tcPr>
            <w:tcW w:type="dxa" w:w="545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Catalogue de référence : </w:t>
            </w:r>
            <w:r>
              <w:rPr>
                <w:b/>
                <w:bCs/>
                <w:sz w:val="18"/>
                <w:szCs w:val="18"/>
              </w:rPr>
              <w:t xml:space="preserve">Jules Baillet</w:t>
            </w:r>
            <w:r>
              <w:rPr>
                <w:sz w:val="18"/>
                <w:szCs w:val="18"/>
              </w:rPr>
              <w:t xml:space="preserve">, </w:t>
            </w:r>
            <w:r>
              <w:rPr>
                <w:i/>
                <w:iCs/>
                <w:sz w:val="18"/>
                <w:szCs w:val="18"/>
              </w:rPr>
              <w:t xml:space="preserve">Inscriptions grecques et latines des tombeaux des rois ou syringes à Thèbes</w:t>
            </w:r>
            <w:r>
              <w:rPr>
                <w:sz w:val="18"/>
                <w:szCs w:val="18"/>
              </w:rPr>
              <w:t xml:space="preserve">, IFAO, 1920-1926</w:t>
            </w:r>
          </w:p>
        </w:tc>
        <w:tc>
          <w:tcPr>
            <w:tcW w:type="dxa" w:w="21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(catalogue de bibliothèque)</w:t>
            </w:r>
          </w:p>
        </w:tc>
        <w:tc>
          <w:tcPr>
            <w:tcW w:type="dxa" w:w="198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r>
    </w:tbl>
    <w:p>
      <w:pPr>
        <w:spacing w:after="120"/>
      </w:pPr>
    </w:p>
    <w:p>
      <w:pPr>
        <w:pStyle w:val="Heading2"/>
      </w:pPr>
      <w:r>
        <w:t xml:space="preserve">6. Histoire de l'exploration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2"/>
        <w:gridCol w:w="5578"/>
        <w:gridCol w:w="2318"/>
      </w:tblGrid>
      <w:tr>
        <w:trPr>
          <w:cantSplit/>
          <w:tblHeader/>
        </w:trPr>
        <w:tc>
          <w:tcPr>
            <w:tcW w:type="dxa" w:w="174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Date</w:t>
            </w:r>
          </w:p>
        </w:tc>
        <w:tc>
          <w:tcPr>
            <w:tcW w:type="dxa" w:w="557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Événement</w:t>
            </w:r>
          </w:p>
        </w:tc>
        <w:tc>
          <w:tcPr>
            <w:tcW w:type="dxa" w:w="231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r>
      <w:tr>
        <w:trPr>
          <w:cantSplit/>
          <w:tblHeader w:val="false"/>
        </w:trPr>
        <w:tc>
          <w:tcPr>
            <w:tcW w:type="dxa" w:w="174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1738-39</w:t>
            </w:r>
          </w:p>
        </w:tc>
        <w:tc>
          <w:tcPr>
            <w:tcW w:type="dxa" w:w="557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Richard Pococke</w:t>
            </w:r>
          </w:p>
        </w:tc>
        <w:tc>
          <w:tcPr>
            <w:tcW w:type="dxa" w:w="23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[TMP]</w:t>
            </w:r>
          </w:p>
        </w:tc>
      </w:tr>
      <w:tr>
        <w:trPr>
          <w:cantSplit/>
          <w:tblHeader w:val="false"/>
        </w:trPr>
        <w:tc>
          <w:tcPr>
            <w:tcW w:type="dxa" w:w="174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1799</w:t>
            </w:r>
          </w:p>
        </w:tc>
        <w:tc>
          <w:tcPr>
            <w:tcW w:type="dxa" w:w="557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Expédition d'Égypte (Bonaparte)</w:t>
            </w:r>
          </w:p>
        </w:tc>
        <w:tc>
          <w:tcPr>
            <w:tcW w:type="dxa" w:w="23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[TMP]</w:t>
            </w:r>
          </w:p>
        </w:tc>
      </w:tr>
      <w:tr>
        <w:trPr>
          <w:cantSplit/>
          <w:tblHeader w:val="false"/>
        </w:trPr>
        <w:tc>
          <w:tcPr>
            <w:tcW w:type="dxa" w:w="174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1824</w:t>
            </w:r>
          </w:p>
        </w:tc>
        <w:tc>
          <w:tcPr>
            <w:tcW w:type="dxa" w:w="557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Robert Hay (relevés)</w:t>
            </w:r>
          </w:p>
        </w:tc>
        <w:tc>
          <w:tcPr>
            <w:tcW w:type="dxa" w:w="23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[TMP]</w:t>
            </w:r>
          </w:p>
        </w:tc>
      </w:tr>
      <w:tr>
        <w:trPr>
          <w:cantSplit/>
          <w:tblHeader w:val="false"/>
        </w:trPr>
        <w:tc>
          <w:tcPr>
            <w:tcW w:type="dxa" w:w="174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1825</w:t>
            </w:r>
          </w:p>
        </w:tc>
        <w:tc>
          <w:tcPr>
            <w:tcW w:type="dxa" w:w="557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James Burton (le TMP écrit « découverte », alors que la tombe est ouverte depuis l'Antiquité)</w:t>
            </w:r>
          </w:p>
        </w:tc>
        <w:tc>
          <w:tcPr>
            <w:tcW w:type="dxa" w:w="23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[TMP]</w:t>
            </w:r>
          </w:p>
        </w:tc>
      </w:tr>
      <w:tr>
        <w:trPr>
          <w:cantSplit/>
          <w:tblHeader w:val="false"/>
        </w:trPr>
        <w:tc>
          <w:tcPr>
            <w:tcW w:type="dxa" w:w="174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1828-29</w:t>
            </w:r>
          </w:p>
        </w:tc>
        <w:tc>
          <w:tcPr>
            <w:tcW w:type="dxa" w:w="557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Expédition franco-toscane (Champollion, Rosellini) — épigraphie</w:t>
            </w:r>
          </w:p>
        </w:tc>
        <w:tc>
          <w:tcPr>
            <w:tcW w:type="dxa" w:w="23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[TMP] ; visite personnelle de Champollion : </w:t>
            </w:r>
            <w:r>
              <w:rPr>
                <w:b/>
                <w:bCs/>
                <w:sz w:val="18"/>
                <w:szCs w:val="18"/>
              </w:rPr>
              <w:t xml:space="preserve">N</w:t>
            </w:r>
          </w:p>
        </w:tc>
      </w:tr>
      <w:tr>
        <w:trPr>
          <w:cantSplit/>
          <w:tblHeader w:val="false"/>
        </w:trPr>
        <w:tc>
          <w:tcPr>
            <w:tcW w:type="dxa" w:w="174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1888</w:t>
            </w:r>
          </w:p>
        </w:tc>
        <w:tc>
          <w:tcPr>
            <w:tcW w:type="dxa" w:w="557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Dégagement par </w:t>
            </w:r>
            <w:r>
              <w:rPr>
                <w:b/>
                <w:bCs/>
                <w:sz w:val="18"/>
                <w:szCs w:val="18"/>
              </w:rPr>
              <w:t xml:space="preserve">Georges Daressy</w:t>
            </w:r>
            <w:r>
              <w:rPr>
                <w:sz w:val="18"/>
                <w:szCs w:val="18"/>
              </w:rPr>
              <w:t xml:space="preserve"> (rapport publié en </w:t>
            </w:r>
            <w:r>
              <w:rPr>
                <w:b/>
                <w:bCs/>
                <w:sz w:val="18"/>
                <w:szCs w:val="18"/>
              </w:rPr>
              <w:t xml:space="preserve">1919</w:t>
            </w:r>
            <w:r>
              <w:rPr>
                <w:sz w:val="18"/>
                <w:szCs w:val="18"/>
              </w:rPr>
              <w:t xml:space="preserve">, </w:t>
            </w:r>
            <w:r>
              <w:rPr>
                <w:i/>
                <w:iCs/>
                <w:sz w:val="18"/>
                <w:szCs w:val="18"/>
              </w:rPr>
              <w:t xml:space="preserve">ASAE</w:t>
            </w:r>
            <w:r>
              <w:rPr>
                <w:sz w:val="18"/>
                <w:szCs w:val="18"/>
              </w:rPr>
              <w:t xml:space="preserve"> 18, p. 270-274)</w:t>
            </w:r>
          </w:p>
        </w:tc>
        <w:tc>
          <w:tcPr>
            <w:tcW w:type="dxa" w:w="23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[TMP]</w:t>
            </w:r>
          </w:p>
        </w:tc>
      </w:tr>
      <w:tr>
        <w:trPr>
          <w:cantSplit/>
          <w:tblHeader w:val="false"/>
        </w:trPr>
        <w:tc>
          <w:tcPr>
            <w:tcW w:type="dxa" w:w="174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1949-1951</w:t>
            </w:r>
          </w:p>
        </w:tc>
        <w:tc>
          <w:tcPr>
            <w:tcW w:type="dxa" w:w="557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Expédition </w:t>
            </w:r>
            <w:r>
              <w:rPr>
                <w:b/>
                <w:bCs/>
                <w:sz w:val="18"/>
                <w:szCs w:val="18"/>
              </w:rPr>
              <w:t xml:space="preserve">Piankoff</w:t>
            </w:r>
            <w:r>
              <w:rPr>
                <w:sz w:val="18"/>
                <w:szCs w:val="18"/>
              </w:rPr>
              <w:t xml:space="preserve"> ; publication : A. Piankoff &amp; N. Rambova, </w:t>
            </w:r>
            <w:r>
              <w:rPr>
                <w:i/>
                <w:iCs/>
                <w:sz w:val="18"/>
                <w:szCs w:val="18"/>
              </w:rPr>
              <w:t xml:space="preserve">The Tomb of Ramesses VI</w:t>
            </w:r>
            <w:r>
              <w:rPr>
                <w:sz w:val="18"/>
                <w:szCs w:val="18"/>
              </w:rPr>
              <w:t xml:space="preserve">, Bollingen Series XL-1, Pantheon, New York, </w:t>
            </w:r>
            <w:r>
              <w:rPr>
                <w:b/>
                <w:bCs/>
                <w:sz w:val="18"/>
                <w:szCs w:val="18"/>
              </w:rPr>
              <w:t xml:space="preserve">1954</w:t>
            </w:r>
            <w:r>
              <w:rPr>
                <w:sz w:val="18"/>
                <w:szCs w:val="18"/>
              </w:rPr>
              <w:t xml:space="preserve"> (photos L. F. Husson)</w:t>
            </w:r>
          </w:p>
        </w:tc>
        <w:tc>
          <w:tcPr>
            <w:tcW w:type="dxa" w:w="23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[ARCHIVE] (le TMP indique 1958 : </w:t>
            </w:r>
            <w:r>
              <w:rPr>
                <w:b/>
                <w:bCs/>
                <w:sz w:val="18"/>
                <w:szCs w:val="18"/>
              </w:rPr>
              <w:t xml:space="preserve">C</w:t>
            </w:r>
            <w:r>
              <w:rPr>
                <w:sz w:val="18"/>
                <w:szCs w:val="18"/>
              </w:rPr>
              <w:t xml:space="preserve">)</w:t>
            </w:r>
          </w:p>
        </w:tc>
      </w:tr>
      <w:tr>
        <w:trPr>
          <w:cantSplit/>
          <w:tblHeader w:val="false"/>
        </w:trPr>
        <w:tc>
          <w:tcPr>
            <w:tcW w:type="dxa" w:w="174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1996-</w:t>
            </w:r>
          </w:p>
        </w:tc>
        <w:tc>
          <w:tcPr>
            <w:tcW w:type="dxa" w:w="557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Mission polonaise sur les graffiti</w:t>
            </w:r>
          </w:p>
        </w:tc>
        <w:tc>
          <w:tcPr>
            <w:tcW w:type="dxa" w:w="23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74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2001-2004/5</w:t>
            </w:r>
          </w:p>
        </w:tc>
        <w:tc>
          <w:tcPr>
            <w:tcW w:type="dxa" w:w="557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Restauration du sarcophage (Brock, ARCE)</w:t>
            </w:r>
          </w:p>
        </w:tc>
        <w:tc>
          <w:tcPr>
            <w:tcW w:type="dxa" w:w="23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74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2004</w:t>
            </w:r>
          </w:p>
        </w:tc>
        <w:tc>
          <w:tcPr>
            <w:tcW w:type="dxa" w:w="557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Réouverture (21 mars)</w:t>
            </w:r>
          </w:p>
        </w:tc>
        <w:tc>
          <w:tcPr>
            <w:tcW w:type="dxa" w:w="23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74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2017</w:t>
            </w:r>
          </w:p>
        </w:tc>
        <w:tc>
          <w:tcPr>
            <w:tcW w:type="dxa" w:w="557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Documentation 3D des parois achevée</w:t>
            </w:r>
          </w:p>
        </w:tc>
        <w:tc>
          <w:tcPr>
            <w:tcW w:type="dxa" w:w="23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[SIP]</w:t>
            </w:r>
          </w:p>
        </w:tc>
      </w:tr>
      <w:tr>
        <w:trPr>
          <w:cantSplit/>
          <w:tblHeader w:val="false"/>
        </w:trPr>
        <w:tc>
          <w:tcPr>
            <w:tcW w:type="dxa" w:w="174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2020</w:t>
            </w:r>
          </w:p>
        </w:tc>
        <w:tc>
          <w:tcPr>
            <w:tcW w:type="dxa" w:w="557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Modèle 3D diffusé par l'Autorité égyptienne du tourisme</w:t>
            </w:r>
          </w:p>
        </w:tc>
        <w:tc>
          <w:tcPr>
            <w:tcW w:type="dxa" w:w="23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(secondaire)</w:t>
            </w:r>
          </w:p>
        </w:tc>
      </w:tr>
    </w:tbl>
    <w:p>
      <w:pPr>
        <w:spacing w:after="120"/>
      </w:pPr>
    </w:p>
    <w:p>
      <w:pPr>
        <w:pStyle w:val="Heading2"/>
      </w:pPr>
      <w:r>
        <w:t xml:space="preserve">7. Visite aujourd'hui (pour la fiction — vérifier à nouveau avant impression)</w:t>
      </w:r>
    </w:p>
    <w:p>
      <w:pPr>
        <w:pStyle w:val="ListParagraph"/>
        <w:numPr>
          <w:ilvl w:val="0"/>
          <w:numId w:val="4"/>
        </w:numPr>
        <w:spacing w:after="60" w:line="264"/>
      </w:pPr>
      <w:r>
        <w:t xml:space="preserve">Vallée des Rois : 6 h 00, dernière entrée 17 h (été) / 16 h (hiver, ramadan) ; photo au téléphone gratuite — site officiel egymonuments.com, copie du 24/10/2026 : </w:t>
      </w:r>
      <w:r>
        <w:rPr>
          <w:b/>
          <w:bCs/>
        </w:rPr>
        <w:t xml:space="preserve">V</w:t>
      </w:r>
      <w:r>
        <w:t xml:space="preserve">.</w:t>
      </w:r>
    </w:p>
    <w:p>
      <w:pPr>
        <w:pStyle w:val="ListParagraph"/>
        <w:numPr>
          <w:ilvl w:val="0"/>
          <w:numId w:val="4"/>
        </w:numPr>
        <w:spacing w:after="60" w:line="264"/>
      </w:pPr>
      <w:r>
        <w:t xml:space="preserve">KV9 demande un billet supplémentaire (220 EGP selon un blog mis à jour en juillet 2026) : </w:t>
      </w:r>
      <w:r>
        <w:rPr>
          <w:b/>
          <w:bCs/>
        </w:rPr>
        <w:t xml:space="preserve">V (non officiel)</w:t>
      </w:r>
      <w:r>
        <w:t xml:space="preserve">.</w:t>
      </w:r>
    </w:p>
    <w:p>
      <w:pPr>
        <w:pStyle w:val="ListParagraph"/>
        <w:numPr>
          <w:ilvl w:val="0"/>
          <w:numId w:val="4"/>
        </w:numPr>
        <w:spacing w:after="60" w:line="264"/>
      </w:pPr>
      <w:r>
        <w:t xml:space="preserve">Règles pour trépied, appareil professionnel, accès de nuit : </w:t>
      </w:r>
      <w:r>
        <w:rPr>
          <w:b/>
          <w:bCs/>
        </w:rPr>
        <w:t xml:space="preserve">N</w:t>
      </w:r>
      <w:r>
        <w:t xml:space="preserve">. → La mission de nuit de la BD est une </w:t>
      </w:r>
      <w:r>
        <w:rPr>
          <w:b/>
          <w:bCs/>
        </w:rPr>
        <w:t xml:space="preserve">fiction [F]</w:t>
      </w:r>
      <w:r>
        <w:t xml:space="preserve"> et doit être signalée comme telle dans l'avertissement du volume.</w:t>
      </w:r>
    </w:p>
    <w:p>
      <w:pPr>
        <w:spacing w:after="60"/>
      </w:pPr>
    </w:p>
    <w:p>
      <w:r>
        <w:br w:type="page"/>
      </w:r>
    </w:p>
    <w:p>
      <w:pPr>
        <w:pStyle w:val="Heading1"/>
      </w:pPr>
      <w:r>
        <w:t xml:space="preserve">Bible · 2 — Le Livre de la Terre</w:t>
      </w:r>
    </w:p>
    <w:p>
      <w:pPr>
        <w:spacing w:after="120" w:line="276"/>
      </w:pPr>
      <w:r>
        <w:t xml:space="preserve">Sources principales : </w:t>
      </w:r>
      <w:r>
        <w:rPr>
          <w:b/>
          <w:bCs/>
        </w:rPr>
        <w:t xml:space="preserve">Darnell &amp; Darnell 2018</w:t>
      </w:r>
      <w:r>
        <w:t xml:space="preserve"> [DARNELL] (traduction anglaise complète des légendes de KV9, chap. 6, p. 457-530) ; </w:t>
      </w:r>
      <w:r>
        <w:rPr>
          <w:b/>
          <w:bCs/>
        </w:rPr>
        <w:t xml:space="preserve">Pleuger 2020</w:t>
      </w:r>
      <w:r>
        <w:t xml:space="preserve"> [PLEUGER] (article en français sur l'ordre de lecture) ; </w:t>
      </w:r>
      <w:r>
        <w:rPr>
          <w:b/>
          <w:bCs/>
        </w:rPr>
        <w:t xml:space="preserve">Roberson 2012</w:t>
      </w:r>
      <w:r>
        <w:t xml:space="preserve"> [ROBERSON] ; [TMP]. Statuts : V / C / N.</w:t>
      </w:r>
    </w:p>
    <w:p>
      <w:pPr>
        <w:pBdr>
          <w:left w:val="single" w:color="B8860B" w:sz="18" w:space="8"/>
        </w:pBdr>
        <w:shd w:fill="FBF6EC" w:color="auto" w:val="clear"/>
        <w:spacing w:after="140" w:before="60" w:line="264"/>
        <w:ind w:left="340" w:right="200"/>
      </w:pPr>
      <w:r>
        <w:rPr>
          <w:b/>
          <w:bCs/>
          <w:sz w:val="21"/>
          <w:szCs w:val="21"/>
        </w:rPr>
        <w:t xml:space="preserve">Règle de citation</w:t>
      </w:r>
      <w:r>
        <w:rPr>
          <w:sz w:val="21"/>
          <w:szCs w:val="21"/>
        </w:rPr>
        <w:t xml:space="preserve"> : toute légende égyptienne citée dans une bulle doit nommer son traducteur (Darnell, Roberson, Piankoff). Ils ne sont pas toujours d'accord (ex. [DARNELL] n. 15-16, p. 466). Les traductions françaises ci-dessous sont </w:t>
      </w:r>
      <w:r>
        <w:rPr>
          <w:b/>
          <w:bCs/>
          <w:sz w:val="21"/>
          <w:szCs w:val="21"/>
        </w:rPr>
        <w:t xml:space="preserve">nos traductions de la version anglaise de Darnell</w:t>
      </w:r>
      <w:r>
        <w:rPr>
          <w:sz w:val="21"/>
          <w:szCs w:val="21"/>
        </w:rPr>
        <w:t xml:space="preserve"> : l'indiquer en page documentaire.</w:t>
      </w:r>
    </w:p>
    <w:p>
      <w:pPr>
        <w:pStyle w:val="Heading2"/>
      </w:pPr>
      <w:r>
        <w:t xml:space="preserve">1. Les noms (aucun titre antique n'est connu)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9"/>
        <w:gridCol w:w="4888"/>
        <w:gridCol w:w="2181"/>
      </w:tblGrid>
      <w:tr>
        <w:trPr>
          <w:cantSplit/>
          <w:tblHeader/>
        </w:trPr>
        <w:tc>
          <w:tcPr>
            <w:tcW w:type="dxa" w:w="256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Nom</w:t>
            </w:r>
          </w:p>
        </w:tc>
        <w:tc>
          <w:tcPr>
            <w:tcW w:type="dxa" w:w="488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Qui, quand</w:t>
            </w:r>
          </w:p>
        </w:tc>
        <w:tc>
          <w:tcPr>
            <w:tcW w:type="dxa" w:w="218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r>
      <w:tr>
        <w:trPr>
          <w:cantSplit/>
          <w:tblHeader w:val="false"/>
        </w:trPr>
        <w:tc>
          <w:tcPr>
            <w:tcW w:type="dxa" w:w="256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Livre d'Aker »</w:t>
            </w:r>
          </w:p>
        </w:tc>
        <w:tc>
          <w:tcPr>
            <w:tcW w:type="dxa" w:w="488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Piankoff, 1946</w:t>
            </w:r>
            <w:r>
              <w:rPr>
                <w:sz w:val="18"/>
                <w:szCs w:val="18"/>
              </w:rPr>
              <w:t xml:space="preserve">, d'après la tombe de Padiamenopé (TT33)</w:t>
            </w:r>
          </w:p>
        </w:tc>
        <w:tc>
          <w:tcPr>
            <w:tcW w:type="dxa" w:w="21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[PLEUGER] p. 45</w:t>
            </w:r>
          </w:p>
        </w:tc>
      </w:tr>
      <w:tr>
        <w:trPr>
          <w:cantSplit/>
          <w:tblHeader w:val="false"/>
        </w:trPr>
        <w:tc>
          <w:tcPr>
            <w:tcW w:type="dxa" w:w="256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La Création du disque solaire »</w:t>
            </w:r>
          </w:p>
        </w:tc>
        <w:tc>
          <w:tcPr>
            <w:tcW w:type="dxa" w:w="488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Piankoff, 1953</w:t>
            </w:r>
            <w:r>
              <w:rPr>
                <w:sz w:val="18"/>
                <w:szCs w:val="18"/>
              </w:rPr>
              <w:t xml:space="preserve"> (</w:t>
            </w:r>
            <w:r>
              <w:rPr>
                <w:i/>
                <w:iCs/>
                <w:sz w:val="18"/>
                <w:szCs w:val="18"/>
              </w:rPr>
              <w:t xml:space="preserve">Bibliothèque d'Étude</w:t>
            </w:r>
            <w:r>
              <w:rPr>
                <w:sz w:val="18"/>
                <w:szCs w:val="18"/>
              </w:rPr>
              <w:t xml:space="preserve"> 19, IFAO, Le Caire), d'après KV9</w:t>
            </w:r>
          </w:p>
        </w:tc>
        <w:tc>
          <w:tcPr>
            <w:tcW w:type="dxa" w:w="21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[PLEUGER] p. 46</w:t>
            </w:r>
          </w:p>
        </w:tc>
      </w:tr>
      <w:tr>
        <w:trPr>
          <w:cantSplit/>
          <w:tblHeader w:val="false"/>
        </w:trPr>
        <w:tc>
          <w:tcPr>
            <w:tcW w:type="dxa" w:w="256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Livre de la Terre » (</w:t>
            </w:r>
            <w:r>
              <w:rPr>
                <w:i/>
                <w:iCs/>
                <w:sz w:val="18"/>
                <w:szCs w:val="18"/>
              </w:rPr>
              <w:t xml:space="preserve">Buch von der Erde</w:t>
            </w:r>
            <w:r>
              <w:rPr>
                <w:sz w:val="18"/>
                <w:szCs w:val="18"/>
              </w:rPr>
              <w:t xml:space="preserve">)</w:t>
            </w:r>
          </w:p>
        </w:tc>
        <w:tc>
          <w:tcPr>
            <w:tcW w:type="dxa" w:w="488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Hornung, 1972</w:t>
            </w:r>
            <w:r>
              <w:rPr>
                <w:sz w:val="18"/>
                <w:szCs w:val="18"/>
              </w:rPr>
              <w:t xml:space="preserve">, </w:t>
            </w:r>
            <w:r>
              <w:rPr>
                <w:i/>
                <w:iCs/>
                <w:sz w:val="18"/>
                <w:szCs w:val="18"/>
              </w:rPr>
              <w:t xml:space="preserve">Die Unterweltsbücher der Ägypter</w:t>
            </w:r>
          </w:p>
        </w:tc>
        <w:tc>
          <w:tcPr>
            <w:tcW w:type="dxa" w:w="21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[PLEUGER] p. 46</w:t>
            </w:r>
          </w:p>
        </w:tc>
      </w:tr>
      <w:tr>
        <w:trPr>
          <w:cantSplit/>
          <w:tblHeader w:val="false"/>
        </w:trPr>
        <w:tc>
          <w:tcPr>
            <w:tcW w:type="dxa" w:w="256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Books of the Earth » (pluriel)</w:t>
            </w:r>
          </w:p>
        </w:tc>
        <w:tc>
          <w:tcPr>
            <w:tcW w:type="dxa" w:w="488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Roberson 2012</w:t>
            </w:r>
            <w:r>
              <w:rPr>
                <w:sz w:val="18"/>
                <w:szCs w:val="18"/>
              </w:rPr>
              <w:t xml:space="preserve"> : des agencements « ad hoc », unis par une iconographie commune et une symétrie bipartite ; 78-80 scènes</w:t>
            </w:r>
          </w:p>
        </w:tc>
        <w:tc>
          <w:tcPr>
            <w:tcW w:type="dxa" w:w="21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[ROBERSON], [PLEUGER]</w:t>
            </w:r>
          </w:p>
        </w:tc>
      </w:tr>
      <w:tr>
        <w:trPr>
          <w:cantSplit/>
          <w:tblHeader w:val="false"/>
        </w:trPr>
        <w:tc>
          <w:tcPr>
            <w:tcW w:type="dxa" w:w="256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Books of the Creation of the Solar Disk »</w:t>
            </w:r>
          </w:p>
        </w:tc>
        <w:tc>
          <w:tcPr>
            <w:tcW w:type="dxa" w:w="488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Darnell &amp; Darnell 2018</w:t>
            </w:r>
            <w:r>
              <w:rPr>
                <w:sz w:val="18"/>
                <w:szCs w:val="18"/>
              </w:rPr>
              <w:t xml:space="preserve">, qui notent l'absence de titre antique</w:t>
            </w:r>
          </w:p>
        </w:tc>
        <w:tc>
          <w:tcPr>
            <w:tcW w:type="dxa" w:w="21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[DARNELL] p. 3, 457</w:t>
            </w:r>
          </w:p>
        </w:tc>
      </w:tr>
    </w:tbl>
    <w:p>
      <w:pPr>
        <w:spacing w:after="120"/>
      </w:pPr>
    </w:p>
    <w:p>
      <w:pPr>
        <w:spacing w:after="120" w:line="276"/>
      </w:pPr>
      <w:r>
        <w:t xml:space="preserve">→ </w:t>
      </w:r>
      <w:r>
        <w:rPr>
          <w:b/>
          <w:bCs/>
        </w:rPr>
        <w:t xml:space="preserve">Ressort de l'épisode 3</w:t>
      </w:r>
      <w:r>
        <w:t xml:space="preserve"> : </w:t>
      </w:r>
      <w:r>
        <w:rPr>
          <w:i/>
          <w:iCs/>
        </w:rPr>
        <w:t xml:space="preserve">un livre que ses auteurs n'ont jamais nommé, et que les modernes ont rebaptisé trois fois</w:t>
      </w:r>
      <w:r>
        <w:t xml:space="preserve">.</w:t>
      </w:r>
    </w:p>
    <w:p>
      <w:pPr>
        <w:pStyle w:val="Heading2"/>
      </w:pPr>
      <w:r>
        <w:t xml:space="preserve">2. Où et depuis quand</w:t>
      </w:r>
    </w:p>
    <w:p>
      <w:pPr>
        <w:pStyle w:val="ListParagraph"/>
        <w:numPr>
          <w:ilvl w:val="0"/>
          <w:numId w:val="5"/>
        </w:numPr>
        <w:spacing w:after="60" w:line="264"/>
      </w:pPr>
      <w:r>
        <w:t xml:space="preserve">Plus ancienne copie importante : </w:t>
      </w:r>
      <w:r>
        <w:rPr>
          <w:b/>
          <w:bCs/>
        </w:rPr>
        <w:t xml:space="preserve">Osireion d'Abydos</w:t>
      </w:r>
      <w:r>
        <w:t xml:space="preserve"> (cénotaphe de Séthi Iᵉʳ), avec le Livre des Cavernes. V [DARNELL] p. 49, [PLEUGER] p. 67.</w:t>
      </w:r>
    </w:p>
    <w:p>
      <w:pPr>
        <w:pStyle w:val="ListParagraph"/>
        <w:numPr>
          <w:ilvl w:val="0"/>
          <w:numId w:val="5"/>
        </w:numPr>
        <w:spacing w:after="60" w:line="264"/>
      </w:pPr>
      <w:r>
        <w:t xml:space="preserve">Une scène apparaît déjà sur le </w:t>
      </w:r>
      <w:r>
        <w:rPr>
          <w:b/>
          <w:bCs/>
        </w:rPr>
        <w:t xml:space="preserve">deuxième naos de Toutânkhamon</w:t>
      </w:r>
      <w:r>
        <w:t xml:space="preserve">. V [DARNELL] p. 49.</w:t>
      </w:r>
    </w:p>
    <w:p>
      <w:pPr>
        <w:pStyle w:val="ListParagraph"/>
        <w:numPr>
          <w:ilvl w:val="0"/>
          <w:numId w:val="5"/>
        </w:numPr>
        <w:spacing w:after="60" w:line="264"/>
      </w:pPr>
      <w:r>
        <w:t xml:space="preserve">Huit sources du Nouvel Empire : sept tombes royales (de Mérenptah à Ramsès IX) et l'Osireion ; dans la Vallée des Rois, </w:t>
      </w:r>
      <w:r>
        <w:rPr>
          <w:b/>
          <w:bCs/>
        </w:rPr>
        <w:t xml:space="preserve">uniquement dans les chambres funéraires</w:t>
      </w:r>
      <w:r>
        <w:t xml:space="preserve">. V [DARNELL] p. 457.</w:t>
      </w:r>
    </w:p>
    <w:p>
      <w:pPr>
        <w:pStyle w:val="ListParagraph"/>
        <w:numPr>
          <w:ilvl w:val="0"/>
          <w:numId w:val="5"/>
        </w:numPr>
        <w:spacing w:after="60" w:line="264"/>
      </w:pPr>
      <w:r>
        <w:t xml:space="preserve">Catalogue de Roberson : Osireion, KV8 (Mérenptah), KV14 (Taousert), KV11 (Ramsès III), KV2 (Ramsès IV), </w:t>
      </w:r>
      <w:r>
        <w:rPr>
          <w:b/>
          <w:bCs/>
        </w:rPr>
        <w:t xml:space="preserve">KV9</w:t>
      </w:r>
      <w:r>
        <w:t xml:space="preserve">, KV1 (Ramsès VII), KV6 (Ramsès IX), Tanis NRT1 (Osorkon II), TT33, TT410, TT196, TT197, papyrus de la XXIᵉ dynastie, sarcophages de Basse Époque. V [ROBERSON].</w:t>
      </w:r>
    </w:p>
    <w:p>
      <w:pPr>
        <w:pStyle w:val="ListParagraph"/>
        <w:numPr>
          <w:ilvl w:val="0"/>
          <w:numId w:val="5"/>
        </w:numPr>
        <w:spacing w:after="60" w:line="264"/>
      </w:pPr>
      <w:r>
        <w:t xml:space="preserve">KV9 conserve la </w:t>
      </w:r>
      <w:r>
        <w:rPr>
          <w:b/>
          <w:bCs/>
        </w:rPr>
        <w:t xml:space="preserve">version la plus complète</w:t>
      </w:r>
      <w:r>
        <w:t xml:space="preserve">. V [DARNELL] p. 49, [TMP].</w:t>
      </w:r>
    </w:p>
    <w:p>
      <w:pPr>
        <w:spacing w:after="60"/>
      </w:pPr>
    </w:p>
    <w:p>
      <w:pPr>
        <w:pStyle w:val="Heading2"/>
      </w:pPr>
      <w:r>
        <w:t xml:space="preserve">3. Disposition dans la chambre J — deux systèmes de lettres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4"/>
        <w:gridCol w:w="2777"/>
        <w:gridCol w:w="3897"/>
      </w:tblGrid>
      <w:tr>
        <w:trPr>
          <w:cantSplit/>
          <w:tblHeader/>
        </w:trPr>
        <w:tc>
          <w:tcPr>
            <w:tcW w:type="dxa" w:w="296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Paroi</w:t>
            </w:r>
          </w:p>
        </w:tc>
        <w:tc>
          <w:tcPr>
            <w:tcW w:type="dxa" w:w="277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Piankoff 1953 (numérotation standard)</w:t>
            </w:r>
          </w:p>
        </w:tc>
        <w:tc>
          <w:tcPr>
            <w:tcW w:type="dxa" w:w="389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Roberson 2012 / Darnell 2018</w:t>
            </w:r>
          </w:p>
        </w:tc>
      </w:tr>
      <w:tr>
        <w:trPr>
          <w:cantSplit/>
          <w:tblHeader w:val="false"/>
        </w:trPr>
        <w:tc>
          <w:tcPr>
            <w:tcW w:type="dxa" w:w="296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Paroi nord</w:t>
            </w:r>
          </w:p>
        </w:tc>
        <w:tc>
          <w:tcPr>
            <w:tcW w:type="dxa" w:w="27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A</w:t>
            </w:r>
          </w:p>
        </w:tc>
        <w:tc>
          <w:tcPr>
            <w:tcW w:type="dxa" w:w="389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 (paroi droite) — </w:t>
            </w:r>
            <w:r>
              <w:rPr>
                <w:i/>
                <w:iCs/>
                <w:sz w:val="18"/>
                <w:szCs w:val="18"/>
              </w:rPr>
              <w:t xml:space="preserve">inférence par le contenu, N</w:t>
            </w:r>
          </w:p>
        </w:tc>
      </w:tr>
      <w:tr>
        <w:trPr>
          <w:cantSplit/>
          <w:tblHeader w:val="false"/>
        </w:trPr>
        <w:tc>
          <w:tcPr>
            <w:tcW w:type="dxa" w:w="296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Paroi du fond (ouest), moitié nord</w:t>
            </w:r>
          </w:p>
        </w:tc>
        <w:tc>
          <w:tcPr>
            <w:tcW w:type="dxa" w:w="27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B</w:t>
            </w:r>
          </w:p>
        </w:tc>
        <w:tc>
          <w:tcPr>
            <w:tcW w:type="dxa" w:w="389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t>
            </w:r>
          </w:p>
        </w:tc>
      </w:tr>
      <w:tr>
        <w:trPr>
          <w:cantSplit/>
          <w:tblHeader w:val="false"/>
        </w:trPr>
        <w:tc>
          <w:tcPr>
            <w:tcW w:type="dxa" w:w="296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Paroi du fond, moitié sud</w:t>
            </w:r>
          </w:p>
        </w:tc>
        <w:tc>
          <w:tcPr>
            <w:tcW w:type="dxa" w:w="27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C</w:t>
            </w:r>
          </w:p>
        </w:tc>
        <w:tc>
          <w:tcPr>
            <w:tcW w:type="dxa" w:w="389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t>
            </w:r>
          </w:p>
        </w:tc>
      </w:tr>
      <w:tr>
        <w:trPr>
          <w:cantSplit/>
          <w:tblHeader w:val="false"/>
        </w:trPr>
        <w:tc>
          <w:tcPr>
            <w:tcW w:type="dxa" w:w="296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Paroi sud</w:t>
            </w:r>
          </w:p>
        </w:tc>
        <w:tc>
          <w:tcPr>
            <w:tcW w:type="dxa" w:w="27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D</w:t>
            </w:r>
          </w:p>
        </w:tc>
        <w:tc>
          <w:tcPr>
            <w:tcW w:type="dxa" w:w="389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 (paroi gauche) — </w:t>
            </w:r>
            <w:r>
              <w:rPr>
                <w:i/>
                <w:iCs/>
                <w:sz w:val="18"/>
                <w:szCs w:val="18"/>
              </w:rPr>
              <w:t xml:space="preserve">inférence, N</w:t>
            </w:r>
          </w:p>
        </w:tc>
      </w:tr>
      <w:tr>
        <w:trPr>
          <w:cantSplit/>
          <w:tblHeader w:val="false"/>
        </w:trPr>
        <w:tc>
          <w:tcPr>
            <w:tcW w:type="dxa" w:w="296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Pilastre ouest</w:t>
            </w:r>
          </w:p>
        </w:tc>
        <w:tc>
          <w:tcPr>
            <w:tcW w:type="dxa" w:w="27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E</w:t>
            </w:r>
            <w:r>
              <w:rPr>
                <w:sz w:val="18"/>
                <w:szCs w:val="18"/>
              </w:rPr>
              <w:t xml:space="preserve"> (selon TMP / Hornung)</w:t>
            </w:r>
          </w:p>
        </w:tc>
        <w:tc>
          <w:tcPr>
            <w:tcW w:type="dxa" w:w="389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A2 / B2 (colonnes engagées)</w:t>
            </w:r>
          </w:p>
        </w:tc>
      </w:tr>
    </w:tbl>
    <w:p>
      <w:pPr>
        <w:spacing w:after="120"/>
      </w:pPr>
    </w:p>
    <w:p>
      <w:pPr>
        <w:spacing w:after="120" w:line="276"/>
      </w:pPr>
      <w:r>
        <w:t xml:space="preserve">Sources : [PLEUGER] p. 48 ; [TMP] ; [DARNELL] p. 458 : « dans la tombe de Ramsès VI, la composition a </w:t>
      </w:r>
      <w:r>
        <w:rPr>
          <w:b/>
          <w:bCs/>
        </w:rPr>
        <w:t xml:space="preserve">traditionnellement été divisée en quatre sections</w:t>
      </w:r>
      <w:r>
        <w:t xml:space="preserve"> ».</w:t>
      </w:r>
    </w:p>
    <w:p>
      <w:pPr>
        <w:spacing w:after="120" w:line="276"/>
      </w:pPr>
      <w:r>
        <w:t xml:space="preserve">→ </w:t>
      </w:r>
      <w:r>
        <w:rPr>
          <w:b/>
          <w:bCs/>
        </w:rPr>
        <w:t xml:space="preserve">Épisode 10 « Les quatre divisions » : titre justifié</w:t>
      </w:r>
      <w:r>
        <w:t xml:space="preserve"> (division traditionnelle de Piankoff), à condition de montrer que Hornung ajoute une partie E et que Roberson utilise un autre découpage.</w:t>
      </w:r>
    </w:p>
    <w:p>
      <w:pPr>
        <w:pStyle w:val="Heading2"/>
      </w:pPr>
      <w:r>
        <w:t xml:space="preserve">4. Le débat sur l'ordre de lecture (le « mystère » de la série) — [PLEUGER]</w:t>
      </w:r>
    </w:p>
    <w:p>
      <w:pPr>
        <w:pStyle w:val="ListParagraph"/>
        <w:numPr>
          <w:ilvl w:val="0"/>
          <w:numId w:val="6"/>
        </w:numPr>
        <w:spacing w:after="60" w:line="264"/>
      </w:pPr>
      <w:r>
        <w:rPr>
          <w:b/>
          <w:bCs/>
        </w:rPr>
        <w:t xml:space="preserve">Par où commencer ?</w:t>
      </w:r>
      <w:r>
        <w:t xml:space="preserve"> Paroi nord : Piankoff, Hornung (1972), Barguet, Cauville. Paroi sud : Stricker, Abitz, Roberson, Mauric-Barberio, Hornung à partir de 1999. (p. 48)</w:t>
      </w:r>
    </w:p>
    <w:p>
      <w:pPr>
        <w:pStyle w:val="ListParagraph"/>
        <w:numPr>
          <w:ilvl w:val="0"/>
          <w:numId w:val="6"/>
        </w:numPr>
        <w:spacing w:after="60" w:line="264"/>
      </w:pPr>
      <w:r>
        <w:rPr>
          <w:b/>
          <w:bCs/>
        </w:rPr>
        <w:t xml:space="preserve">Première scène ?</w:t>
      </w:r>
      <w:r>
        <w:t xml:space="preserve"> D1 (Stricker, Hornung 1999) ; le roi en adoration près de D1/D4 (Abitz) ; D4 + le roi (Roberson) ; aucune (Mauric-Barberio, pour qui le sens « échappe encore à la compréhension »). (p. 49-50)</w:t>
      </w:r>
    </w:p>
    <w:p>
      <w:pPr>
        <w:pStyle w:val="ListParagraph"/>
        <w:numPr>
          <w:ilvl w:val="0"/>
          <w:numId w:val="6"/>
        </w:numPr>
        <w:spacing w:after="60" w:line="264"/>
      </w:pPr>
      <w:r>
        <w:rPr>
          <w:b/>
          <w:bCs/>
        </w:rPr>
        <w:t xml:space="preserve">Dernière scène ?</w:t>
      </w:r>
      <w:r>
        <w:t xml:space="preserve"> D16 (Piankoff) ; A12 (Hornung 2007, Roberson) ; aucune scène finale nette dans KV9 (Barta). Pleuger propose que la </w:t>
      </w:r>
      <w:r>
        <w:rPr>
          <w:b/>
          <w:bCs/>
        </w:rPr>
        <w:t xml:space="preserve">scène finale du Livre des Portes dans la niche du fond (K)</w:t>
      </w:r>
      <w:r>
        <w:t xml:space="preserve"> serve de fin, et suggère que A12 pourrait être un </w:t>
      </w:r>
      <w:r>
        <w:rPr>
          <w:b/>
          <w:bCs/>
        </w:rPr>
        <w:t xml:space="preserve">début</w:t>
      </w:r>
      <w:r>
        <w:t xml:space="preserve"> ; elle soutient la lecture de bas en haut de Cauville. (p. 50, 68)</w:t>
      </w:r>
    </w:p>
    <w:p>
      <w:pPr>
        <w:pStyle w:val="ListParagraph"/>
        <w:numPr>
          <w:ilvl w:val="0"/>
          <w:numId w:val="6"/>
        </w:numPr>
        <w:spacing w:after="60" w:line="264"/>
      </w:pPr>
      <w:r>
        <w:t xml:space="preserve">Roberson y voit un « ensemble modulable ». (p. 50)</w:t>
      </w:r>
    </w:p>
    <w:p>
      <w:pPr>
        <w:spacing w:after="60"/>
      </w:pPr>
    </w:p>
    <w:p>
      <w:pPr>
        <w:spacing w:after="120" w:line="276"/>
      </w:pPr>
      <w:r>
        <w:rPr>
          <w:b/>
          <w:bCs/>
        </w:rPr>
        <w:t xml:space="preserve">Citations utilisables (exactes)</w:t>
      </w:r>
      <w:r>
        <w:t xml:space="preserve"> :</w:t>
      </w:r>
    </w:p>
    <w:p>
      <w:pPr>
        <w:pStyle w:val="ListParagraph"/>
        <w:numPr>
          <w:ilvl w:val="0"/>
          <w:numId w:val="7"/>
        </w:numPr>
        <w:spacing w:after="60" w:line="264"/>
      </w:pPr>
      <w:r>
        <w:t xml:space="preserve">Pleuger p. 48 : « il conserve encore de nos jours sa part de mystère, tant pour l'ordre de lecture des sections qui le composent que pour son interprétation globale ».</w:t>
      </w:r>
    </w:p>
    <w:p>
      <w:pPr>
        <w:pStyle w:val="ListParagraph"/>
        <w:numPr>
          <w:ilvl w:val="0"/>
          <w:numId w:val="7"/>
        </w:numPr>
        <w:spacing w:after="60" w:line="264"/>
      </w:pPr>
      <w:r>
        <w:t xml:space="preserve">Pleuger p. 48 : « est-il certain qu'une telle version canonique ait jamais existé ? »</w:t>
      </w:r>
    </w:p>
    <w:p>
      <w:pPr>
        <w:pStyle w:val="ListParagraph"/>
        <w:numPr>
          <w:ilvl w:val="0"/>
          <w:numId w:val="7"/>
        </w:numPr>
        <w:spacing w:after="60" w:line="264"/>
      </w:pPr>
      <w:r>
        <w:t xml:space="preserve">Pleuger p. 67 : « une multiplication d'explications et d'images concurrentes […] plutôt qu'un parcours rigoureux et géographique ».</w:t>
      </w:r>
    </w:p>
    <w:p>
      <w:pPr>
        <w:pStyle w:val="ListParagraph"/>
        <w:numPr>
          <w:ilvl w:val="0"/>
          <w:numId w:val="7"/>
        </w:numPr>
        <w:spacing w:after="60" w:line="264"/>
      </w:pPr>
      <w:r>
        <w:t xml:space="preserve">Darnell p. 457 (notre trad.) : la composition « ne semble jamais s'être fixée en une forme canonique unique ».</w:t>
      </w:r>
    </w:p>
    <w:p>
      <w:pPr>
        <w:pStyle w:val="ListParagraph"/>
        <w:numPr>
          <w:ilvl w:val="0"/>
          <w:numId w:val="7"/>
        </w:numPr>
        <w:spacing w:after="60" w:line="264"/>
      </w:pPr>
      <w:r>
        <w:t xml:space="preserve">Darnell p. 498, </w:t>
      </w:r>
      <w:r>
        <w:rPr>
          <w:b/>
          <w:bCs/>
        </w:rPr>
        <w:t xml:space="preserve">paraphrasant Roberson 2012 p. 148</w:t>
      </w:r>
      <w:r>
        <w:t xml:space="preserve"> : l'avant de chaque lion d'Aker peut se lire </w:t>
      </w:r>
      <w:r>
        <w:rPr>
          <w:i/>
          <w:iCs/>
        </w:rPr>
        <w:t xml:space="preserve">ḥꜣ.t</w:t>
      </w:r>
      <w:r>
        <w:t xml:space="preserve">, « commencement », « comme si le dieu solaire allait d'un commencement à un autre sans jamais atteindre la "fin" ». → </w:t>
      </w:r>
      <w:r>
        <w:rPr>
          <w:b/>
          <w:bCs/>
        </w:rPr>
        <w:t xml:space="preserve">devise de la série</w:t>
      </w:r>
      <w:r>
        <w:t xml:space="preserve"> (à attribuer exactement ainsi).</w:t>
      </w:r>
    </w:p>
    <w:p>
      <w:pPr>
        <w:spacing w:after="60"/>
      </w:pPr>
    </w:p>
    <w:p>
      <w:pPr>
        <w:pStyle w:val="Heading2"/>
      </w:pPr>
      <w:r>
        <w:t xml:space="preserve">5. Scènes clés de KV9 (numérotation Darnell, chap. 6 — toutes V [DARNELL])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3"/>
        <w:gridCol w:w="4355"/>
        <w:gridCol w:w="2945"/>
        <w:gridCol w:w="1105"/>
      </w:tblGrid>
      <w:tr>
        <w:trPr>
          <w:cantSplit/>
          <w:tblHeader/>
        </w:trPr>
        <w:tc>
          <w:tcPr>
            <w:tcW w:type="dxa" w:w="1233"/>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w:t>
            </w:r>
          </w:p>
        </w:tc>
        <w:tc>
          <w:tcPr>
            <w:tcW w:type="dxa" w:w="435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Scène</w:t>
            </w:r>
          </w:p>
        </w:tc>
        <w:tc>
          <w:tcPr>
            <w:tcW w:type="dxa" w:w="294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Légende (notre trad. de Darnell)</w:t>
            </w:r>
          </w:p>
        </w:tc>
        <w:tc>
          <w:tcPr>
            <w:tcW w:type="dxa" w:w="110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Épisode</w:t>
            </w:r>
          </w:p>
        </w:tc>
      </w:tr>
      <w:tr>
        <w:trPr>
          <w:cantSplit/>
          <w:tblHeader w:val="false"/>
        </w:trPr>
        <w:tc>
          <w:tcPr>
            <w:tcW w:type="dxa" w:w="123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6.1</w:t>
            </w:r>
          </w:p>
        </w:tc>
        <w:tc>
          <w:tcPr>
            <w:tcW w:type="dxa" w:w="43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Tableau d'ouverture : la barque solaire sur le </w:t>
            </w:r>
            <w:r>
              <w:rPr>
                <w:b/>
                <w:bCs/>
                <w:sz w:val="18"/>
                <w:szCs w:val="18"/>
              </w:rPr>
              <w:t xml:space="preserve">double Aker</w:t>
            </w:r>
            <w:r>
              <w:rPr>
                <w:sz w:val="18"/>
                <w:szCs w:val="18"/>
              </w:rPr>
              <w:t xml:space="preserve">, Khépri et Thot à bord ; en dessous, Ramsès VI dédoublé soulève un disque ; Isis et Nephthys soutiennent un scarabée ailé</w:t>
            </w:r>
          </w:p>
        </w:tc>
        <w:tc>
          <w:tcPr>
            <w:tcW w:type="dxa" w:w="294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Le roi de Haute et Basse-Égypte, Ramsès (VI), soulève Rê. »</w:t>
            </w:r>
          </w:p>
        </w:tc>
        <w:tc>
          <w:tcPr>
            <w:tcW w:type="dxa" w:w="110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4</w:t>
            </w:r>
          </w:p>
        </w:tc>
      </w:tr>
      <w:tr>
        <w:trPr>
          <w:cantSplit/>
          <w:tblHeader w:val="false"/>
        </w:trPr>
        <w:tc>
          <w:tcPr>
            <w:tcW w:type="dxa" w:w="123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6.2</w:t>
            </w:r>
          </w:p>
        </w:tc>
        <w:tc>
          <w:tcPr>
            <w:tcW w:type="dxa" w:w="435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La « Mystérieuse » (Shetayt) ; le « double ba »</w:t>
            </w:r>
          </w:p>
        </w:tc>
        <w:tc>
          <w:tcPr>
            <w:tcW w:type="dxa" w:w="294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La tête de la Mystérieuse est dans la Douat supérieure, ses pieds dans la Douat inférieure. »</w:t>
            </w:r>
          </w:p>
        </w:tc>
        <w:tc>
          <w:tcPr>
            <w:tcW w:type="dxa" w:w="110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11</w:t>
            </w:r>
          </w:p>
        </w:tc>
      </w:tr>
      <w:tr>
        <w:trPr>
          <w:cantSplit/>
          <w:tblHeader w:val="false"/>
        </w:trPr>
        <w:tc>
          <w:tcPr>
            <w:tcW w:type="dxa" w:w="123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6.3</w:t>
            </w:r>
          </w:p>
        </w:tc>
        <w:tc>
          <w:tcPr>
            <w:tcW w:type="dxa" w:w="43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Grand disque embrassé par des bras sortant du sol, 12 étoiles, 12 disques ; « cadavre de Noun qui est dans la terre »</w:t>
            </w:r>
          </w:p>
        </w:tc>
        <w:tc>
          <w:tcPr>
            <w:tcW w:type="dxa" w:w="294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Ô, donne-moi tes bras ! »</w:t>
            </w:r>
          </w:p>
        </w:tc>
        <w:tc>
          <w:tcPr>
            <w:tcW w:type="dxa" w:w="110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w:t>
            </w:r>
          </w:p>
        </w:tc>
      </w:tr>
      <w:tr>
        <w:trPr>
          <w:cantSplit/>
          <w:tblHeader w:val="false"/>
        </w:trPr>
        <w:tc>
          <w:tcPr>
            <w:tcW w:type="dxa" w:w="123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6.4</w:t>
            </w:r>
          </w:p>
        </w:tc>
        <w:tc>
          <w:tcPr>
            <w:tcW w:type="dxa" w:w="435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Naos d'Osiris, chaudrons, ennemis ; Anubis garde le « Coffre mystérieux »</w:t>
            </w:r>
          </w:p>
        </w:tc>
        <w:tc>
          <w:tcPr>
            <w:tcW w:type="dxa" w:w="294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Rê : « Quand vous entendez ma voix, vous respirez ! »</w:t>
            </w:r>
          </w:p>
        </w:tc>
        <w:tc>
          <w:tcPr>
            <w:tcW w:type="dxa" w:w="110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5, 7</w:t>
            </w:r>
          </w:p>
        </w:tc>
      </w:tr>
      <w:tr>
        <w:trPr>
          <w:cantSplit/>
          <w:tblHeader w:val="false"/>
        </w:trPr>
        <w:tc>
          <w:tcPr>
            <w:tcW w:type="dxa" w:w="123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6.11 / 6.40</w:t>
            </w:r>
          </w:p>
        </w:tc>
        <w:tc>
          <w:tcPr>
            <w:tcW w:type="dxa" w:w="43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Les « deux bras de Noun » soulèvent le disque</w:t>
            </w:r>
          </w:p>
        </w:tc>
        <w:tc>
          <w:tcPr>
            <w:tcW w:type="dxa" w:w="294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10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w:t>
            </w:r>
          </w:p>
        </w:tc>
      </w:tr>
      <w:tr>
        <w:trPr>
          <w:cantSplit/>
          <w:tblHeader w:val="false"/>
        </w:trPr>
        <w:tc>
          <w:tcPr>
            <w:tcW w:type="dxa" w:w="123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6.12-13, 6.17</w:t>
            </w:r>
          </w:p>
        </w:tc>
        <w:tc>
          <w:tcPr>
            <w:tcW w:type="dxa" w:w="435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Ennemis décapités, ligotés ; têtes dans des chaudrons</w:t>
            </w:r>
          </w:p>
        </w:tc>
        <w:tc>
          <w:tcPr>
            <w:tcW w:type="dxa" w:w="294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c>
          <w:tcPr>
            <w:tcW w:type="dxa" w:w="110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7</w:t>
            </w:r>
          </w:p>
        </w:tc>
      </w:tr>
      <w:tr>
        <w:trPr>
          <w:cantSplit/>
          <w:tblHeader w:val="false"/>
        </w:trPr>
        <w:tc>
          <w:tcPr>
            <w:tcW w:type="dxa" w:w="123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6.15</w:t>
            </w:r>
          </w:p>
        </w:tc>
        <w:tc>
          <w:tcPr>
            <w:tcW w:type="dxa" w:w="43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Osiris dans un tertre, entre le « </w:t>
            </w:r>
            <w:r>
              <w:rPr>
                <w:b/>
                <w:bCs/>
                <w:sz w:val="18"/>
                <w:szCs w:val="18"/>
              </w:rPr>
              <w:t xml:space="preserve">cadavre de Tatenen</w:t>
            </w:r>
            <w:r>
              <w:rPr>
                <w:sz w:val="18"/>
                <w:szCs w:val="18"/>
              </w:rPr>
              <w:t xml:space="preserve"> » et le « cadavre de Geb »</w:t>
            </w:r>
          </w:p>
        </w:tc>
        <w:tc>
          <w:tcPr>
            <w:tcW w:type="dxa" w:w="294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10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8</w:t>
            </w:r>
          </w:p>
        </w:tc>
      </w:tr>
      <w:tr>
        <w:trPr>
          <w:cantSplit/>
          <w:tblHeader w:val="false"/>
        </w:trPr>
        <w:tc>
          <w:tcPr>
            <w:tcW w:type="dxa" w:w="123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6.16</w:t>
            </w:r>
          </w:p>
        </w:tc>
        <w:tc>
          <w:tcPr>
            <w:tcW w:type="dxa" w:w="435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Cadavre de Celle qui détruit » ; Khépri sort du disque</w:t>
            </w:r>
          </w:p>
        </w:tc>
        <w:tc>
          <w:tcPr>
            <w:tcW w:type="dxa" w:w="294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 soleil : « Moi-même, je me mets au monde. »</w:t>
            </w:r>
          </w:p>
        </w:tc>
        <w:tc>
          <w:tcPr>
            <w:tcW w:type="dxa" w:w="110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w:t>
            </w:r>
          </w:p>
        </w:tc>
      </w:tr>
      <w:tr>
        <w:trPr>
          <w:cantSplit/>
          <w:tblHeader w:val="false"/>
        </w:trPr>
        <w:tc>
          <w:tcPr>
            <w:tcW w:type="dxa" w:w="123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6.26</w:t>
            </w:r>
          </w:p>
        </w:tc>
        <w:tc>
          <w:tcPr>
            <w:tcW w:type="dxa" w:w="43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Barque sur Aker, proue « Sortir d'Aker »</w:t>
            </w:r>
          </w:p>
        </w:tc>
        <w:tc>
          <w:tcPr>
            <w:tcW w:type="dxa" w:w="294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Ce dieu, ainsi, sur le dos du mystérieux Aker… »</w:t>
            </w:r>
          </w:p>
        </w:tc>
        <w:tc>
          <w:tcPr>
            <w:tcW w:type="dxa" w:w="110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4</w:t>
            </w:r>
          </w:p>
        </w:tc>
      </w:tr>
      <w:tr>
        <w:trPr>
          <w:cantSplit/>
          <w:tblHeader w:val="false"/>
        </w:trPr>
        <w:tc>
          <w:tcPr>
            <w:tcW w:type="dxa" w:w="123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6.35</w:t>
            </w:r>
          </w:p>
        </w:tc>
        <w:tc>
          <w:tcPr>
            <w:tcW w:type="dxa" w:w="435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c>
          <w:tcPr>
            <w:tcW w:type="dxa" w:w="294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Passer le cadavre de Tatenen par ce grand dieu, lorsqu'il traverse le cadavre de Noun. »</w:t>
            </w:r>
          </w:p>
        </w:tc>
        <w:tc>
          <w:tcPr>
            <w:tcW w:type="dxa" w:w="110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8</w:t>
            </w:r>
          </w:p>
        </w:tc>
      </w:tr>
      <w:tr>
        <w:trPr>
          <w:cantSplit/>
          <w:tblHeader w:val="false"/>
        </w:trPr>
        <w:tc>
          <w:tcPr>
            <w:tcW w:type="dxa" w:w="123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6.38-39</w:t>
            </w:r>
          </w:p>
        </w:tc>
        <w:tc>
          <w:tcPr>
            <w:tcW w:type="dxa" w:w="43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Barque halée par des oiseaux-ba au-dessus d'un tertre avec un œil qui pleure et quatre morceaux de chair ; « bras de Geb »</w:t>
            </w:r>
          </w:p>
        </w:tc>
        <w:tc>
          <w:tcPr>
            <w:tcW w:type="dxa" w:w="294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10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10</w:t>
            </w:r>
          </w:p>
        </w:tc>
      </w:tr>
      <w:tr>
        <w:trPr>
          <w:cantSplit/>
          <w:tblHeader w:val="false"/>
        </w:trPr>
        <w:tc>
          <w:tcPr>
            <w:tcW w:type="dxa" w:w="123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6.40</w:t>
            </w:r>
          </w:p>
        </w:tc>
        <w:tc>
          <w:tcPr>
            <w:tcW w:type="dxa" w:w="435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Noun et Tatenen</w:t>
            </w:r>
            <w:r>
              <w:rPr>
                <w:sz w:val="18"/>
                <w:szCs w:val="18"/>
              </w:rPr>
              <w:t xml:space="preserve"> soutiennent les barques de nuit et de jour qui entrent dans Aker et en sortent</w:t>
            </w:r>
          </w:p>
        </w:tc>
        <w:tc>
          <w:tcPr>
            <w:tcW w:type="dxa" w:w="294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c>
          <w:tcPr>
            <w:tcW w:type="dxa" w:w="110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8, 12</w:t>
            </w:r>
          </w:p>
        </w:tc>
      </w:tr>
      <w:tr>
        <w:trPr>
          <w:cantSplit/>
          <w:tblHeader w:val="false"/>
        </w:trPr>
        <w:tc>
          <w:tcPr>
            <w:tcW w:type="dxa" w:w="123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Fin</w:t>
            </w:r>
          </w:p>
        </w:tc>
        <w:tc>
          <w:tcPr>
            <w:tcW w:type="dxa" w:w="43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Apophis saisi par des dieux à tête de bélier</w:t>
            </w:r>
          </w:p>
        </w:tc>
        <w:tc>
          <w:tcPr>
            <w:tcW w:type="dxa" w:w="294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10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7</w:t>
            </w:r>
          </w:p>
        </w:tc>
      </w:tr>
    </w:tbl>
    <w:p>
      <w:pPr>
        <w:spacing w:after="120"/>
      </w:pPr>
    </w:p>
    <w:p>
      <w:pPr>
        <w:spacing w:after="120" w:line="276"/>
      </w:pPr>
      <w:r>
        <w:t xml:space="preserve">Autres scènes de la chambre J signalées par le [TMP] : le </w:t>
      </w:r>
      <w:r>
        <w:rPr>
          <w:b/>
          <w:bCs/>
        </w:rPr>
        <w:t xml:space="preserve">ba de Rê en grand oiseau à tête de bélier</w:t>
      </w:r>
      <w:r>
        <w:t xml:space="preserve"> ; une figure d'horloge à eau, « Celle qui cache les heures » ; Isis, Horus et Nephthys autour d'Osiris.</w:t>
      </w:r>
    </w:p>
    <w:p>
      <w:pPr>
        <w:spacing w:after="120" w:line="276"/>
      </w:pPr>
      <w:r>
        <w:rPr>
          <w:b/>
          <w:bCs/>
        </w:rPr>
        <w:t xml:space="preserve">Correction importante</w:t>
      </w:r>
      <w:r>
        <w:t xml:space="preserve"> : Wikipédia dit que Tatenen n'apparaît que dans une liste de divinités ; c'est </w:t>
      </w:r>
      <w:r>
        <w:rPr>
          <w:b/>
          <w:bCs/>
        </w:rPr>
        <w:t xml:space="preserve">faux</w:t>
      </w:r>
      <w:r>
        <w:t xml:space="preserve"> pour KV9 — il apparaît trois fois (§6.15, 6.35, 6.40 ; [DARNELL] p. 14).</w:t>
      </w:r>
    </w:p>
    <w:p>
      <w:pPr>
        <w:pStyle w:val="Heading2"/>
      </w:pPr>
      <w:r>
        <w:t xml:space="preserve">6. Traductions disponibles (pour ne jamais inventer une légende)</w:t>
      </w:r>
    </w:p>
    <w:p>
      <w:pPr>
        <w:pStyle w:val="ListParagraph"/>
        <w:numPr>
          <w:ilvl w:val="0"/>
          <w:numId w:val="8"/>
        </w:numPr>
        <w:spacing w:after="60" w:line="264"/>
      </w:pPr>
      <w:r>
        <w:t xml:space="preserve">Piankoff 1953, </w:t>
      </w:r>
      <w:r>
        <w:rPr>
          <w:i/>
          <w:iCs/>
        </w:rPr>
        <w:t xml:space="preserve">La Création du disque solaire</w:t>
      </w:r>
      <w:r>
        <w:t xml:space="preserve"> (français, IFAO).</w:t>
      </w:r>
    </w:p>
    <w:p>
      <w:pPr>
        <w:pStyle w:val="ListParagraph"/>
        <w:numPr>
          <w:ilvl w:val="0"/>
          <w:numId w:val="8"/>
        </w:numPr>
        <w:spacing w:after="60" w:line="264"/>
      </w:pPr>
      <w:r>
        <w:t xml:space="preserve">Piankoff &amp; Rambova 1954, </w:t>
      </w:r>
      <w:r>
        <w:rPr>
          <w:i/>
          <w:iCs/>
        </w:rPr>
        <w:t xml:space="preserve">The Tomb of Ramesses VI</w:t>
      </w:r>
      <w:r>
        <w:t xml:space="preserve"> (anglais).</w:t>
      </w:r>
    </w:p>
    <w:p>
      <w:pPr>
        <w:pStyle w:val="ListParagraph"/>
        <w:numPr>
          <w:ilvl w:val="0"/>
          <w:numId w:val="8"/>
        </w:numPr>
        <w:spacing w:after="60" w:line="264"/>
      </w:pPr>
      <w:r>
        <w:t xml:space="preserve">Roberson 2012, chap. 6 (édition et traduction).</w:t>
      </w:r>
    </w:p>
    <w:p>
      <w:pPr>
        <w:pStyle w:val="ListParagraph"/>
        <w:numPr>
          <w:ilvl w:val="0"/>
          <w:numId w:val="8"/>
        </w:numPr>
        <w:spacing w:after="60" w:line="264"/>
      </w:pPr>
      <w:r>
        <w:t xml:space="preserve">Darnell &amp; Darnell 2018, p. 457-530 (anglais ; </w:t>
      </w:r>
      <w:r>
        <w:rPr>
          <w:b/>
          <w:bCs/>
        </w:rPr>
        <w:t xml:space="preserve">PDF en libre accès</w:t>
      </w:r>
      <w:r>
        <w:t xml:space="preserve"> chez SBL).</w:t>
      </w:r>
    </w:p>
    <w:p>
      <w:pPr>
        <w:pStyle w:val="ListParagraph"/>
        <w:numPr>
          <w:ilvl w:val="0"/>
          <w:numId w:val="8"/>
        </w:numPr>
        <w:spacing w:after="60" w:line="264"/>
      </w:pPr>
      <w:r>
        <w:t xml:space="preserve">Pleuger 2020 (traductions françaises de passages choisis).</w:t>
      </w:r>
    </w:p>
    <w:p>
      <w:pPr>
        <w:spacing w:after="60"/>
      </w:pPr>
    </w:p>
    <w:p>
      <w:r>
        <w:br w:type="page"/>
      </w:r>
    </w:p>
    <w:p>
      <w:pPr>
        <w:pStyle w:val="Heading1"/>
      </w:pPr>
      <w:r>
        <w:t xml:space="preserve">Bible · 3 — Divinités, autres livres funéraires, iconographie</w:t>
      </w:r>
    </w:p>
    <w:p>
      <w:pPr>
        <w:spacing w:after="120" w:line="276"/>
      </w:pPr>
      <w:r>
        <w:t xml:space="preserve">Statuts : V / C / N. La plupart des vérifications iconographiques reposent sur des articles Wikipédia qui citent des ouvrages savants (Wilkinson 2003, Hart, Pinch…), </w:t>
      </w:r>
      <w:r>
        <w:rPr>
          <w:b/>
          <w:bCs/>
        </w:rPr>
        <w:t xml:space="preserve">non ouverts directement</w:t>
      </w:r>
      <w:r>
        <w:t xml:space="preserve"> : à recouper dans *</w:t>
      </w:r>
      <w:r>
        <w:rPr>
          <w:i/>
          <w:iCs/>
        </w:rPr>
        <w:t xml:space="preserve">Wilkinson, </w:t>
      </w:r>
      <w:r>
        <w:t xml:space="preserve">The Complete Gods and Goddesses of Ancient Egypt</w:t>
      </w:r>
      <w:r>
        <w:rPr>
          <w:i/>
          <w:iCs/>
        </w:rPr>
        <w:t xml:space="preserve"> (2003)</w:t>
      </w:r>
      <w:r>
        <w:t xml:space="preserve">* avant validation finale des model sheets.</w:t>
      </w:r>
    </w:p>
    <w:p>
      <w:pPr>
        <w:pStyle w:val="Heading2"/>
      </w:pPr>
      <w:r>
        <w:t xml:space="preserve">1. Fiches divinités (pour les model sheets)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8"/>
        <w:gridCol w:w="2935"/>
        <w:gridCol w:w="2011"/>
        <w:gridCol w:w="1684"/>
        <w:gridCol w:w="1790"/>
      </w:tblGrid>
      <w:tr>
        <w:trPr>
          <w:cantSplit/>
          <w:tblHeader/>
        </w:trPr>
        <w:tc>
          <w:tcPr>
            <w:tcW w:type="dxa" w:w="121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Divinité</w:t>
            </w:r>
          </w:p>
        </w:tc>
        <w:tc>
          <w:tcPr>
            <w:tcW w:type="dxa" w:w="293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Iconographie</w:t>
            </w:r>
          </w:p>
        </w:tc>
        <w:tc>
          <w:tcPr>
            <w:tcW w:type="dxa" w:w="201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Rôle</w:t>
            </w:r>
          </w:p>
        </w:tc>
        <w:tc>
          <w:tcPr>
            <w:tcW w:type="dxa" w:w="168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Dans KV9</w:t>
            </w:r>
          </w:p>
        </w:tc>
        <w:tc>
          <w:tcPr>
            <w:tcW w:type="dxa" w:w="179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r>
      <w:tr>
        <w:trPr>
          <w:cantSplit/>
          <w:tblHeader w:val="false"/>
        </w:trPr>
        <w:tc>
          <w:tcPr>
            <w:tcW w:type="dxa" w:w="12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Rê</w:t>
            </w:r>
          </w:p>
        </w:tc>
        <w:tc>
          <w:tcPr>
            <w:tcW w:type="dxa" w:w="29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Le jour : tête de faucon, disque et uraeus. </w:t>
            </w:r>
            <w:r>
              <w:rPr>
                <w:b/>
                <w:bCs/>
                <w:sz w:val="18"/>
                <w:szCs w:val="18"/>
              </w:rPr>
              <w:t xml:space="preserve">La nuit (dans la barque) : tête de bélier</w:t>
            </w:r>
          </w:p>
        </w:tc>
        <w:tc>
          <w:tcPr>
            <w:tcW w:type="dxa" w:w="20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Soleil ; voyage nocturne</w:t>
            </w:r>
          </w:p>
        </w:tc>
        <w:tc>
          <w:tcPr>
            <w:tcW w:type="dxa" w:w="16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Partout (barques, Portes, Cavernes, Amdouat)</w:t>
            </w:r>
          </w:p>
        </w:tc>
        <w:tc>
          <w:tcPr>
            <w:tcW w:type="dxa" w:w="179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Khépri</w:t>
            </w:r>
          </w:p>
        </w:tc>
        <w:tc>
          <w:tcPr>
            <w:tcW w:type="dxa" w:w="293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Scarabée poussant le disque, ou homme à tête de scarabée ; nom lié au verbe </w:t>
            </w:r>
            <w:r>
              <w:rPr>
                <w:i/>
                <w:iCs/>
                <w:sz w:val="18"/>
                <w:szCs w:val="18"/>
              </w:rPr>
              <w:t xml:space="preserve">ḫpr</w:t>
            </w:r>
            <w:r>
              <w:rPr>
                <w:sz w:val="18"/>
                <w:szCs w:val="18"/>
              </w:rPr>
              <w:t xml:space="preserve">, « venir à l'existence »</w:t>
            </w:r>
          </w:p>
        </w:tc>
        <w:tc>
          <w:tcPr>
            <w:tcW w:type="dxa" w:w="20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Soleil du matin</w:t>
            </w:r>
          </w:p>
        </w:tc>
        <w:tc>
          <w:tcPr>
            <w:tcW w:type="dxa" w:w="16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Dans la barque avec Thot (§6.1) ; sort du disque (§6.16) ; heure 6 de l'Amdouat (« cadavre de Khépri »)</w:t>
            </w:r>
          </w:p>
        </w:tc>
        <w:tc>
          <w:tcPr>
            <w:tcW w:type="dxa" w:w="179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Atoum</w:t>
            </w:r>
          </w:p>
        </w:tc>
        <w:tc>
          <w:tcPr>
            <w:tcW w:type="dxa" w:w="29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Homme coiffé de la double couronne ; dans les livres de l'au-delà, parfois vieillard appuyé sur un bâton</w:t>
            </w:r>
          </w:p>
        </w:tc>
        <w:tc>
          <w:tcPr>
            <w:tcW w:type="dxa" w:w="20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Soleil du soir ; démiurge héliopolitain sorti du Noun</w:t>
            </w:r>
          </w:p>
        </w:tc>
        <w:tc>
          <w:tcPr>
            <w:tcW w:type="dxa" w:w="16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79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Osiris</w:t>
            </w:r>
          </w:p>
        </w:tc>
        <w:tc>
          <w:tcPr>
            <w:tcW w:type="dxa" w:w="293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Momiforme, peau </w:t>
            </w:r>
            <w:r>
              <w:rPr>
                <w:b/>
                <w:bCs/>
                <w:sz w:val="18"/>
                <w:szCs w:val="18"/>
              </w:rPr>
              <w:t xml:space="preserve">verte</w:t>
            </w:r>
            <w:r>
              <w:rPr>
                <w:sz w:val="18"/>
                <w:szCs w:val="18"/>
              </w:rPr>
              <w:t xml:space="preserve"> (régénération) ou </w:t>
            </w:r>
            <w:r>
              <w:rPr>
                <w:b/>
                <w:bCs/>
                <w:sz w:val="18"/>
                <w:szCs w:val="18"/>
              </w:rPr>
              <w:t xml:space="preserve">noire</w:t>
            </w:r>
            <w:r>
              <w:rPr>
                <w:sz w:val="18"/>
                <w:szCs w:val="18"/>
              </w:rPr>
              <w:t xml:space="preserve"> (limon, monde inférieur), couronne atef, crosse et flagellum</w:t>
            </w:r>
          </w:p>
        </w:tc>
        <w:tc>
          <w:tcPr>
            <w:tcW w:type="dxa" w:w="20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Souverain des morts, régénération</w:t>
            </w:r>
          </w:p>
        </w:tc>
        <w:tc>
          <w:tcPr>
            <w:tcW w:type="dxa" w:w="16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Paroi ouest de F ; Livre de la Terre (§6.4, 6.15) ; jugement (Portes, 5ᵉ porte)</w:t>
            </w:r>
          </w:p>
        </w:tc>
        <w:tc>
          <w:tcPr>
            <w:tcW w:type="dxa" w:w="179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Aker</w:t>
            </w:r>
          </w:p>
        </w:tc>
        <w:tc>
          <w:tcPr>
            <w:tcW w:type="dxa" w:w="29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D'abord avant d'un lion ; puis </w:t>
            </w:r>
            <w:r>
              <w:rPr>
                <w:b/>
                <w:bCs/>
                <w:sz w:val="18"/>
                <w:szCs w:val="18"/>
              </w:rPr>
              <w:t xml:space="preserve">deux avant-corps de lion dos à dos</w:t>
            </w:r>
            <w:r>
              <w:rPr>
                <w:sz w:val="18"/>
                <w:szCs w:val="18"/>
              </w:rPr>
              <w:t xml:space="preserve"> ; puis deux lions avec le signe de l'horizon ; plus tard </w:t>
            </w:r>
            <w:r>
              <w:rPr>
                <w:b/>
                <w:bCs/>
                <w:sz w:val="18"/>
                <w:szCs w:val="18"/>
              </w:rPr>
              <w:t xml:space="preserve">double sphinx à tête humaine</w:t>
            </w:r>
          </w:p>
        </w:tc>
        <w:tc>
          <w:tcPr>
            <w:tcW w:type="dxa" w:w="20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Gardien des horizons est et ouest ; porte/passe la barque nocturne ; aide à la naissance de Khépri</w:t>
            </w:r>
          </w:p>
        </w:tc>
        <w:tc>
          <w:tcPr>
            <w:tcW w:type="dxa" w:w="16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Double sphinx (Livre de la Terre §6.1, 6.26 ; Cavernes div. 3)</w:t>
            </w:r>
          </w:p>
        </w:tc>
        <w:tc>
          <w:tcPr>
            <w:tcW w:type="dxa" w:w="179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Les lions « hier / demain »</w:t>
            </w:r>
          </w:p>
        </w:tc>
        <w:tc>
          <w:tcPr>
            <w:tcW w:type="dxa" w:w="293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Noms donnés : Sefe / Douaou (Remler 2010) ; paire appelée aussi Routy</w:t>
            </w:r>
          </w:p>
        </w:tc>
        <w:tc>
          <w:tcPr>
            <w:tcW w:type="dxa" w:w="20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c>
          <w:tcPr>
            <w:tcW w:type="dxa" w:w="16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c>
          <w:tcPr>
            <w:tcW w:type="dxa" w:w="179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C</w:t>
            </w:r>
          </w:p>
        </w:tc>
      </w:tr>
      <w:tr>
        <w:trPr>
          <w:cantSplit/>
          <w:tblHeader w:val="false"/>
        </w:trPr>
        <w:tc>
          <w:tcPr>
            <w:tcW w:type="dxa" w:w="12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Tatenen</w:t>
            </w:r>
          </w:p>
        </w:tc>
        <w:tc>
          <w:tcPr>
            <w:tcW w:type="dxa" w:w="29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Homme barbu, souvent assis, </w:t>
            </w:r>
            <w:r>
              <w:rPr>
                <w:b/>
                <w:bCs/>
                <w:sz w:val="18"/>
                <w:szCs w:val="18"/>
              </w:rPr>
              <w:t xml:space="preserve">cornes de bélier, disque et deux hautes plumes</w:t>
            </w:r>
            <w:r>
              <w:rPr>
                <w:sz w:val="18"/>
                <w:szCs w:val="18"/>
              </w:rPr>
              <w:t xml:space="preserve"> (parfois atef) ; peau parfois verte (Wilkinson 2003 p. 130)</w:t>
            </w:r>
          </w:p>
        </w:tc>
        <w:tc>
          <w:tcPr>
            <w:tcW w:type="dxa" w:w="20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Terre primordiale sortie du Noun ; fusionné avec Ptah (</w:t>
            </w:r>
            <w:r>
              <w:rPr>
                <w:b/>
                <w:bCs/>
                <w:sz w:val="18"/>
                <w:szCs w:val="18"/>
              </w:rPr>
              <w:t xml:space="preserve">Ptah-Tatenen</w:t>
            </w:r>
            <w:r>
              <w:rPr>
                <w:sz w:val="18"/>
                <w:szCs w:val="18"/>
              </w:rPr>
              <w:t xml:space="preserve">, seule forme à la XIXᵉ dyn.)</w:t>
            </w:r>
          </w:p>
        </w:tc>
        <w:tc>
          <w:tcPr>
            <w:tcW w:type="dxa" w:w="16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§6.15, 6.35, 6.40 du Livre de la Terre</w:t>
            </w:r>
          </w:p>
        </w:tc>
        <w:tc>
          <w:tcPr>
            <w:tcW w:type="dxa" w:w="179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 sens du nom « terre qui s'élève » : V mais sources faibles → écrire « la terre surgie (selon une interprétation courante) »</w:t>
            </w:r>
          </w:p>
        </w:tc>
      </w:tr>
      <w:tr>
        <w:trPr>
          <w:cantSplit/>
          <w:tblHeader w:val="false"/>
        </w:trPr>
        <w:tc>
          <w:tcPr>
            <w:tcW w:type="dxa" w:w="12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Nout</w:t>
            </w:r>
          </w:p>
        </w:tc>
        <w:tc>
          <w:tcPr>
            <w:tcW w:type="dxa" w:w="293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Femme arquée sur orteils et doigts, corps étoilé ; plafonds bleu sombre</w:t>
            </w:r>
          </w:p>
        </w:tc>
        <w:tc>
          <w:tcPr>
            <w:tcW w:type="dxa" w:w="20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Avale le soleil le soir, le met au monde au matin</w:t>
            </w:r>
          </w:p>
        </w:tc>
        <w:tc>
          <w:tcPr>
            <w:tcW w:type="dxa" w:w="16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Plafonds D, E, F, </w:t>
            </w:r>
            <w:r>
              <w:rPr>
                <w:b/>
                <w:bCs/>
                <w:sz w:val="18"/>
                <w:szCs w:val="18"/>
              </w:rPr>
              <w:t xml:space="preserve">voûte de J (deux Nout dos à dos)</w:t>
            </w:r>
          </w:p>
        </w:tc>
        <w:tc>
          <w:tcPr>
            <w:tcW w:type="dxa" w:w="179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Geb</w:t>
            </w:r>
          </w:p>
        </w:tc>
        <w:tc>
          <w:tcPr>
            <w:tcW w:type="dxa" w:w="29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Homme allongé, végétation sur le corps, parfois oie sur la tête</w:t>
            </w:r>
          </w:p>
        </w:tc>
        <w:tc>
          <w:tcPr>
            <w:tcW w:type="dxa" w:w="20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La terre</w:t>
            </w:r>
          </w:p>
        </w:tc>
        <w:tc>
          <w:tcPr>
            <w:tcW w:type="dxa" w:w="16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Cadavre de Geb » (§6.4, 6.15), « bras de Geb » (§6.39)</w:t>
            </w:r>
          </w:p>
        </w:tc>
        <w:tc>
          <w:tcPr>
            <w:tcW w:type="dxa" w:w="179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 « peau entièrement verte » : N</w:t>
            </w:r>
          </w:p>
        </w:tc>
      </w:tr>
      <w:tr>
        <w:trPr>
          <w:cantSplit/>
          <w:tblHeader w:val="false"/>
        </w:trPr>
        <w:tc>
          <w:tcPr>
            <w:tcW w:type="dxa" w:w="12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Noun</w:t>
            </w:r>
          </w:p>
        </w:tc>
        <w:tc>
          <w:tcPr>
            <w:tcW w:type="dxa" w:w="293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Homme barbu à peau bleu-vert soulevant la barque hors des eaux</w:t>
            </w:r>
          </w:p>
        </w:tc>
        <w:tc>
          <w:tcPr>
            <w:tcW w:type="dxa" w:w="20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Océan primordial</w:t>
            </w:r>
          </w:p>
        </w:tc>
        <w:tc>
          <w:tcPr>
            <w:tcW w:type="dxa" w:w="16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Bras de Noun (§6.3, 6.11, 6.40) ; scène finale des Portes (F, K)</w:t>
            </w:r>
          </w:p>
        </w:tc>
        <w:tc>
          <w:tcPr>
            <w:tcW w:type="dxa" w:w="179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Apophis</w:t>
            </w:r>
          </w:p>
        </w:tc>
        <w:tc>
          <w:tcPr>
            <w:tcW w:type="dxa" w:w="29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Serpent géant ; percé de couteaux dans les vignettes</w:t>
            </w:r>
          </w:p>
        </w:tc>
        <w:tc>
          <w:tcPr>
            <w:tcW w:type="dxa" w:w="20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Attaque la barque chaque nuit ; heure 7 de l'Amdouat</w:t>
            </w:r>
          </w:p>
        </w:tc>
        <w:tc>
          <w:tcPr>
            <w:tcW w:type="dxa" w:w="16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Saisi par des dieux à tête de bélier (fin du Livre de la Terre) ; tué dans le Livre du Jour</w:t>
            </w:r>
          </w:p>
        </w:tc>
        <w:tc>
          <w:tcPr>
            <w:tcW w:type="dxa" w:w="179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 « Seth harponnant Apophis » dans KV9 : N</w:t>
            </w:r>
          </w:p>
        </w:tc>
      </w:tr>
      <w:tr>
        <w:trPr>
          <w:cantSplit/>
          <w:tblHeader w:val="false"/>
        </w:trPr>
        <w:tc>
          <w:tcPr>
            <w:tcW w:type="dxa" w:w="121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Isis, Nephthys</w:t>
            </w:r>
          </w:p>
        </w:tc>
        <w:tc>
          <w:tcPr>
            <w:tcW w:type="dxa" w:w="293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c>
          <w:tcPr>
            <w:tcW w:type="dxa" w:w="20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Protectrices d'Osiris et du soleil</w:t>
            </w:r>
          </w:p>
        </w:tc>
        <w:tc>
          <w:tcPr>
            <w:tcW w:type="dxa" w:w="168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Porte B ; Cavernes div. 4 (relèvent Osiris) ; §6.1</w:t>
            </w:r>
          </w:p>
        </w:tc>
        <w:tc>
          <w:tcPr>
            <w:tcW w:type="dxa" w:w="179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1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Divinités des piliers</w:t>
            </w:r>
          </w:p>
        </w:tc>
        <w:tc>
          <w:tcPr>
            <w:tcW w:type="dxa" w:w="29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Khonsou, Amon-Rê, Meretseger, Ptah-Sokar-Osiris, Rê-Horakhty, Ptah, Thot, Maât, Anubis, Heka</w:t>
            </w:r>
          </w:p>
        </w:tc>
        <w:tc>
          <w:tcPr>
            <w:tcW w:type="dxa" w:w="20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68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I, J</w:t>
            </w:r>
          </w:p>
        </w:tc>
        <w:tc>
          <w:tcPr>
            <w:tcW w:type="dxa" w:w="179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[TMP]</w:t>
            </w:r>
          </w:p>
        </w:tc>
      </w:tr>
    </w:tbl>
    <w:p>
      <w:pPr>
        <w:spacing w:after="120"/>
      </w:pPr>
    </w:p>
    <w:p>
      <w:pPr>
        <w:spacing w:after="120" w:line="276"/>
      </w:pPr>
      <w:r>
        <w:rPr>
          <w:b/>
          <w:bCs/>
        </w:rPr>
        <w:t xml:space="preserve">Formule clé (Rê-Osiris)</w:t>
      </w:r>
      <w:r>
        <w:t xml:space="preserve"> : « C'est Rê qui repose en Osiris, Osiris qui repose en Rê » — inscrite près d'un Rê momiforme à tête de bélier dans la </w:t>
      </w:r>
      <w:r>
        <w:rPr>
          <w:b/>
          <w:bCs/>
        </w:rPr>
        <w:t xml:space="preserve">tombe de Néfertari (QV66)</w:t>
      </w:r>
      <w:r>
        <w:t xml:space="preserve">, XIXᵉ dynastie. V : Luft, « Religion », </w:t>
      </w:r>
      <w:r>
        <w:rPr>
          <w:i/>
          <w:iCs/>
        </w:rPr>
        <w:t xml:space="preserve">Oxford Encyclopedia of Ancient Egypt</w:t>
      </w:r>
      <w:r>
        <w:t xml:space="preserve"> III (2001), p. 142 ; National Geographic (2025). </w:t>
      </w:r>
      <w:r>
        <w:rPr>
          <w:b/>
          <w:bCs/>
        </w:rPr>
        <w:t xml:space="preserve">Ce n'est pas dans KV9</w:t>
      </w:r>
      <w:r>
        <w:t xml:space="preserve"> : à présenter comme un parallèle. Paroi exacte de QV66 : N.</w:t>
      </w:r>
    </w:p>
    <w:p>
      <w:pPr>
        <w:spacing w:after="120" w:line="276"/>
      </w:pPr>
      <w:r>
        <w:rPr>
          <w:b/>
          <w:bCs/>
        </w:rPr>
        <w:t xml:space="preserve">Shabaka (Théologie memphite)</w:t>
      </w:r>
      <w:r>
        <w:t xml:space="preserve"> : « il est Ta-tenen, qui a mis au monde les dieux, et de qui toute chose est venue » (lignes 48-64). V. </w:t>
      </w:r>
      <w:r>
        <w:rPr>
          <w:b/>
          <w:bCs/>
        </w:rPr>
        <w:t xml:space="preserve">Datation : C</w:t>
      </w:r>
      <w:r>
        <w:t xml:space="preserve"> — aujourd'hui XXVᵉ dynastie (ne peut être antérieure à la XIXᵉ), et non plus Ancien Empire. Ne pas écrire « texte de l'Ancien Empire ».</w:t>
      </w:r>
    </w:p>
    <w:p>
      <w:pPr>
        <w:pStyle w:val="Heading2"/>
      </w:pPr>
      <w:r>
        <w:t xml:space="preserve">2. Les autres livres funéraires de KV9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2025"/>
        <w:gridCol w:w="1691"/>
        <w:gridCol w:w="1548"/>
        <w:gridCol w:w="2739"/>
      </w:tblGrid>
      <w:tr>
        <w:trPr>
          <w:cantSplit/>
          <w:tblHeader/>
        </w:trPr>
        <w:tc>
          <w:tcPr>
            <w:tcW w:type="dxa" w:w="163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Livre</w:t>
            </w:r>
          </w:p>
        </w:tc>
        <w:tc>
          <w:tcPr>
            <w:tcW w:type="dxa" w:w="202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Structure</w:t>
            </w:r>
          </w:p>
        </w:tc>
        <w:tc>
          <w:tcPr>
            <w:tcW w:type="dxa" w:w="169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Première attestation</w:t>
            </w:r>
          </w:p>
        </w:tc>
        <w:tc>
          <w:tcPr>
            <w:tcW w:type="dxa" w:w="154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Dans KV9</w:t>
            </w:r>
          </w:p>
        </w:tc>
        <w:tc>
          <w:tcPr>
            <w:tcW w:type="dxa" w:w="273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Scènes à dessiner</w:t>
            </w:r>
          </w:p>
        </w:tc>
      </w:tr>
      <w:tr>
        <w:trPr>
          <w:cantSplit/>
          <w:tblHeader w:val="false"/>
        </w:trPr>
        <w:tc>
          <w:tcPr>
            <w:tcW w:type="dxa" w:w="16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Livre des Portes</w:t>
            </w:r>
          </w:p>
        </w:tc>
        <w:tc>
          <w:tcPr>
            <w:tcW w:type="dxa" w:w="20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12 sections séparées par des portes ; 3 registres ; barque au registre central</w:t>
            </w:r>
          </w:p>
        </w:tc>
        <w:tc>
          <w:tcPr>
            <w:tcW w:type="dxa" w:w="16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Extraits chez Horemheb ; première copie complète sur le sarcophage de Séthi Iᵉʳ</w:t>
            </w:r>
          </w:p>
        </w:tc>
        <w:tc>
          <w:tcPr>
            <w:tcW w:type="dxa" w:w="154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Copie </w:t>
            </w:r>
            <w:r>
              <w:rPr>
                <w:b/>
                <w:bCs/>
                <w:sz w:val="18"/>
                <w:szCs w:val="18"/>
              </w:rPr>
              <w:t xml:space="preserve">complète</w:t>
            </w:r>
            <w:r>
              <w:rPr>
                <w:sz w:val="18"/>
                <w:szCs w:val="18"/>
              </w:rPr>
              <w:t xml:space="preserve">, parois sud (gauche) de B à F ; extrait de la scène finale en K</w:t>
            </w:r>
          </w:p>
        </w:tc>
        <w:tc>
          <w:tcPr>
            <w:tcW w:type="dxa" w:w="273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Salle du jugement d'Osiris (C) ; déesses des heures et « serpent qui avale les heures » (C) ; barque halée (E) ; </w:t>
            </w:r>
            <w:r>
              <w:rPr>
                <w:b/>
                <w:bCs/>
                <w:sz w:val="18"/>
                <w:szCs w:val="18"/>
              </w:rPr>
              <w:t xml:space="preserve">Noun soulève la barque à l'aube</w:t>
            </w:r>
            <w:r>
              <w:rPr>
                <w:sz w:val="18"/>
                <w:szCs w:val="18"/>
              </w:rPr>
              <w:t xml:space="preserve"> (F, K)</w:t>
            </w:r>
          </w:p>
        </w:tc>
      </w:tr>
      <w:tr>
        <w:trPr>
          <w:cantSplit/>
          <w:tblHeader w:val="false"/>
        </w:trPr>
        <w:tc>
          <w:tcPr>
            <w:tcW w:type="dxa" w:w="163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Livre des Cavernes</w:t>
            </w:r>
          </w:p>
        </w:tc>
        <w:tc>
          <w:tcPr>
            <w:tcW w:type="dxa" w:w="20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 divisions ; « cavernes » ovales</w:t>
            </w:r>
          </w:p>
        </w:tc>
        <w:tc>
          <w:tcPr>
            <w:tcW w:type="dxa" w:w="16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Osireion</w:t>
            </w:r>
          </w:p>
        </w:tc>
        <w:tc>
          <w:tcPr>
            <w:tcW w:type="dxa" w:w="154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Parois nord (droite) de B à F, les six divisions</w:t>
            </w:r>
          </w:p>
        </w:tc>
        <w:tc>
          <w:tcPr>
            <w:tcW w:type="dxa" w:w="273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Aker double sphinx (div. 3) ; Isis et Nephthys relèvent Osiris (div. 4) ; chaudrons gardés par des cobras ; grandes Nout « la Mystérieuse » (div. 5) ; </w:t>
            </w:r>
            <w:r>
              <w:rPr>
                <w:b/>
                <w:bCs/>
                <w:sz w:val="18"/>
                <w:szCs w:val="18"/>
              </w:rPr>
              <w:t xml:space="preserve">soleil scarabée et enfant sortant des eaux</w:t>
            </w:r>
            <w:r>
              <w:rPr>
                <w:sz w:val="18"/>
                <w:szCs w:val="18"/>
              </w:rPr>
              <w:t xml:space="preserve"> (fin)</w:t>
            </w:r>
          </w:p>
        </w:tc>
      </w:tr>
      <w:tr>
        <w:trPr>
          <w:cantSplit/>
          <w:tblHeader w:val="false"/>
        </w:trPr>
        <w:tc>
          <w:tcPr>
            <w:tcW w:type="dxa" w:w="16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Amdouat</w:t>
            </w:r>
            <w:r>
              <w:rPr>
                <w:sz w:val="18"/>
                <w:szCs w:val="18"/>
              </w:rPr>
              <w:t xml:space="preserve"> (« ce qui est dans la Douat »)</w:t>
            </w:r>
          </w:p>
        </w:tc>
        <w:tc>
          <w:tcPr>
            <w:tcW w:type="dxa" w:w="20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12 heures de la nuit ; Rê à tête de bélier dans un naos sur sa barque ; à la fin, la barque traverse un serpent géant et le soleil sort en scarabée</w:t>
            </w:r>
          </w:p>
        </w:tc>
        <w:tc>
          <w:tcPr>
            <w:tcW w:type="dxa" w:w="16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KV20 (Hatchepsout) ; complet dans KV34 (Thoutmosis III)</w:t>
            </w:r>
          </w:p>
        </w:tc>
        <w:tc>
          <w:tcPr>
            <w:tcW w:type="dxa" w:w="154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Descente F, corridors G-H : </w:t>
            </w:r>
            <w:r>
              <w:rPr>
                <w:b/>
                <w:bCs/>
                <w:sz w:val="18"/>
                <w:szCs w:val="18"/>
              </w:rPr>
              <w:t xml:space="preserve">11 heures sur 12 — la 12ᵉ manque</w:t>
            </w:r>
          </w:p>
        </w:tc>
        <w:tc>
          <w:tcPr>
            <w:tcW w:type="dxa" w:w="273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Babouins et déesses (h. 1) ; barques de la lune, crocodile, sistre (h. 2) ; « cadavre de Khépri » dans le serpent « Aux-multiples-visages » (h. 6)</w:t>
            </w:r>
          </w:p>
        </w:tc>
      </w:tr>
      <w:tr>
        <w:trPr>
          <w:cantSplit/>
          <w:tblHeader w:val="false"/>
        </w:trPr>
        <w:tc>
          <w:tcPr>
            <w:tcW w:type="dxa" w:w="163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Livres du Jour et de la Nuit</w:t>
            </w:r>
          </w:p>
        </w:tc>
        <w:tc>
          <w:tcPr>
            <w:tcW w:type="dxa" w:w="20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Voyage du soleil dans le corps de Nout</w:t>
            </w:r>
          </w:p>
        </w:tc>
        <w:tc>
          <w:tcPr>
            <w:tcW w:type="dxa" w:w="16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Osireion (détails : N)</w:t>
            </w:r>
          </w:p>
        </w:tc>
        <w:tc>
          <w:tcPr>
            <w:tcW w:type="dxa" w:w="154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Plafonds D, E, F, G ; </w:t>
            </w:r>
            <w:r>
              <w:rPr>
                <w:b/>
                <w:bCs/>
                <w:sz w:val="18"/>
                <w:szCs w:val="18"/>
              </w:rPr>
              <w:t xml:space="preserve">voûte de J</w:t>
            </w:r>
          </w:p>
        </w:tc>
        <w:tc>
          <w:tcPr>
            <w:tcW w:type="dxa" w:w="273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Naissance du soleil ; dieux tuant Apophis ; « Nout sur le point d'avaler le disque » ; 12ᵉ heure : le soleil sort de Nout</w:t>
            </w:r>
          </w:p>
        </w:tc>
      </w:tr>
      <w:tr>
        <w:trPr>
          <w:cantSplit/>
          <w:tblHeader w:val="false"/>
        </w:trPr>
        <w:tc>
          <w:tcPr>
            <w:tcW w:type="dxa" w:w="16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Livre de la Vache céleste</w:t>
            </w:r>
          </w:p>
        </w:tc>
        <w:tc>
          <w:tcPr>
            <w:tcW w:type="dxa" w:w="20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6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54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Niche sud de D (extraits)</w:t>
            </w:r>
          </w:p>
        </w:tc>
        <w:tc>
          <w:tcPr>
            <w:tcW w:type="dxa" w:w="273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r>
      <w:tr>
        <w:trPr>
          <w:cantSplit/>
          <w:tblHeader w:val="false"/>
        </w:trPr>
        <w:tc>
          <w:tcPr>
            <w:tcW w:type="dxa" w:w="163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Livre des Morts</w:t>
            </w:r>
            <w:r>
              <w:rPr>
                <w:sz w:val="18"/>
                <w:szCs w:val="18"/>
              </w:rPr>
              <w:t xml:space="preserve"> 124, 125, 127, 129</w:t>
            </w:r>
          </w:p>
        </w:tc>
        <w:tc>
          <w:tcPr>
            <w:tcW w:type="dxa" w:w="20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c>
          <w:tcPr>
            <w:tcW w:type="dxa" w:w="16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Murs de tombes royales après Amarna (KV62, KV23)</w:t>
            </w:r>
          </w:p>
        </w:tc>
        <w:tc>
          <w:tcPr>
            <w:tcW w:type="dxa" w:w="154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Antichambre I</w:t>
            </w:r>
          </w:p>
        </w:tc>
        <w:tc>
          <w:tcPr>
            <w:tcW w:type="dxa" w:w="273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 roi devant Heka ; bassins aux babouins (« lacs de feu ») ; hymne à Maât</w:t>
            </w:r>
          </w:p>
        </w:tc>
      </w:tr>
      <w:tr>
        <w:trPr>
          <w:cantSplit/>
          <w:tblHeader w:val="false"/>
        </w:trPr>
        <w:tc>
          <w:tcPr>
            <w:tcW w:type="dxa" w:w="163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Plafonds astronomiques</w:t>
            </w:r>
          </w:p>
        </w:tc>
        <w:tc>
          <w:tcPr>
            <w:tcW w:type="dxa" w:w="20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Constellations circumpolaires, </w:t>
            </w:r>
            <w:r>
              <w:rPr>
                <w:b/>
                <w:bCs/>
                <w:sz w:val="18"/>
                <w:szCs w:val="18"/>
              </w:rPr>
              <w:t xml:space="preserve">décans</w:t>
            </w:r>
            <w:r>
              <w:rPr>
                <w:sz w:val="18"/>
                <w:szCs w:val="18"/>
              </w:rPr>
              <w:t xml:space="preserve"> (étoiles marquant les « semaines » de 10 jours), </w:t>
            </w:r>
            <w:r>
              <w:rPr>
                <w:b/>
                <w:bCs/>
                <w:sz w:val="18"/>
                <w:szCs w:val="18"/>
              </w:rPr>
              <w:t xml:space="preserve">horloges stellaires</w:t>
            </w:r>
            <w:r>
              <w:rPr>
                <w:sz w:val="18"/>
                <w:szCs w:val="18"/>
              </w:rPr>
              <w:t xml:space="preserve"> (homme assis sous une grille d'étoiles)</w:t>
            </w:r>
          </w:p>
        </w:tc>
        <w:tc>
          <w:tcPr>
            <w:tcW w:type="dxa" w:w="16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Fin XXᵉ dyn. : KV9, KV1, KV6</w:t>
            </w:r>
          </w:p>
        </w:tc>
        <w:tc>
          <w:tcPr>
            <w:tcW w:type="dxa" w:w="154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 C, côtés de F ; « Orion », « Ventre de Nout », planètes</w:t>
            </w:r>
          </w:p>
        </w:tc>
        <w:tc>
          <w:tcPr>
            <w:tcW w:type="dxa" w:w="273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r>
    </w:tbl>
    <w:p>
      <w:pPr>
        <w:spacing w:after="120"/>
      </w:pPr>
    </w:p>
    <w:p>
      <w:pPr>
        <w:spacing w:after="120" w:line="276"/>
      </w:pPr>
      <w:r>
        <w:t xml:space="preserve">Union Rê-Osiris : </w:t>
      </w:r>
      <w:r>
        <w:rPr>
          <w:b/>
          <w:bCs/>
        </w:rPr>
        <w:t xml:space="preserve">6ᵉ heure</w:t>
      </w:r>
      <w:r>
        <w:t xml:space="preserve"> de l'Amdouat (Luft 2001, p. 142 ; Abt &amp; Hornung 2003) ; Apophis : </w:t>
      </w:r>
      <w:r>
        <w:rPr>
          <w:b/>
          <w:bCs/>
        </w:rPr>
        <w:t xml:space="preserve">7ᵉ heure</w:t>
      </w:r>
      <w:r>
        <w:t xml:space="preserve">. Müller (même encyclopédie) donne 5ᵉ / 6ᵉ : </w:t>
      </w:r>
      <w:r>
        <w:rPr>
          <w:b/>
          <w:bCs/>
        </w:rPr>
        <w:t xml:space="preserve">C</w:t>
      </w:r>
      <w:r>
        <w:t xml:space="preserve">, retenir 6ᵉ / 7ᵉ (comptage courant).</w:t>
      </w:r>
    </w:p>
    <w:p>
      <w:pPr>
        <w:pStyle w:val="Heading2"/>
      </w:pPr>
      <w:r>
        <w:t xml:space="preserve">3. Couleurs (symbolique égyptienne)</w:t>
      </w:r>
    </w:p>
    <w:p>
      <w:pPr>
        <w:spacing w:after="120" w:line="276"/>
      </w:pPr>
      <w:r>
        <w:t xml:space="preserve">Source : Wilkinson, </w:t>
      </w:r>
      <w:r>
        <w:rPr>
          <w:i/>
          <w:iCs/>
        </w:rPr>
        <w:t xml:space="preserve">Symbol and Magic in Egyptian Art</w:t>
      </w:r>
      <w:r>
        <w:t xml:space="preserve"> (1994), via World History Encyclopedia (2017).</w:t>
      </w:r>
    </w:p>
    <w:p>
      <w:pPr>
        <w:pStyle w:val="ListParagraph"/>
        <w:numPr>
          <w:ilvl w:val="0"/>
          <w:numId w:val="9"/>
        </w:numPr>
        <w:spacing w:after="60" w:line="264"/>
      </w:pPr>
      <w:r>
        <w:rPr>
          <w:b/>
          <w:bCs/>
        </w:rPr>
        <w:t xml:space="preserve">Vert</w:t>
      </w:r>
      <w:r>
        <w:t xml:space="preserve"> (</w:t>
      </w:r>
      <w:r>
        <w:rPr>
          <w:i/>
          <w:iCs/>
        </w:rPr>
        <w:t xml:space="preserve">ouadj</w:t>
      </w:r>
      <w:r>
        <w:t xml:space="preserve">) : vie, croissance — p. 108. V</w:t>
      </w:r>
    </w:p>
    <w:p>
      <w:pPr>
        <w:pStyle w:val="ListParagraph"/>
        <w:numPr>
          <w:ilvl w:val="0"/>
          <w:numId w:val="9"/>
        </w:numPr>
        <w:spacing w:after="60" w:line="264"/>
      </w:pPr>
      <w:r>
        <w:rPr>
          <w:b/>
          <w:bCs/>
        </w:rPr>
        <w:t xml:space="preserve">Noir</w:t>
      </w:r>
      <w:r>
        <w:t xml:space="preserve"> (</w:t>
      </w:r>
      <w:r>
        <w:rPr>
          <w:i/>
          <w:iCs/>
        </w:rPr>
        <w:t xml:space="preserve">kem</w:t>
      </w:r>
      <w:r>
        <w:t xml:space="preserve">) : mort et fertilité (limon) ; noir et vert interchangeables pour Osiris — p. 109. V</w:t>
      </w:r>
    </w:p>
    <w:p>
      <w:pPr>
        <w:pStyle w:val="ListParagraph"/>
        <w:numPr>
          <w:ilvl w:val="0"/>
          <w:numId w:val="9"/>
        </w:numPr>
        <w:spacing w:after="60" w:line="264"/>
      </w:pPr>
      <w:r>
        <w:rPr>
          <w:b/>
          <w:bCs/>
        </w:rPr>
        <w:t xml:space="preserve">Rouge</w:t>
      </w:r>
      <w:r>
        <w:t xml:space="preserve"> (</w:t>
      </w:r>
      <w:r>
        <w:rPr>
          <w:i/>
          <w:iCs/>
        </w:rPr>
        <w:t xml:space="preserve">desher</w:t>
      </w:r>
      <w:r>
        <w:t xml:space="preserve">) : vitalité et danger ; Seth. V</w:t>
      </w:r>
    </w:p>
    <w:p>
      <w:pPr>
        <w:pStyle w:val="ListParagraph"/>
        <w:numPr>
          <w:ilvl w:val="0"/>
          <w:numId w:val="9"/>
        </w:numPr>
        <w:spacing w:after="60" w:line="264"/>
      </w:pPr>
      <w:r>
        <w:rPr>
          <w:b/>
          <w:bCs/>
        </w:rPr>
        <w:t xml:space="preserve">Bleu</w:t>
      </w:r>
      <w:r>
        <w:t xml:space="preserve"> (bleu égyptien) : eau, ciel, Nil — p. 107. V</w:t>
      </w:r>
    </w:p>
    <w:p>
      <w:pPr>
        <w:pStyle w:val="ListParagraph"/>
        <w:numPr>
          <w:ilvl w:val="0"/>
          <w:numId w:val="9"/>
        </w:numPr>
        <w:spacing w:after="60" w:line="264"/>
      </w:pPr>
      <w:r>
        <w:rPr>
          <w:b/>
          <w:bCs/>
        </w:rPr>
        <w:t xml:space="preserve">Jaune / or</w:t>
      </w:r>
      <w:r>
        <w:t xml:space="preserve"> : soleil, éternité ; chair des dieux en or. V (page non citée)</w:t>
      </w:r>
    </w:p>
    <w:p>
      <w:pPr>
        <w:pStyle w:val="ListParagraph"/>
        <w:numPr>
          <w:ilvl w:val="0"/>
          <w:numId w:val="9"/>
        </w:numPr>
        <w:spacing w:after="60" w:line="264"/>
      </w:pPr>
      <w:r>
        <w:rPr>
          <w:b/>
          <w:bCs/>
        </w:rPr>
        <w:t xml:space="preserve">Blanc</w:t>
      </w:r>
      <w:r>
        <w:t xml:space="preserve"> (</w:t>
      </w:r>
      <w:r>
        <w:rPr>
          <w:i/>
          <w:iCs/>
        </w:rPr>
        <w:t xml:space="preserve">hedj</w:t>
      </w:r>
      <w:r>
        <w:t xml:space="preserve">) : pureté. V (page non citée)</w:t>
      </w:r>
    </w:p>
    <w:p>
      <w:pPr>
        <w:spacing w:after="60"/>
      </w:pPr>
    </w:p>
    <w:p>
      <w:pPr>
        <w:pStyle w:val="Heading2"/>
      </w:pPr>
      <w:r>
        <w:t xml:space="preserve">4. Canon des proportions (pour le monde mythologique)</w:t>
      </w:r>
    </w:p>
    <w:p>
      <w:pPr>
        <w:spacing w:after="120" w:line="276"/>
      </w:pPr>
      <w:r>
        <w:t xml:space="preserve">Grille de </w:t>
      </w:r>
      <w:r>
        <w:rPr>
          <w:b/>
          <w:bCs/>
        </w:rPr>
        <w:t xml:space="preserve">18 carreaux</w:t>
      </w:r>
      <w:r>
        <w:t xml:space="preserve"> des pieds à la naissance des cheveux (cou-épaules ligne 16, coude 12, nombril 11, haut du genou 6), en usage du Moyen au Nouvel Empire → </w:t>
      </w:r>
      <w:r>
        <w:rPr>
          <w:b/>
          <w:bCs/>
        </w:rPr>
        <w:t xml:space="preserve">s'applique à Ramsès VI</w:t>
      </w:r>
      <w:r>
        <w:t xml:space="preserve">. (Passage à 21 carreaux sous la XXVᵉ dynastie.) V (Iversen 1961 via Wikipédia). Référence : G. Robins, </w:t>
      </w:r>
      <w:r>
        <w:rPr>
          <w:i/>
          <w:iCs/>
        </w:rPr>
        <w:t xml:space="preserve">Proportion and Style in Ancient Egyptian Art</w:t>
      </w:r>
      <w:r>
        <w:t xml:space="preserve"> (1994).</w:t>
      </w:r>
    </w:p>
    <w:p>
      <w:pPr>
        <w:spacing w:after="120" w:line="276"/>
      </w:pPr>
      <w:r>
        <w:t xml:space="preserve">Technique des peintres (esquisse rouge, correction noire) : </w:t>
      </w:r>
      <w:r>
        <w:rPr>
          <w:b/>
          <w:bCs/>
        </w:rPr>
        <w:t xml:space="preserve">N</w:t>
      </w:r>
      <w:r>
        <w:t xml:space="preserve"> dans cette recherche → consulter les travaux de Laboury et de Keller avant de dessiner l'atelier (épisode 1, planche 3).</w:t>
      </w:r>
    </w:p>
    <w:p>
      <w:pPr>
        <w:pStyle w:val="Heading2"/>
      </w:pPr>
      <w:r>
        <w:t xml:space="preserve">5. Théories marginales : à ne pas attribuer à KV9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1"/>
        <w:gridCol w:w="6182"/>
        <w:gridCol w:w="1055"/>
      </w:tblGrid>
      <w:tr>
        <w:trPr>
          <w:cantSplit/>
          <w:tblHeader/>
        </w:trPr>
        <w:tc>
          <w:tcPr>
            <w:tcW w:type="dxa" w:w="240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Affirmation</w:t>
            </w:r>
          </w:p>
        </w:tc>
        <w:tc>
          <w:tcPr>
            <w:tcW w:type="dxa" w:w="618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Réalité</w:t>
            </w:r>
          </w:p>
        </w:tc>
        <w:tc>
          <w:tcPr>
            <w:tcW w:type="dxa" w:w="105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r>
      <w:tr>
        <w:trPr>
          <w:cantSplit/>
          <w:tblHeader w:val="false"/>
        </w:trPr>
        <w:tc>
          <w:tcPr>
            <w:tcW w:type="dxa" w:w="240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Électricité antique »</w:t>
            </w:r>
          </w:p>
        </w:tc>
        <w:tc>
          <w:tcPr>
            <w:tcW w:type="dxa" w:w="618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Vient des reliefs de </w:t>
            </w:r>
            <w:r>
              <w:rPr>
                <w:b/>
                <w:bCs/>
                <w:sz w:val="18"/>
                <w:szCs w:val="18"/>
              </w:rPr>
              <w:t xml:space="preserve">Dendérah</w:t>
            </w:r>
            <w:r>
              <w:rPr>
                <w:sz w:val="18"/>
                <w:szCs w:val="18"/>
              </w:rPr>
              <w:t xml:space="preserve">, non de KV9 ; lus par les égyptologues comme Harsomtous (serpent sortant d'un lotus) ; éclairage des tombes : torches, miroirs</w:t>
            </w:r>
          </w:p>
        </w:tc>
        <w:tc>
          <w:tcPr>
            <w:tcW w:type="dxa" w:w="10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240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Chambres cachées »</w:t>
            </w:r>
          </w:p>
        </w:tc>
        <w:tc>
          <w:tcPr>
            <w:tcW w:type="dxa" w:w="618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Débat sur </w:t>
            </w:r>
            <w:r>
              <w:rPr>
                <w:b/>
                <w:bCs/>
                <w:sz w:val="18"/>
                <w:szCs w:val="18"/>
              </w:rPr>
              <w:t xml:space="preserve">KV62</w:t>
            </w:r>
            <w:r>
              <w:rPr>
                <w:sz w:val="18"/>
                <w:szCs w:val="18"/>
              </w:rPr>
              <w:t xml:space="preserve"> (Toutânkhamon), pas sur KV9 ; radar 2018 (Turin) : pas de chambre adjacente ; relevés 2020 et 2026 : vides possibles, rien de confirmé</w:t>
            </w:r>
          </w:p>
        </w:tc>
        <w:tc>
          <w:tcPr>
            <w:tcW w:type="dxa" w:w="105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 C</w:t>
            </w:r>
          </w:p>
        </w:tc>
      </w:tr>
      <w:tr>
        <w:trPr>
          <w:cantSplit/>
          <w:tblHeader w:val="false"/>
        </w:trPr>
        <w:tc>
          <w:tcPr>
            <w:tcW w:type="dxa" w:w="240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Astronautes antiques »</w:t>
            </w:r>
          </w:p>
        </w:tc>
        <w:tc>
          <w:tcPr>
            <w:tcW w:type="dxa" w:w="618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Aucune publication pour KV9 trouvée ; les scènes montrent le voyage nocturne du soleil, modèle de la résurrection du roi</w:t>
            </w:r>
          </w:p>
        </w:tc>
        <w:tc>
          <w:tcPr>
            <w:tcW w:type="dxa" w:w="105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w:t>
            </w:r>
          </w:p>
        </w:tc>
      </w:tr>
    </w:tbl>
    <w:p>
      <w:pPr>
        <w:spacing w:after="120"/>
      </w:pPr>
    </w:p>
    <w:p>
      <w:pPr>
        <w:spacing w:after="120" w:line="276"/>
      </w:pPr>
      <w:r>
        <w:t xml:space="preserve">→ Ces affirmations peuvent apparaître </w:t>
      </w:r>
      <w:r>
        <w:rPr>
          <w:b/>
          <w:bCs/>
        </w:rPr>
        <w:t xml:space="preserve">dans la bouche du personnage fictif du producteur</w:t>
      </w:r>
      <w:r>
        <w:t xml:space="preserve"> (voir épisodes), toujours réfutées par les personnages.</w:t>
      </w:r>
    </w:p>
    <w:p>
      <w:r>
        <w:br w:type="page"/>
      </w:r>
    </w:p>
    <w:p>
      <w:pPr>
        <w:pStyle w:val="Heading1"/>
      </w:pPr>
      <w:r>
        <w:t xml:space="preserve">Bible · 4 — Contexte historique : Ramsès V, Ramsès VI, la XXᵉ dynastie</w:t>
      </w:r>
    </w:p>
    <w:p>
      <w:pPr>
        <w:spacing w:after="120" w:line="276"/>
      </w:pPr>
      <w:r>
        <w:t xml:space="preserve">Statuts : V / C / N. Beaucoup de données sont </w:t>
      </w:r>
      <w:r>
        <w:rPr>
          <w:b/>
          <w:bCs/>
        </w:rPr>
        <w:t xml:space="preserve">de seconde main</w:t>
      </w:r>
      <w:r>
        <w:t xml:space="preserve"> (Wikipédia, pharaoh.se, NMEC citant Kitchen, Peden, Černý, Amer). Les éditions primaires (Kitchen, </w:t>
      </w:r>
      <w:r>
        <w:rPr>
          <w:i/>
          <w:iCs/>
        </w:rPr>
        <w:t xml:space="preserve">Ramesside Inscriptions</w:t>
      </w:r>
      <w:r>
        <w:t xml:space="preserve"> ; Černý, </w:t>
      </w:r>
      <w:r>
        <w:rPr>
          <w:i/>
          <w:iCs/>
        </w:rPr>
        <w:t xml:space="preserve">A Community of Workmen</w:t>
      </w:r>
      <w:r>
        <w:t xml:space="preserve"> ; Davies, </w:t>
      </w:r>
      <w:r>
        <w:rPr>
          <w:i/>
          <w:iCs/>
        </w:rPr>
        <w:t xml:space="preserve">Who's Who at Deir el-Medina</w:t>
      </w:r>
      <w:r>
        <w:t xml:space="preserve">) n'ont pas été ouvertes.</w:t>
      </w:r>
    </w:p>
    <w:p>
      <w:pPr>
        <w:pStyle w:val="Heading2"/>
      </w:pPr>
      <w:r>
        <w:t xml:space="preserve">1. Dates de règne — </w:t>
      </w:r>
      <w:r>
        <w:rPr>
          <w:b/>
          <w:bCs/>
        </w:rPr>
        <w:t xml:space="preserve">C</w:t>
      </w:r>
      <w:r>
        <w:t xml:space="preserve"> : toujours écrire « selon la chronologie de…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19"/>
        <w:gridCol w:w="2199"/>
        <w:gridCol w:w="2220"/>
      </w:tblGrid>
      <w:tr>
        <w:trPr>
          <w:cantSplit/>
          <w:tblHeader/>
        </w:trPr>
        <w:tc>
          <w:tcPr>
            <w:tcW w:type="dxa" w:w="521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Chronologie</w:t>
            </w:r>
          </w:p>
        </w:tc>
        <w:tc>
          <w:tcPr>
            <w:tcW w:type="dxa" w:w="219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Ramsès V</w:t>
            </w:r>
          </w:p>
        </w:tc>
        <w:tc>
          <w:tcPr>
            <w:tcW w:type="dxa" w:w="222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Ramsès VI</w:t>
            </w:r>
          </w:p>
        </w:tc>
      </w:tr>
      <w:tr>
        <w:trPr>
          <w:cantSplit/>
          <w:tblHeader w:val="false"/>
        </w:trPr>
        <w:tc>
          <w:tcPr>
            <w:tcW w:type="dxa" w:w="521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Shaw (</w:t>
            </w:r>
            <w:r>
              <w:rPr>
                <w:i/>
                <w:iCs/>
                <w:sz w:val="18"/>
                <w:szCs w:val="18"/>
              </w:rPr>
              <w:t xml:space="preserve">Oxford History</w:t>
            </w:r>
            <w:r>
              <w:rPr>
                <w:sz w:val="18"/>
                <w:szCs w:val="18"/>
              </w:rPr>
              <w:t xml:space="preserve">, 2000)</w:t>
            </w:r>
          </w:p>
        </w:tc>
        <w:tc>
          <w:tcPr>
            <w:tcW w:type="dxa" w:w="219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1147-1143</w:t>
            </w:r>
          </w:p>
        </w:tc>
        <w:tc>
          <w:tcPr>
            <w:tcW w:type="dxa" w:w="222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1143-1136</w:t>
            </w:r>
          </w:p>
        </w:tc>
      </w:tr>
      <w:tr>
        <w:trPr>
          <w:cantSplit/>
          <w:tblHeader w:val="false"/>
        </w:trPr>
        <w:tc>
          <w:tcPr>
            <w:tcW w:type="dxa" w:w="521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von Beckerath (1997/1999)</w:t>
            </w:r>
          </w:p>
        </w:tc>
        <w:tc>
          <w:tcPr>
            <w:tcW w:type="dxa" w:w="219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1145-1142</w:t>
            </w:r>
          </w:p>
        </w:tc>
        <w:tc>
          <w:tcPr>
            <w:tcW w:type="dxa" w:w="222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1142-1134</w:t>
            </w:r>
          </w:p>
        </w:tc>
      </w:tr>
      <w:tr>
        <w:trPr>
          <w:cantSplit/>
          <w:tblHeader w:val="false"/>
        </w:trPr>
        <w:tc>
          <w:tcPr>
            <w:tcW w:type="dxa" w:w="521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Hornung-Krauss-Warburton 2006 (via table Wikipédia)</w:t>
            </w:r>
          </w:p>
        </w:tc>
        <w:tc>
          <w:tcPr>
            <w:tcW w:type="dxa" w:w="219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1148-1144</w:t>
            </w:r>
          </w:p>
        </w:tc>
        <w:tc>
          <w:tcPr>
            <w:tcW w:type="dxa" w:w="222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1144-1136</w:t>
            </w:r>
          </w:p>
        </w:tc>
      </w:tr>
      <w:tr>
        <w:trPr>
          <w:cantSplit/>
          <w:tblHeader w:val="false"/>
        </w:trPr>
        <w:tc>
          <w:tcPr>
            <w:tcW w:type="dxa" w:w="521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Grimal 1992</w:t>
            </w:r>
          </w:p>
        </w:tc>
        <w:tc>
          <w:tcPr>
            <w:tcW w:type="dxa" w:w="219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1148-1144</w:t>
            </w:r>
          </w:p>
        </w:tc>
        <w:tc>
          <w:tcPr>
            <w:tcW w:type="dxa" w:w="222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1144-1136</w:t>
            </w:r>
          </w:p>
        </w:tc>
      </w:tr>
      <w:tr>
        <w:trPr>
          <w:cantSplit/>
          <w:tblHeader w:val="false"/>
        </w:trPr>
        <w:tc>
          <w:tcPr>
            <w:tcW w:type="dxa" w:w="521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Dodson</w:t>
            </w:r>
          </w:p>
        </w:tc>
        <w:tc>
          <w:tcPr>
            <w:tcW w:type="dxa" w:w="219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1146-1141</w:t>
            </w:r>
          </w:p>
        </w:tc>
        <w:tc>
          <w:tcPr>
            <w:tcW w:type="dxa" w:w="222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1141-1133</w:t>
            </w:r>
          </w:p>
        </w:tc>
      </w:tr>
    </w:tbl>
    <w:p>
      <w:pPr>
        <w:spacing w:after="120"/>
      </w:pPr>
    </w:p>
    <w:p>
      <w:pPr>
        <w:spacing w:after="120" w:line="276"/>
      </w:pPr>
      <w:r>
        <w:rPr>
          <w:b/>
          <w:bCs/>
        </w:rPr>
        <w:t xml:space="preserve">Formule recommandée pour la BD</w:t>
      </w:r>
      <w:r>
        <w:t xml:space="preserve"> : « vers 1140 av. J.-C. » ou « au XIIᵉ siècle avant notre ère ». Durée : Ramsès V ≈ 4 ans (an 4 attesté) ; Ramsès VI ≈ 8 ans (peut-être un bref an 9). V (secondaire).</w:t>
      </w:r>
    </w:p>
    <w:p>
      <w:pPr>
        <w:pStyle w:val="Heading2"/>
      </w:pPr>
      <w:r>
        <w:t xml:space="preserve">2. Noms et famille</w:t>
      </w:r>
    </w:p>
    <w:p>
      <w:pPr>
        <w:pStyle w:val="ListParagraph"/>
        <w:numPr>
          <w:ilvl w:val="0"/>
          <w:numId w:val="10"/>
        </w:numPr>
        <w:spacing w:after="60" w:line="264"/>
      </w:pPr>
      <w:r>
        <w:rPr>
          <w:b/>
          <w:bCs/>
        </w:rPr>
        <w:t xml:space="preserve">Ramsès VI</w:t>
      </w:r>
      <w:r>
        <w:t xml:space="preserve"> : nom de trône </w:t>
      </w:r>
      <w:r>
        <w:rPr>
          <w:i/>
          <w:iCs/>
        </w:rPr>
        <w:t xml:space="preserve">Nebmaâtrê-Meryamon</w:t>
      </w:r>
      <w:r>
        <w:t xml:space="preserve"> ; nom de naissance </w:t>
      </w:r>
      <w:r>
        <w:rPr>
          <w:i/>
          <w:iCs/>
        </w:rPr>
        <w:t xml:space="preserve">Ramsès Amonherkhépeshef Netjer-heqa-Iounou</w:t>
      </w:r>
      <w:r>
        <w:t xml:space="preserve">. V</w:t>
      </w:r>
    </w:p>
    <w:p>
      <w:pPr>
        <w:pStyle w:val="ListParagraph"/>
        <w:numPr>
          <w:ilvl w:val="0"/>
          <w:numId w:val="10"/>
        </w:numPr>
        <w:spacing w:after="60" w:line="264"/>
      </w:pPr>
      <w:r>
        <w:rPr>
          <w:b/>
          <w:bCs/>
        </w:rPr>
        <w:t xml:space="preserve">Ramsès V</w:t>
      </w:r>
      <w:r>
        <w:t xml:space="preserve"> : </w:t>
      </w:r>
      <w:r>
        <w:rPr>
          <w:i/>
          <w:iCs/>
        </w:rPr>
        <w:t xml:space="preserve">Ousermaâtrê-Sekheperenrê</w:t>
      </w:r>
      <w:r>
        <w:t xml:space="preserve"> ; </w:t>
      </w:r>
      <w:r>
        <w:rPr>
          <w:i/>
          <w:iCs/>
        </w:rPr>
        <w:t xml:space="preserve">Ramsès Amonherkhépeshef (Meryamon)</w:t>
      </w:r>
      <w:r>
        <w:t xml:space="preserve">. V</w:t>
      </w:r>
    </w:p>
    <w:p>
      <w:pPr>
        <w:pStyle w:val="ListParagraph"/>
        <w:numPr>
          <w:ilvl w:val="0"/>
          <w:numId w:val="10"/>
        </w:numPr>
        <w:spacing w:after="60" w:line="264"/>
      </w:pPr>
      <w:r>
        <w:t xml:space="preserve">Ramsès VI est </w:t>
      </w:r>
      <w:r>
        <w:rPr>
          <w:b/>
          <w:bCs/>
        </w:rPr>
        <w:t xml:space="preserve">fils de Ramsès III</w:t>
      </w:r>
      <w:r>
        <w:t xml:space="preserve"> et d'Iset Ta-Hemdjert ; Ramsès V est fils de Ramsès IV : Ramsès VI est donc </w:t>
      </w:r>
      <w:r>
        <w:rPr>
          <w:b/>
          <w:bCs/>
        </w:rPr>
        <w:t xml:space="preserve">l'oncle</w:t>
      </w:r>
      <w:r>
        <w:t xml:space="preserve"> de Ramsès V. V (NMEC ; Grandet 2014, UEE)</w:t>
      </w:r>
    </w:p>
    <w:p>
      <w:pPr>
        <w:pStyle w:val="ListParagraph"/>
        <w:numPr>
          <w:ilvl w:val="0"/>
          <w:numId w:val="10"/>
        </w:numPr>
        <w:spacing w:after="60" w:line="264"/>
      </w:pPr>
      <w:r>
        <w:t xml:space="preserve">Ramsès VI a-t-il </w:t>
      </w:r>
      <w:r>
        <w:rPr>
          <w:b/>
          <w:bCs/>
        </w:rPr>
        <w:t xml:space="preserve">écarté</w:t>
      </w:r>
      <w:r>
        <w:t xml:space="preserve"> Ramsès V ? Simple hypothèse (de.wikipedia). </w:t>
      </w:r>
      <w:r>
        <w:rPr>
          <w:b/>
          <w:bCs/>
        </w:rPr>
        <w:t xml:space="preserve">N</w:t>
      </w:r>
      <w:r>
        <w:t xml:space="preserve"> → à présenter comme une question ouverte, jamais comme un fait (épisode 1).</w:t>
      </w:r>
    </w:p>
    <w:p>
      <w:pPr>
        <w:pStyle w:val="ListParagraph"/>
        <w:numPr>
          <w:ilvl w:val="0"/>
          <w:numId w:val="10"/>
        </w:numPr>
        <w:spacing w:after="60" w:line="264"/>
      </w:pPr>
      <w:r>
        <w:t xml:space="preserve">Variole de Ramsès V : lésions cutanées sur la momie (Hopkins 1980) ; non prouvée par la génomique (Duggan 2016 ; Forni 2023). </w:t>
      </w:r>
      <w:r>
        <w:rPr>
          <w:b/>
          <w:bCs/>
        </w:rPr>
        <w:t xml:space="preserve">C / hypothèse.</w:t>
      </w:r>
    </w:p>
    <w:p>
      <w:pPr>
        <w:spacing w:after="60"/>
      </w:pPr>
    </w:p>
    <w:p>
      <w:pPr>
        <w:pStyle w:val="Heading2"/>
      </w:pPr>
      <w:r>
        <w:t xml:space="preserve">3. Une époque de crise (décor des reconstitutions)</w:t>
      </w:r>
    </w:p>
    <w:p>
      <w:pPr>
        <w:pStyle w:val="ListParagraph"/>
        <w:numPr>
          <w:ilvl w:val="0"/>
          <w:numId w:val="11"/>
        </w:numPr>
        <w:spacing w:after="60" w:line="264"/>
      </w:pPr>
      <w:r>
        <w:t xml:space="preserve">Insécurité à Thèbes, menaces libyennes ; montée en puissance de la famille du grand prêtre d'Amon </w:t>
      </w:r>
      <w:r>
        <w:rPr>
          <w:b/>
          <w:bCs/>
        </w:rPr>
        <w:t xml:space="preserve">Ramsèsnakht</w:t>
      </w:r>
      <w:r>
        <w:t xml:space="preserve">. V (NMEC ; Peden 1994)</w:t>
      </w:r>
    </w:p>
    <w:p>
      <w:pPr>
        <w:pStyle w:val="ListParagraph"/>
        <w:numPr>
          <w:ilvl w:val="0"/>
          <w:numId w:val="11"/>
        </w:numPr>
        <w:spacing w:after="60" w:line="264"/>
      </w:pPr>
      <w:r>
        <w:t xml:space="preserve">Le </w:t>
      </w:r>
      <w:r>
        <w:rPr>
          <w:b/>
          <w:bCs/>
        </w:rPr>
        <w:t xml:space="preserve">papyrus Wilbour</w:t>
      </w:r>
      <w:r>
        <w:t xml:space="preserve"> (an 4 de Ramsès V) montre l'immense domaine foncier d'Amon. V (secondaire)</w:t>
      </w:r>
    </w:p>
    <w:p>
      <w:pPr>
        <w:pStyle w:val="ListParagraph"/>
        <w:numPr>
          <w:ilvl w:val="0"/>
          <w:numId w:val="11"/>
        </w:numPr>
        <w:spacing w:after="60" w:line="264"/>
      </w:pPr>
      <w:r>
        <w:t xml:space="preserve">Ramsès VI est le </w:t>
      </w:r>
      <w:r>
        <w:rPr>
          <w:b/>
          <w:bCs/>
        </w:rPr>
        <w:t xml:space="preserve">dernier roi du Nouvel Empire attesté au Sinaï</w:t>
      </w:r>
      <w:r>
        <w:t xml:space="preserve"> (Sérabit el-Khadim). V</w:t>
      </w:r>
    </w:p>
    <w:p>
      <w:pPr>
        <w:pStyle w:val="ListParagraph"/>
        <w:numPr>
          <w:ilvl w:val="0"/>
          <w:numId w:val="11"/>
        </w:numPr>
        <w:spacing w:after="60" w:line="264"/>
      </w:pPr>
      <w:r>
        <w:t xml:space="preserve">L'Égypte perd ses dernières possessions en Canaan pendant ou juste après son règne. V ; lieu de la base de statue en bronze : </w:t>
      </w:r>
      <w:r>
        <w:rPr>
          <w:b/>
          <w:bCs/>
        </w:rPr>
        <w:t xml:space="preserve">Megiddo</w:t>
      </w:r>
      <w:r>
        <w:t xml:space="preserve"> (Kitchen) ou </w:t>
      </w:r>
      <w:r>
        <w:rPr>
          <w:b/>
          <w:bCs/>
        </w:rPr>
        <w:t xml:space="preserve">Lakish</w:t>
      </w:r>
      <w:r>
        <w:t xml:space="preserve"> (de.wiki) — </w:t>
      </w:r>
      <w:r>
        <w:rPr>
          <w:b/>
          <w:bCs/>
        </w:rPr>
        <w:t xml:space="preserve">C</w:t>
      </w:r>
      <w:r>
        <w:t xml:space="preserve">.</w:t>
      </w:r>
    </w:p>
    <w:p>
      <w:pPr>
        <w:pStyle w:val="ListParagraph"/>
        <w:numPr>
          <w:ilvl w:val="0"/>
          <w:numId w:val="11"/>
        </w:numPr>
        <w:spacing w:after="60" w:line="264"/>
      </w:pPr>
      <w:r>
        <w:t xml:space="preserve">Statue de Karnak le montrant tenant un captif libyen (Legrain 1909) ; statue en granit : tête à l'Oriental Institute (Chicago), torse à Leyde. V</w:t>
      </w:r>
    </w:p>
    <w:p>
      <w:pPr>
        <w:spacing w:after="60"/>
      </w:pPr>
    </w:p>
    <w:p>
      <w:pPr>
        <w:pStyle w:val="Heading2"/>
      </w:pPr>
      <w:r>
        <w:t xml:space="preserve">4. Les ouvriers de la Tombe (Deir el-Médina)</w:t>
      </w:r>
    </w:p>
    <w:p>
      <w:pPr>
        <w:pStyle w:val="ListParagraph"/>
        <w:numPr>
          <w:ilvl w:val="0"/>
          <w:numId w:val="12"/>
        </w:numPr>
        <w:spacing w:after="60" w:line="264"/>
      </w:pPr>
      <w:r>
        <w:t xml:space="preserve">Le village : </w:t>
      </w:r>
      <w:r>
        <w:rPr>
          <w:i/>
          <w:iCs/>
        </w:rPr>
        <w:t xml:space="preserve">Set-Maât</w:t>
      </w:r>
      <w:r>
        <w:t xml:space="preserve">, « la Place de Vérité » ; les ouvriers : « Serviteurs dans la Place de Vérité ». V</w:t>
      </w:r>
    </w:p>
    <w:p>
      <w:pPr>
        <w:pStyle w:val="ListParagraph"/>
        <w:numPr>
          <w:ilvl w:val="0"/>
          <w:numId w:val="12"/>
        </w:numPr>
        <w:spacing w:after="60" w:line="264"/>
      </w:pPr>
      <w:r>
        <w:t xml:space="preserve">L'équipe (« la Tombe ») est divisée en </w:t>
      </w:r>
      <w:r>
        <w:rPr>
          <w:b/>
          <w:bCs/>
        </w:rPr>
        <w:t xml:space="preserve">côté droit / côté gauche</w:t>
      </w:r>
      <w:r>
        <w:t xml:space="preserve"> (vocabulaire des rameurs). V</w:t>
      </w:r>
    </w:p>
    <w:p>
      <w:pPr>
        <w:pStyle w:val="ListParagraph"/>
        <w:numPr>
          <w:ilvl w:val="0"/>
          <w:numId w:val="12"/>
        </w:numPr>
        <w:spacing w:after="60" w:line="264"/>
      </w:pPr>
      <w:r>
        <w:t xml:space="preserve">« Trois capitaines » : un chef d'équipe par côté + le </w:t>
      </w:r>
      <w:r>
        <w:rPr>
          <w:b/>
          <w:bCs/>
        </w:rPr>
        <w:t xml:space="preserve">scribe de la Tombe</w:t>
      </w:r>
      <w:r>
        <w:t xml:space="preserve"> ; adjoints souvent fils du chef. V (thèse Soliman, Leyde 2016, extraits)</w:t>
      </w:r>
    </w:p>
    <w:p>
      <w:pPr>
        <w:pStyle w:val="ListParagraph"/>
        <w:numPr>
          <w:ilvl w:val="0"/>
          <w:numId w:val="12"/>
        </w:numPr>
        <w:spacing w:after="60" w:line="264"/>
      </w:pPr>
      <w:r>
        <w:t xml:space="preserve">Rythme de travail : 8 jours + 2 de repos (en.wiki) ou « semaine » de 10 jours : </w:t>
      </w:r>
      <w:r>
        <w:rPr>
          <w:b/>
          <w:bCs/>
        </w:rPr>
        <w:t xml:space="preserve">C</w:t>
      </w:r>
      <w:r>
        <w:t xml:space="preserve">.</w:t>
      </w:r>
    </w:p>
    <w:p>
      <w:pPr>
        <w:pStyle w:val="ListParagraph"/>
        <w:numPr>
          <w:ilvl w:val="0"/>
          <w:numId w:val="12"/>
        </w:numPr>
        <w:spacing w:after="60" w:line="264"/>
      </w:pPr>
      <w:r>
        <w:rPr>
          <w:b/>
          <w:bCs/>
        </w:rPr>
        <w:t xml:space="preserve">Grève de l'an 29 de Ramsès III</w:t>
      </w:r>
      <w:r>
        <w:t xml:space="preserve"> (papyrus de la grève, Turin Cat. 1880, rédigé par le scribe Amennakht) : les ouvriers protestent devant les temples funéraires pour des rations de grain non livrées. V (Museo Egizio). Mois exact : </w:t>
      </w:r>
      <w:r>
        <w:rPr>
          <w:b/>
          <w:bCs/>
        </w:rPr>
        <w:t xml:space="preserve">C</w:t>
      </w:r>
      <w:r>
        <w:t xml:space="preserve">.</w:t>
      </w:r>
    </w:p>
    <w:p>
      <w:pPr>
        <w:pStyle w:val="ListParagraph"/>
        <w:numPr>
          <w:ilvl w:val="0"/>
          <w:numId w:val="12"/>
        </w:numPr>
        <w:spacing w:after="60" w:line="264"/>
      </w:pPr>
      <w:r>
        <w:rPr>
          <w:b/>
          <w:bCs/>
        </w:rPr>
        <w:t xml:space="preserve">Noms d'ouvriers sous Ramsès VI : N.</w:t>
      </w:r>
      <w:r>
        <w:t xml:space="preserve"> → Tous les artisans nommés dans la BD sont </w:t>
      </w:r>
      <w:r>
        <w:rPr>
          <w:b/>
          <w:bCs/>
        </w:rPr>
        <w:t xml:space="preserve">fictifs</w:t>
      </w:r>
      <w:r>
        <w:t xml:space="preserve"> ; l'indiquer dans la page documentaire.</w:t>
      </w:r>
    </w:p>
    <w:p>
      <w:pPr>
        <w:spacing w:after="60"/>
      </w:pPr>
    </w:p>
    <w:p>
      <w:pPr>
        <w:pStyle w:val="Heading2"/>
      </w:pPr>
      <w:r>
        <w:t xml:space="preserve">5. Après le règne</w:t>
      </w:r>
    </w:p>
    <w:p>
      <w:pPr>
        <w:pStyle w:val="ListParagraph"/>
        <w:numPr>
          <w:ilvl w:val="0"/>
          <w:numId w:val="13"/>
        </w:numPr>
        <w:spacing w:after="60" w:line="264"/>
      </w:pPr>
      <w:r>
        <w:t xml:space="preserve">Pillage antique de KV9 (voir référence KV9 §4).</w:t>
      </w:r>
    </w:p>
    <w:p>
      <w:pPr>
        <w:pStyle w:val="ListParagraph"/>
        <w:numPr>
          <w:ilvl w:val="0"/>
          <w:numId w:val="13"/>
        </w:numPr>
        <w:spacing w:after="60" w:line="264"/>
      </w:pPr>
      <w:r>
        <w:t xml:space="preserve">La momie est déplacée à la XXIᵉ dynastie (début ; sous Pinedjem Iᵉʳ selon Grimal) dans la cachette </w:t>
      </w:r>
      <w:r>
        <w:rPr>
          <w:b/>
          <w:bCs/>
        </w:rPr>
        <w:t xml:space="preserve">KV35</w:t>
      </w:r>
      <w:r>
        <w:t xml:space="preserve"> (tombe d'Amenhotep II), retrouvée par </w:t>
      </w:r>
      <w:r>
        <w:rPr>
          <w:b/>
          <w:bCs/>
        </w:rPr>
        <w:t xml:space="preserve">Victor Loret</w:t>
      </w:r>
      <w:r>
        <w:t xml:space="preserve"> le </w:t>
      </w:r>
      <w:r>
        <w:rPr>
          <w:b/>
          <w:bCs/>
        </w:rPr>
        <w:t xml:space="preserve">9 mars 1898</w:t>
      </w:r>
      <w:r>
        <w:t xml:space="preserve">. V</w:t>
      </w:r>
    </w:p>
    <w:p>
      <w:pPr>
        <w:pStyle w:val="ListParagraph"/>
        <w:numPr>
          <w:ilvl w:val="0"/>
          <w:numId w:val="13"/>
        </w:numPr>
        <w:spacing w:after="60" w:line="264"/>
      </w:pPr>
      <w:r>
        <w:t xml:space="preserve">Aujourd'hui au </w:t>
      </w:r>
      <w:r>
        <w:rPr>
          <w:b/>
          <w:bCs/>
        </w:rPr>
        <w:t xml:space="preserve">NMEC</w:t>
      </w:r>
      <w:r>
        <w:t xml:space="preserve"> (Fustat, Le Caire) depuis la Parade dorée du </w:t>
      </w:r>
      <w:r>
        <w:rPr>
          <w:b/>
          <w:bCs/>
        </w:rPr>
        <w:t xml:space="preserve">3 avril 2021</w:t>
      </w:r>
      <w:r>
        <w:t xml:space="preserve">. V</w:t>
      </w:r>
    </w:p>
    <w:p>
      <w:pPr>
        <w:spacing w:after="60"/>
      </w:pPr>
    </w:p>
    <w:p>
      <w:r>
        <w:br w:type="page"/>
      </w:r>
    </w:p>
    <w:p>
      <w:pPr>
        <w:pStyle w:val="Heading1"/>
      </w:pPr>
      <w:r>
        <w:t xml:space="preserve">Bible · 5 — Saison 1 : les 12 épisodes détaillés</w:t>
      </w:r>
    </w:p>
    <w:p>
      <w:pPr>
        <w:spacing w:after="120" w:line="276"/>
      </w:pPr>
      <w:r>
        <w:t xml:space="preserve">Format par épisode : </w:t>
      </w:r>
      <w:r>
        <w:rPr>
          <w:b/>
          <w:bCs/>
        </w:rPr>
        <w:t xml:space="preserve">4 planches + 1 page documentaire</w:t>
      </w:r>
      <w:r>
        <w:t xml:space="preserve"> (P1 découverte · P2 analyse · P3 immersion antique · P4 révélation/suspense). Chaque épisode correspond à </w:t>
      </w:r>
      <w:r>
        <w:rPr>
          <w:b/>
          <w:bCs/>
        </w:rPr>
        <w:t xml:space="preserve">une nuit</w:t>
      </w:r>
      <w:r>
        <w:t xml:space="preserve"> de la mission fictive et à </w:t>
      </w:r>
      <w:r>
        <w:rPr>
          <w:b/>
          <w:bCs/>
        </w:rPr>
        <w:t xml:space="preserve">une zone réelle</w:t>
      </w:r>
      <w:r>
        <w:t xml:space="preserve"> du tombeau (lettres TMP, voir « 01_reference_kv9.md »).</w:t>
      </w:r>
    </w:p>
    <w:p>
      <w:pPr>
        <w:spacing w:after="120" w:line="276"/>
      </w:pPr>
      <w:r>
        <w:t xml:space="preserve">Les références </w:t>
      </w:r>
      <w:r>
        <w:rPr>
          <w:rFonts w:ascii="Consolas" w:cs="Consolas" w:eastAsia="Consolas" w:hAnsi="Consolas"/>
          <w:color w:val="A0522D"/>
          <w:sz w:val="19"/>
          <w:szCs w:val="19"/>
        </w:rPr>
        <w:t xml:space="preserve">[§6.x]</w:t>
      </w:r>
      <w:r>
        <w:t xml:space="preserve"> renvoient aux scènes du Livre de la Terre numérotées par Darnell &amp; Darnell 2018 (voir « 02_livre_de_la_terre.md »).</w:t>
      </w:r>
    </w:p>
    <w:p>
      <w:pPr>
        <w:pBdr>
          <w:bottom w:val="single" w:color="D6C7A8" w:sz="6" w:space="1"/>
        </w:pBdr>
        <w:spacing w:after="120" w:before="120"/>
      </w:pPr>
    </w:p>
    <w:p>
      <w:pPr>
        <w:pStyle w:val="Heading2"/>
      </w:pPr>
      <w:r>
        <w:t xml:space="preserve">Arc de la saison</w:t>
      </w:r>
    </w:p>
    <w:p>
      <w:pPr>
        <w:spacing w:after="120" w:line="276"/>
      </w:pPr>
      <w:r>
        <w:rPr>
          <w:b/>
          <w:bCs/>
        </w:rPr>
        <w:t xml:space="preserve">Question centrale</w:t>
      </w:r>
      <w:r>
        <w:t xml:space="preserve"> : </w:t>
      </w:r>
      <w:r>
        <w:rPr>
          <w:i/>
          <w:iCs/>
        </w:rPr>
        <w:t xml:space="preserve">Que devient la lumière lorsqu'elle disparaît ?</w:t>
      </w:r>
      <w:r>
        <w:t xml:space="preserve"> </w:t>
      </w:r>
      <w:r>
        <w:rPr>
          <w:b/>
          <w:bCs/>
        </w:rPr>
        <w:t xml:space="preserve">Mystère [H]</w:t>
      </w:r>
      <w:r>
        <w:t xml:space="preserve"> : l'ordre de lecture du Livre de la Terre — un débat savant réel et non résolu (Pleuger 2020). </w:t>
      </w:r>
      <w:r>
        <w:rPr>
          <w:b/>
          <w:bCs/>
        </w:rPr>
        <w:t xml:space="preserve">Résolution [S]</w:t>
      </w:r>
      <w:r>
        <w:t xml:space="preserve"> : il n'y a peut-être jamais eu d'ordre unique. Les Égyptiens superposaient des images concurrentes du même renouvellement. Le soleil va « d'un commencement à un autre ».</w:t>
      </w:r>
    </w:p>
    <w:p>
      <w:pPr>
        <w:spacing w:after="120" w:line="276"/>
      </w:pPr>
      <w:r>
        <w:rPr>
          <w:b/>
          <w:bCs/>
        </w:rPr>
        <w:t xml:space="preserve">Contrainte dramatique [F]</w:t>
      </w:r>
      <w:r>
        <w:t xml:space="preserve"> : douze nuits, trois heures par nuit, un capteur d'humidité et de CO₂.</w:t>
      </w:r>
    </w:p>
    <w:p>
      <w:pPr>
        <w:spacing w:after="120" w:line="276"/>
      </w:pPr>
      <w:r>
        <w:rPr>
          <w:b/>
          <w:bCs/>
        </w:rPr>
        <w:t xml:space="preserve">Antagoniste [F]</w:t>
      </w:r>
      <w:r>
        <w:t xml:space="preserve"> : </w:t>
      </w:r>
      <w:r>
        <w:rPr>
          <w:b/>
          <w:bCs/>
        </w:rPr>
        <w:t xml:space="preserve">Julien Marsac</w:t>
      </w:r>
      <w:r>
        <w:t xml:space="preserve">, producteur d'un documentaire qui co-finance la numérisation. Il veut un « secret » spectaculaire : chambre cachée, électricité antique, message codé. Il incarne les théories marginales, et chaque épisode les réfute par les faits. Il n'est pas un méchant : il finit par comprendre que la vraie histoire est plus forte.</w:t>
      </w:r>
    </w:p>
    <w:p>
      <w:pPr>
        <w:pStyle w:val="Heading3"/>
      </w:pPr>
      <w:r>
        <w:t xml:space="preserve">Arcs des personnages (tous fictifs)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2"/>
        <w:gridCol w:w="4189"/>
        <w:gridCol w:w="3737"/>
      </w:tblGrid>
      <w:tr>
        <w:trPr>
          <w:cantSplit/>
          <w:tblHeader/>
        </w:trPr>
        <w:tc>
          <w:tcPr>
            <w:tcW w:type="dxa" w:w="171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Personnage</w:t>
            </w:r>
          </w:p>
        </w:tc>
        <w:tc>
          <w:tcPr>
            <w:tcW w:type="dxa" w:w="418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Départ</w:t>
            </w:r>
          </w:p>
        </w:tc>
        <w:tc>
          <w:tcPr>
            <w:tcW w:type="dxa" w:w="373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Arrivée</w:t>
            </w:r>
          </w:p>
        </w:tc>
      </w:tr>
      <w:tr>
        <w:trPr>
          <w:cantSplit/>
          <w:tblHeader w:val="false"/>
        </w:trPr>
        <w:tc>
          <w:tcPr>
            <w:tcW w:type="dxa" w:w="171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Dr Kerbu</w:t>
            </w:r>
          </w:p>
        </w:tc>
        <w:tc>
          <w:tcPr>
            <w:tcW w:type="dxa" w:w="418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Veut que chaque image ait </w:t>
            </w:r>
            <w:r>
              <w:rPr>
                <w:i/>
                <w:iCs/>
                <w:sz w:val="18"/>
                <w:szCs w:val="18"/>
              </w:rPr>
              <w:t xml:space="preserve">un</w:t>
            </w:r>
            <w:r>
              <w:rPr>
                <w:sz w:val="18"/>
                <w:szCs w:val="18"/>
              </w:rPr>
              <w:t xml:space="preserve"> sens caché ; tendance à la sur-interprétation</w:t>
            </w:r>
          </w:p>
        </w:tc>
        <w:tc>
          <w:tcPr>
            <w:tcW w:type="dxa" w:w="373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Accepte la pluralité des lectures ; distingue ce qu'il </w:t>
            </w:r>
            <w:r>
              <w:rPr>
                <w:i/>
                <w:iCs/>
                <w:sz w:val="18"/>
                <w:szCs w:val="18"/>
              </w:rPr>
              <w:t xml:space="preserve">sait</w:t>
            </w:r>
            <w:r>
              <w:rPr>
                <w:sz w:val="18"/>
                <w:szCs w:val="18"/>
              </w:rPr>
              <w:t xml:space="preserve"> de ce qu'il </w:t>
            </w:r>
            <w:r>
              <w:rPr>
                <w:i/>
                <w:iCs/>
                <w:sz w:val="18"/>
                <w:szCs w:val="18"/>
              </w:rPr>
              <w:t xml:space="preserve">ressent</w:t>
            </w:r>
          </w:p>
        </w:tc>
      </w:tr>
      <w:tr>
        <w:trPr>
          <w:cantSplit/>
          <w:tblHeader w:val="false"/>
        </w:trPr>
        <w:tc>
          <w:tcPr>
            <w:tcW w:type="dxa" w:w="171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Dr Nefertari Hassan</w:t>
            </w:r>
          </w:p>
        </w:tc>
        <w:tc>
          <w:tcPr>
            <w:tcW w:type="dxa" w:w="418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Littéraliste : « seulement ce qui est écrit »</w:t>
            </w:r>
          </w:p>
        </w:tc>
        <w:tc>
          <w:tcPr>
            <w:tcW w:type="dxa" w:w="373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Découvre que les textes eux-mêmes juxtaposent des images concurrentes (Pleuger p. 67)</w:t>
            </w:r>
          </w:p>
        </w:tc>
      </w:tr>
      <w:tr>
        <w:trPr>
          <w:cantSplit/>
          <w:tblHeader w:val="false"/>
        </w:trPr>
        <w:tc>
          <w:tcPr>
            <w:tcW w:type="dxa" w:w="171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Pr Adel Mansour</w:t>
            </w:r>
          </w:p>
        </w:tc>
        <w:tc>
          <w:tcPr>
            <w:tcW w:type="dxa" w:w="418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Mémoire de la discipline ; possède l'exemplaire annoté de Piankoff &amp; Rambova (1954) hérité de son propre maître [F]</w:t>
            </w:r>
          </w:p>
        </w:tc>
        <w:tc>
          <w:tcPr>
            <w:tcW w:type="dxa" w:w="373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Transmet ce livre à Maya</w:t>
            </w:r>
          </w:p>
        </w:tc>
      </w:tr>
      <w:tr>
        <w:trPr>
          <w:cantSplit/>
          <w:tblHeader w:val="false"/>
        </w:trPr>
        <w:tc>
          <w:tcPr>
            <w:tcW w:type="dxa" w:w="171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Maya</w:t>
            </w:r>
          </w:p>
        </w:tc>
        <w:tc>
          <w:tcPr>
            <w:tcW w:type="dxa" w:w="418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Technicienne : « montrez-moi les données »</w:t>
            </w:r>
          </w:p>
        </w:tc>
        <w:tc>
          <w:tcPr>
            <w:tcW w:type="dxa" w:w="373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Son modèle 3D devient l'outil qui permet de comparer les lectures</w:t>
            </w:r>
          </w:p>
        </w:tc>
      </w:tr>
      <w:tr>
        <w:trPr>
          <w:cantSplit/>
          <w:tblHeader w:val="false"/>
        </w:trPr>
        <w:tc>
          <w:tcPr>
            <w:tcW w:type="dxa" w:w="171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Julien Marsac</w:t>
            </w:r>
          </w:p>
        </w:tc>
        <w:tc>
          <w:tcPr>
            <w:tcW w:type="dxa" w:w="418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Cherche le sensationnel</w:t>
            </w:r>
          </w:p>
        </w:tc>
        <w:tc>
          <w:tcPr>
            <w:tcW w:type="dxa" w:w="373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Renonce à la « chambre secrète » au profit de la vraie énigme</w:t>
            </w:r>
          </w:p>
        </w:tc>
      </w:tr>
    </w:tbl>
    <w:p>
      <w:pPr>
        <w:spacing w:after="120"/>
      </w:pPr>
    </w:p>
    <w:p>
      <w:pPr>
        <w:spacing w:after="120" w:line="276"/>
      </w:pPr>
      <w:r>
        <w:rPr>
          <w:b/>
          <w:bCs/>
        </w:rPr>
        <w:t xml:space="preserve">Origine du Dr Kerbu</w:t>
      </w:r>
      <w:r>
        <w:t xml:space="preserve"> : le pays et le parcours sont </w:t>
      </w:r>
      <w:r>
        <w:rPr>
          <w:b/>
          <w:bCs/>
        </w:rPr>
        <w:t xml:space="preserve">à définir par l'auteur</w:t>
      </w:r>
      <w:r>
        <w:t xml:space="preserve">. Si la série évoque l'historiographie africaine de l'Égypte (par exemple Cheikh Anta Diop ou Théophile Obenga), le faire en présentant les débats savants comme tels, avec des sources, et non comme des acquis.</w:t>
      </w:r>
    </w:p>
    <w:p>
      <w:pPr>
        <w:pBdr>
          <w:bottom w:val="single" w:color="D6C7A8" w:sz="6" w:space="1"/>
        </w:pBdr>
        <w:spacing w:after="120" w:before="120"/>
      </w:pPr>
    </w:p>
    <w:p>
      <w:pPr>
        <w:pStyle w:val="Heading2"/>
      </w:pPr>
      <w:r>
        <w:t xml:space="preserve">Épisode 1 — La porte de KV9 · </w:t>
      </w:r>
      <w:r>
        <w:rPr>
          <w:i/>
          <w:iCs/>
        </w:rPr>
        <w:t xml:space="preserve">Nuit 1 · Zones A, porte B, B</w:t>
      </w:r>
    </w:p>
    <w:p>
      <w:pPr>
        <w:spacing w:after="120" w:line="276"/>
      </w:pPr>
      <w:r>
        <w:rPr>
          <w:b/>
          <w:bCs/>
        </w:rPr>
        <w:t xml:space="preserve">Contenu [H]</w:t>
      </w:r>
    </w:p>
    <w:p>
      <w:pPr>
        <w:pStyle w:val="ListParagraph"/>
        <w:numPr>
          <w:ilvl w:val="0"/>
          <w:numId w:val="14"/>
        </w:numPr>
        <w:spacing w:after="60" w:line="264"/>
      </w:pPr>
      <w:r>
        <w:t xml:space="preserve">KV9 a été commencé pour Ramsès V (jusqu'à la salle E), puis achevé par Ramsès VI, son oncle, qui a fait regraver les noms sur les montants des portes B à F [TMP].</w:t>
      </w:r>
    </w:p>
    <w:p>
      <w:pPr>
        <w:pStyle w:val="ListParagraph"/>
        <w:numPr>
          <w:ilvl w:val="0"/>
          <w:numId w:val="14"/>
        </w:numPr>
        <w:spacing w:after="60" w:line="264"/>
      </w:pPr>
      <w:r>
        <w:t xml:space="preserve">Porte B : disque solaire avec un scarabée et un dieu à tête de bélier, entre Isis et Nephthys [TMP].</w:t>
      </w:r>
    </w:p>
    <w:p>
      <w:pPr>
        <w:pStyle w:val="ListParagraph"/>
        <w:numPr>
          <w:ilvl w:val="0"/>
          <w:numId w:val="14"/>
        </w:numPr>
        <w:spacing w:after="60" w:line="264"/>
      </w:pPr>
      <w:r>
        <w:t xml:space="preserve">Près d'un millier de graffiti grecs, latins et autres ; le plus ancien est daté du 24/12/27 av. J.-C. ; pour les visiteurs, c'était le « tombeau de Memnon » [TMP], [SIP].</w:t>
      </w:r>
    </w:p>
    <w:p>
      <w:pPr>
        <w:pStyle w:val="ListParagraph"/>
        <w:numPr>
          <w:ilvl w:val="0"/>
          <w:numId w:val="14"/>
        </w:numPr>
        <w:spacing w:after="60" w:line="264"/>
      </w:pPr>
      <w:r>
        <w:t xml:space="preserve">Les huttes des ouvriers de KV9 recouvraient l'entrée de KV62 : Carter y trouve la première marche de la tombe de Toutânkhamon le 4/11/1922 [GRIFFITH].</w:t>
      </w:r>
    </w:p>
    <w:p>
      <w:pPr>
        <w:spacing w:after="60"/>
      </w:pPr>
    </w:p>
    <w:p>
      <w:pPr>
        <w:spacing w:after="120" w:line="276"/>
      </w:pPr>
      <w:r>
        <w:rPr>
          <w:b/>
          <w:bCs/>
        </w:rPr>
        <w:t xml:space="preserve">Planches</w:t>
      </w:r>
    </w:p>
    <w:p>
      <w:pPr>
        <w:pStyle w:val="ListParagraph"/>
        <w:numPr>
          <w:ilvl w:val="0"/>
          <w:numId w:val="15"/>
        </w:numPr>
        <w:spacing w:after="60" w:line="264"/>
      </w:pPr>
      <w:r>
        <w:t xml:space="preserve">Arrivée avant l'aube ; Maya pose le capteur ; les graffiti grecs apparaissent sur les parois.</w:t>
      </w:r>
    </w:p>
    <w:p>
      <w:pPr>
        <w:pStyle w:val="ListParagraph"/>
        <w:numPr>
          <w:ilvl w:val="0"/>
          <w:numId w:val="15"/>
        </w:numPr>
        <w:spacing w:after="60" w:line="264"/>
      </w:pPr>
      <w:r>
        <w:t xml:space="preserve">Nefertari lit les cartouches regravés : « Ramsès VI… et Ramsès V en dessous ». Débat : vol ou reprise ? La question reste ouverte [C].</w:t>
      </w:r>
    </w:p>
    <w:p>
      <w:pPr>
        <w:pStyle w:val="ListParagraph"/>
        <w:numPr>
          <w:ilvl w:val="0"/>
          <w:numId w:val="15"/>
        </w:numPr>
        <w:spacing w:after="60" w:line="264"/>
      </w:pPr>
      <w:r>
        <w:t xml:space="preserve">Reconstitution : l'équipe de la Tombe au travail ; un scribe annonce qu'il faut regraver les noms. </w:t>
      </w:r>
      <w:r>
        <w:rPr>
          <w:i/>
          <w:iCs/>
        </w:rPr>
        <w:t xml:space="preserve">Option historique [H]</w:t>
      </w:r>
      <w:r>
        <w:t xml:space="preserve"> : les ouvriers s'arrêtent par peur de « l'ennemi » (P. Turin 2044).</w:t>
      </w:r>
    </w:p>
    <w:p>
      <w:pPr>
        <w:pStyle w:val="ListParagraph"/>
        <w:numPr>
          <w:ilvl w:val="0"/>
          <w:numId w:val="15"/>
        </w:numPr>
        <w:spacing w:after="60" w:line="264"/>
      </w:pPr>
      <w:r>
        <w:t xml:space="preserve">Marsac arrive : « Et Toutânkhamon ? Il est juste là, sous nos pieds ! » Mansour raconte les huttes et</w:t>
      </w:r>
    </w:p>
    <w:p>
      <w:pPr>
        <w:pStyle w:val="ListParagraph"/>
        <w:numPr>
          <w:ilvl w:val="1"/>
          <w:numId w:val="15"/>
        </w:numPr>
        <w:spacing w:after="60" w:line="264"/>
      </w:pPr>
      <w:r>
        <w:t xml:space="preserve">Fin : Kerbu devant la porte B, le disque au scarabée. </w:t>
      </w:r>
      <w:r>
        <w:rPr>
          <w:i/>
          <w:iCs/>
        </w:rPr>
        <w:t xml:space="preserve">« Un tombeau qui porte deux noms… »</w:t>
      </w:r>
    </w:p>
    <w:p>
      <w:pPr>
        <w:spacing w:after="60"/>
      </w:pPr>
    </w:p>
    <w:p>
      <w:pPr>
        <w:spacing w:after="120" w:line="276"/>
      </w:pPr>
      <w:r>
        <w:rPr>
          <w:b/>
          <w:bCs/>
        </w:rPr>
        <w:t xml:space="preserve">Page documentaire</w:t>
      </w:r>
      <w:r>
        <w:t xml:space="preserve"> : « KV9, un tombeau pour deux rois » (plan du tombeau, chantier Ramsès V / VI, graffiti, lien avec KV62). </w:t>
      </w:r>
      <w:r>
        <w:rPr>
          <w:b/>
          <w:bCs/>
        </w:rPr>
        <w:t xml:space="preserve">À vérifier</w:t>
      </w:r>
      <w:r>
        <w:t xml:space="preserve"> : la technique de peinture (esquisse rouge, correction noire : Laboury, Keller).</w:t>
      </w:r>
    </w:p>
    <w:p>
      <w:pPr>
        <w:pBdr>
          <w:bottom w:val="single" w:color="D6C7A8" w:sz="6" w:space="1"/>
        </w:pBdr>
        <w:spacing w:after="120" w:before="120"/>
      </w:pPr>
    </w:p>
    <w:p>
      <w:pPr>
        <w:pStyle w:val="Heading2"/>
      </w:pPr>
      <w:r>
        <w:t xml:space="preserve">Épisode 2 — Le plafond des étoiles · </w:t>
      </w:r>
      <w:r>
        <w:rPr>
          <w:i/>
          <w:iCs/>
        </w:rPr>
        <w:t xml:space="preserve">Nuit 2 · B, C, D (plafonds et parois sud)</w:t>
      </w:r>
    </w:p>
    <w:p>
      <w:pPr>
        <w:spacing w:after="120" w:line="276"/>
      </w:pPr>
      <w:r>
        <w:rPr>
          <w:b/>
          <w:bCs/>
        </w:rPr>
        <w:t xml:space="preserve">Contenu [H]</w:t>
      </w:r>
    </w:p>
    <w:p>
      <w:pPr>
        <w:pStyle w:val="ListParagraph"/>
        <w:numPr>
          <w:ilvl w:val="0"/>
          <w:numId w:val="16"/>
        </w:numPr>
        <w:spacing w:after="60" w:line="264"/>
      </w:pPr>
      <w:r>
        <w:t xml:space="preserve">Plafonds de B et C : constellations circumpolaires et décans (les étoiles qui marquaient les « semaines » de 10 jours) [TMP], [TMP-FC].</w:t>
      </w:r>
    </w:p>
    <w:p>
      <w:pPr>
        <w:pStyle w:val="ListParagraph"/>
        <w:numPr>
          <w:ilvl w:val="0"/>
          <w:numId w:val="16"/>
        </w:numPr>
        <w:spacing w:after="60" w:line="264"/>
      </w:pPr>
      <w:r>
        <w:t xml:space="preserve">Plafond de D : les jambes de Nout au-dessus du début du Livre du Jour et de la fin du Livre de la Nuit [TMP].</w:t>
      </w:r>
    </w:p>
    <w:p>
      <w:pPr>
        <w:pStyle w:val="ListParagraph"/>
        <w:numPr>
          <w:ilvl w:val="0"/>
          <w:numId w:val="16"/>
        </w:numPr>
        <w:spacing w:after="60" w:line="264"/>
      </w:pPr>
      <w:r>
        <w:t xml:space="preserve">Nout avale le soleil le soir et le met au monde au matin (Textes des Pyramides, d'après Müller 2001).</w:t>
      </w:r>
    </w:p>
    <w:p>
      <w:pPr>
        <w:pStyle w:val="ListParagraph"/>
        <w:numPr>
          <w:ilvl w:val="0"/>
          <w:numId w:val="16"/>
        </w:numPr>
        <w:spacing w:after="60" w:line="264"/>
      </w:pPr>
      <w:r>
        <w:t xml:space="preserve">Parois sud : Livre des Portes, divisions 1 à 7, dont la salle du jugement d'Osiris à la 5ᵉ porte (corridor C) [TMP].</w:t>
      </w:r>
    </w:p>
    <w:p>
      <w:pPr>
        <w:spacing w:after="60"/>
      </w:pPr>
    </w:p>
    <w:p>
      <w:pPr>
        <w:spacing w:after="120" w:line="276"/>
      </w:pPr>
      <w:r>
        <w:rPr>
          <w:b/>
          <w:bCs/>
        </w:rPr>
        <w:t xml:space="preserve">Planches</w:t>
      </w:r>
    </w:p>
    <w:p>
      <w:pPr>
        <w:pStyle w:val="ListParagraph"/>
        <w:numPr>
          <w:ilvl w:val="0"/>
          <w:numId w:val="17"/>
        </w:numPr>
        <w:spacing w:after="60" w:line="264"/>
      </w:pPr>
      <w:r>
        <w:t xml:space="preserve">Maya projette un relevé du plafond. Les figures d'étoiles s'alignent.</w:t>
      </w:r>
    </w:p>
    <w:p>
      <w:pPr>
        <w:pStyle w:val="ListParagraph"/>
        <w:numPr>
          <w:ilvl w:val="0"/>
          <w:numId w:val="17"/>
        </w:numPr>
        <w:spacing w:after="60" w:line="264"/>
      </w:pPr>
      <w:r>
        <w:t xml:space="preserve">Nefertari explique les décans ; Kerbu suit le corps étiré de Nout, qui se poursuit au-dessus des salles suivantes.</w:t>
      </w:r>
    </w:p>
    <w:p>
      <w:pPr>
        <w:pStyle w:val="ListParagraph"/>
        <w:numPr>
          <w:ilvl w:val="0"/>
          <w:numId w:val="17"/>
        </w:numPr>
        <w:spacing w:after="60" w:line="264"/>
      </w:pPr>
      <w:r>
        <w:t xml:space="preserve">Reconstitution [S] : le soleil-disque glisse dans la bouche de Nout ; à l'intérieur de son corps étoilé commence la nuit.</w:t>
      </w:r>
    </w:p>
    <w:p>
      <w:pPr>
        <w:pStyle w:val="ListParagraph"/>
        <w:numPr>
          <w:ilvl w:val="0"/>
          <w:numId w:val="17"/>
        </w:numPr>
        <w:spacing w:after="60" w:line="264"/>
      </w:pPr>
      <w:r>
        <w:t xml:space="preserve">Dans le corridor C : la salle du jugement d'Osiris. Kerbu : « Avant de renaître, il faut être jugé ? » Fin : la tête de Nout, plus loin, au plafond de F.</w:t>
      </w:r>
    </w:p>
    <w:p>
      <w:pPr>
        <w:spacing w:after="60"/>
      </w:pPr>
    </w:p>
    <w:p>
      <w:pPr>
        <w:spacing w:after="120" w:line="276"/>
      </w:pPr>
      <w:r>
        <w:rPr>
          <w:b/>
          <w:bCs/>
        </w:rPr>
        <w:t xml:space="preserve">Page documentaire</w:t>
      </w:r>
      <w:r>
        <w:t xml:space="preserve"> : « Lire un plafond égyptien » (décans, horloges stellaires, Livres du Jour et de la Nuit). </w:t>
      </w:r>
      <w:r>
        <w:rPr>
          <w:b/>
          <w:bCs/>
        </w:rPr>
        <w:t xml:space="preserve">Sources</w:t>
      </w:r>
      <w:r>
        <w:t xml:space="preserve"> : [TMP], [TMP-FC], Müller 2001 (OEAE III p. 124) ; S. Symons 2019 (pour aller plus loin).</w:t>
      </w:r>
    </w:p>
    <w:p>
      <w:pPr>
        <w:pBdr>
          <w:bottom w:val="single" w:color="D6C7A8" w:sz="6" w:space="1"/>
        </w:pBdr>
        <w:spacing w:after="120" w:before="120"/>
      </w:pPr>
    </w:p>
    <w:p>
      <w:pPr>
        <w:pStyle w:val="Heading2"/>
      </w:pPr>
      <w:r>
        <w:t xml:space="preserve">Épisode 3 — Le livre sans commencement · </w:t>
      </w:r>
      <w:r>
        <w:rPr>
          <w:i/>
          <w:iCs/>
        </w:rPr>
        <w:t xml:space="preserve">Nuit 3 · chambre J (premier passage)</w:t>
      </w:r>
    </w:p>
    <w:p>
      <w:pPr>
        <w:spacing w:after="120" w:line="276"/>
      </w:pPr>
      <w:r>
        <w:rPr>
          <w:b/>
          <w:bCs/>
        </w:rPr>
        <w:t xml:space="preserve">Contenu [H]</w:t>
      </w:r>
    </w:p>
    <w:p>
      <w:pPr>
        <w:pStyle w:val="ListParagraph"/>
        <w:numPr>
          <w:ilvl w:val="0"/>
          <w:numId w:val="18"/>
        </w:numPr>
        <w:spacing w:after="60" w:line="264"/>
      </w:pPr>
      <w:r>
        <w:t xml:space="preserve">Les Égyptiens n'ont donné aucun titre à ce livre ; les modernes l'ont nommé trois fois : « Livre d'Aker » (Piankoff 1946), « La Création du disque solaire » (Piankoff 1953), « Livre de la Terre » (Hornung 1972) [PLEUGER], [DARNELL].</w:t>
      </w:r>
    </w:p>
    <w:p>
      <w:pPr>
        <w:pStyle w:val="ListParagraph"/>
        <w:numPr>
          <w:ilvl w:val="0"/>
          <w:numId w:val="18"/>
        </w:numPr>
        <w:spacing w:after="60" w:line="264"/>
      </w:pPr>
      <w:r>
        <w:t xml:space="preserve">KV9 en conserve la version la plus complète ; dans la Vallée des Rois, le livre n'apparaît que dans les chambres funéraires [DARNELL] p. 49, 457.</w:t>
      </w:r>
    </w:p>
    <w:p>
      <w:pPr>
        <w:pStyle w:val="ListParagraph"/>
        <w:numPr>
          <w:ilvl w:val="0"/>
          <w:numId w:val="18"/>
        </w:numPr>
        <w:spacing w:after="60" w:line="264"/>
      </w:pPr>
      <w:r>
        <w:t xml:space="preserve">Les savants ne s'accordent ni sur le début ni sur la fin [PLEUGER] p. 48-50.</w:t>
      </w:r>
    </w:p>
    <w:p>
      <w:pPr>
        <w:spacing w:after="60"/>
      </w:pPr>
    </w:p>
    <w:p>
      <w:pPr>
        <w:spacing w:after="120" w:line="276"/>
      </w:pPr>
      <w:r>
        <w:rPr>
          <w:b/>
          <w:bCs/>
        </w:rPr>
        <w:t xml:space="preserve">Planches</w:t>
      </w:r>
    </w:p>
    <w:p>
      <w:pPr>
        <w:pStyle w:val="ListParagraph"/>
        <w:numPr>
          <w:ilvl w:val="0"/>
          <w:numId w:val="19"/>
        </w:numPr>
        <w:spacing w:after="60" w:line="264"/>
      </w:pPr>
      <w:r>
        <w:t xml:space="preserve">Première descente directe jusqu'à J : Maya lance un scan complet des quatre parois.</w:t>
      </w:r>
    </w:p>
    <w:p>
      <w:pPr>
        <w:pStyle w:val="ListParagraph"/>
        <w:numPr>
          <w:ilvl w:val="0"/>
          <w:numId w:val="19"/>
        </w:numPr>
        <w:spacing w:after="60" w:line="264"/>
      </w:pPr>
      <w:r>
        <w:t xml:space="preserve">Mansour ouvre son exemplaire de Piankoff &amp; Rambova (1954) : « Même son nom n'est pas égyptien. »</w:t>
      </w:r>
    </w:p>
    <w:p>
      <w:pPr>
        <w:pStyle w:val="ListParagraph"/>
        <w:numPr>
          <w:ilvl w:val="0"/>
          <w:numId w:val="19"/>
        </w:numPr>
        <w:spacing w:after="60" w:line="264"/>
      </w:pPr>
      <w:r>
        <w:t xml:space="preserve">Reconstitution [H/F] : 1949-1951, l'expédition Piankoff photographie la tombe (photographies de L. F. Husson) [ARCHIVE]. </w:t>
      </w:r>
      <w:r>
        <w:rPr>
          <w:i/>
          <w:iCs/>
        </w:rPr>
        <w:t xml:space="preserve">Les dialogues sont fictifs.</w:t>
      </w:r>
    </w:p>
    <w:p>
      <w:pPr>
        <w:pStyle w:val="ListParagraph"/>
        <w:numPr>
          <w:ilvl w:val="0"/>
          <w:numId w:val="19"/>
        </w:numPr>
        <w:spacing w:after="60" w:line="264"/>
      </w:pPr>
      <w:r>
        <w:t xml:space="preserve">Maya : « Mon logiciel ne trouve aucun début. » Citation affichée : « est-il certain qu'une telle version canonique ait jamais existé ? » (Pleuger 2020, p. 48). Fin : Marsac flaire un « code ».</w:t>
      </w:r>
    </w:p>
    <w:p>
      <w:pPr>
        <w:spacing w:after="60"/>
      </w:pPr>
    </w:p>
    <w:p>
      <w:pPr>
        <w:spacing w:after="120" w:line="276"/>
      </w:pPr>
      <w:r>
        <w:rPr>
          <w:b/>
          <w:bCs/>
        </w:rPr>
        <w:t xml:space="preserve">Page documentaire</w:t>
      </w:r>
      <w:r>
        <w:t xml:space="preserve"> : « Un livre aux trois noms » (frise de l'historiographie de 1946 à 2020).</w:t>
      </w:r>
    </w:p>
    <w:p>
      <w:pPr>
        <w:pBdr>
          <w:bottom w:val="single" w:color="D6C7A8" w:sz="6" w:space="1"/>
        </w:pBdr>
        <w:spacing w:after="120" w:before="120"/>
      </w:pPr>
    </w:p>
    <w:p>
      <w:pPr>
        <w:pStyle w:val="Heading2"/>
      </w:pPr>
      <w:r>
        <w:t xml:space="preserve">Épisode 4 — Les deux horizons d'Aker · </w:t>
      </w:r>
      <w:r>
        <w:rPr>
          <w:i/>
          <w:iCs/>
        </w:rPr>
        <w:t xml:space="preserve">Nuit 4 · D (Cavernes div. 3), J</w:t>
      </w:r>
    </w:p>
    <w:p>
      <w:pPr>
        <w:spacing w:after="120" w:line="276"/>
      </w:pPr>
      <w:r>
        <w:rPr>
          <w:b/>
          <w:bCs/>
        </w:rPr>
        <w:t xml:space="preserve">Contenu [H]</w:t>
      </w:r>
    </w:p>
    <w:p>
      <w:pPr>
        <w:pStyle w:val="ListParagraph"/>
        <w:numPr>
          <w:ilvl w:val="0"/>
          <w:numId w:val="20"/>
        </w:numPr>
        <w:spacing w:after="60" w:line="264"/>
      </w:pPr>
      <w:r>
        <w:t xml:space="preserve">L'iconographie d'Aker évolue : avant d'un lion, puis deux lions dos à dos, puis un double sphinx (Leitz, </w:t>
      </w:r>
      <w:r>
        <w:rPr>
          <w:i/>
          <w:iCs/>
        </w:rPr>
        <w:t xml:space="preserve">LGG</w:t>
      </w:r>
      <w:r>
        <w:t xml:space="preserve">).</w:t>
      </w:r>
    </w:p>
    <w:p>
      <w:pPr>
        <w:pStyle w:val="ListParagraph"/>
        <w:numPr>
          <w:ilvl w:val="0"/>
          <w:numId w:val="20"/>
        </w:numPr>
        <w:spacing w:after="60" w:line="264"/>
      </w:pPr>
      <w:r>
        <w:t xml:space="preserve">Aker garde les horizons est et ouest et porte la barque de nuit.</w:t>
      </w:r>
    </w:p>
    <w:p>
      <w:pPr>
        <w:pStyle w:val="ListParagraph"/>
        <w:numPr>
          <w:ilvl w:val="0"/>
          <w:numId w:val="20"/>
        </w:numPr>
        <w:spacing w:after="60" w:line="264"/>
      </w:pPr>
      <w:r>
        <w:t xml:space="preserve">Livre des Cavernes, division 3 : Aker en double sphinx [TMP].</w:t>
      </w:r>
    </w:p>
    <w:p>
      <w:pPr>
        <w:pStyle w:val="ListParagraph"/>
        <w:numPr>
          <w:ilvl w:val="0"/>
          <w:numId w:val="20"/>
        </w:numPr>
        <w:spacing w:after="60" w:line="264"/>
      </w:pPr>
      <w:r>
        <w:t xml:space="preserve">Livre de la Terre, tableau d'ouverture : la barque sur le double Aker, Khépri et Thot à bord ; « Ramsès (VI) soulève Rê » [§6.1] ; la proue porte « Sortir d'Aker » [§6.26].</w:t>
      </w:r>
    </w:p>
    <w:p>
      <w:pPr>
        <w:pStyle w:val="ListParagraph"/>
        <w:numPr>
          <w:ilvl w:val="0"/>
          <w:numId w:val="20"/>
        </w:numPr>
        <w:spacing w:after="60" w:line="264"/>
      </w:pPr>
      <w:r>
        <w:t xml:space="preserve">Devise de la série : l'avant de chaque lion peut se lire </w:t>
      </w:r>
      <w:r>
        <w:rPr>
          <w:i/>
          <w:iCs/>
        </w:rPr>
        <w:t xml:space="preserve">ḥꜣ.t</w:t>
      </w:r>
      <w:r>
        <w:t xml:space="preserve">, « commencement » ; le soleil irait « d'un commencement à un autre » (Darnell 2018 p. 498, paraphrasant Roberson 2012 p. 148).</w:t>
      </w:r>
    </w:p>
    <w:p>
      <w:pPr>
        <w:spacing w:after="60"/>
      </w:pPr>
    </w:p>
    <w:p>
      <w:pPr>
        <w:spacing w:after="120" w:line="276"/>
      </w:pPr>
      <w:r>
        <w:rPr>
          <w:b/>
          <w:bCs/>
        </w:rPr>
        <w:t xml:space="preserve">Planches</w:t>
      </w:r>
    </w:p>
    <w:p>
      <w:pPr>
        <w:pStyle w:val="ListParagraph"/>
        <w:numPr>
          <w:ilvl w:val="0"/>
          <w:numId w:val="21"/>
        </w:numPr>
        <w:spacing w:after="60" w:line="264"/>
      </w:pPr>
      <w:r>
        <w:t xml:space="preserve">Kerbu compare le double sphinx du corridor D avec celui de la chambre J : deux versions du même dieu.</w:t>
      </w:r>
    </w:p>
    <w:p>
      <w:pPr>
        <w:pStyle w:val="ListParagraph"/>
        <w:numPr>
          <w:ilvl w:val="0"/>
          <w:numId w:val="21"/>
        </w:numPr>
        <w:spacing w:after="60" w:line="264"/>
      </w:pPr>
      <w:r>
        <w:t xml:space="preserve">Nefertari lit la légende du roi qui « soulève Rê » : le roi lui-même participe à la renaissance.</w:t>
      </w:r>
    </w:p>
    <w:p>
      <w:pPr>
        <w:pStyle w:val="ListParagraph"/>
        <w:numPr>
          <w:ilvl w:val="0"/>
          <w:numId w:val="21"/>
        </w:numPr>
        <w:spacing w:after="60" w:line="264"/>
      </w:pPr>
      <w:r>
        <w:t xml:space="preserve">Reconstitution [S] : la barque entre dans la gueule du lion de l'ouest et sort par celle du lion de l'est.</w:t>
      </w:r>
    </w:p>
    <w:p>
      <w:pPr>
        <w:pStyle w:val="ListParagraph"/>
        <w:numPr>
          <w:ilvl w:val="0"/>
          <w:numId w:val="21"/>
        </w:numPr>
        <w:spacing w:after="60" w:line="264"/>
      </w:pPr>
      <w:r>
        <w:t xml:space="preserve">Révélation : deux têtes, donc deux « commencements », et aucune fin. Le capteur bipe.</w:t>
      </w:r>
    </w:p>
    <w:p>
      <w:pPr>
        <w:spacing w:after="60"/>
      </w:pPr>
    </w:p>
    <w:p>
      <w:pPr>
        <w:spacing w:after="120" w:line="276"/>
      </w:pPr>
      <w:r>
        <w:rPr>
          <w:b/>
          <w:bCs/>
        </w:rPr>
        <w:t xml:space="preserve">Attention [C]</w:t>
      </w:r>
      <w:r>
        <w:t xml:space="preserve"> : les noms des lions « hier / demain » (Sefe / Douaou, ou Routy) sont incertains : ne pas les mettre dans une bulle sans source.</w:t>
      </w:r>
    </w:p>
    <w:p>
      <w:pPr>
        <w:pBdr>
          <w:bottom w:val="single" w:color="D6C7A8" w:sz="6" w:space="1"/>
        </w:pBdr>
        <w:spacing w:after="120" w:before="120"/>
      </w:pPr>
    </w:p>
    <w:p>
      <w:pPr>
        <w:pStyle w:val="Heading2"/>
      </w:pPr>
      <w:r>
        <w:t xml:space="preserve">Épisode 5 — Le corps d'Osiris · </w:t>
      </w:r>
      <w:r>
        <w:rPr>
          <w:i/>
          <w:iCs/>
        </w:rPr>
        <w:t xml:space="preserve">Nuit 5 · F (paroi ouest), Cavernes div. 4, J (§6.4)</w:t>
      </w:r>
    </w:p>
    <w:p>
      <w:pPr>
        <w:spacing w:after="120" w:line="276"/>
      </w:pPr>
      <w:r>
        <w:rPr>
          <w:b/>
          <w:bCs/>
        </w:rPr>
        <w:t xml:space="preserve">Contenu [H]</w:t>
      </w:r>
    </w:p>
    <w:p>
      <w:pPr>
        <w:pStyle w:val="ListParagraph"/>
        <w:numPr>
          <w:ilvl w:val="0"/>
          <w:numId w:val="22"/>
        </w:numPr>
        <w:spacing w:after="60" w:line="264"/>
      </w:pPr>
      <w:r>
        <w:t xml:space="preserve">Salle F, paroi ouest : le roi encense et fait une libation devant Osiris [TMP].</w:t>
      </w:r>
    </w:p>
    <w:p>
      <w:pPr>
        <w:pStyle w:val="ListParagraph"/>
        <w:numPr>
          <w:ilvl w:val="0"/>
          <w:numId w:val="22"/>
        </w:numPr>
        <w:spacing w:after="60" w:line="264"/>
      </w:pPr>
      <w:r>
        <w:t xml:space="preserve">Cavernes, division 4 : Isis et Nephthys relèvent Osiris [TMP].</w:t>
      </w:r>
    </w:p>
    <w:p>
      <w:pPr>
        <w:pStyle w:val="ListParagraph"/>
        <w:numPr>
          <w:ilvl w:val="0"/>
          <w:numId w:val="22"/>
        </w:numPr>
        <w:spacing w:after="60" w:line="264"/>
      </w:pPr>
      <w:r>
        <w:t xml:space="preserve">Livre de la Terre [§6.4] : naos d'Osiris ; Anubis garde le « Coffre mystérieux » ; Rê : « Quand vous entendez ma voix, vous respirez ! »</w:t>
      </w:r>
    </w:p>
    <w:p>
      <w:pPr>
        <w:pStyle w:val="ListParagraph"/>
        <w:numPr>
          <w:ilvl w:val="0"/>
          <w:numId w:val="22"/>
        </w:numPr>
        <w:spacing w:after="60" w:line="264"/>
      </w:pPr>
      <w:r>
        <w:t xml:space="preserve">Amdouat, 6ᵉ heure : le </w:t>
      </w:r>
      <w:r>
        <w:rPr>
          <w:i/>
          <w:iCs/>
        </w:rPr>
        <w:t xml:space="preserve">ba</w:t>
      </w:r>
      <w:r>
        <w:t xml:space="preserve"> de Rê rejoint son corps sous la forme d'Osiris (Luft 2001, Abt &amp; Hornung 2003).</w:t>
      </w:r>
    </w:p>
    <w:p>
      <w:pPr>
        <w:pStyle w:val="ListParagraph"/>
        <w:numPr>
          <w:ilvl w:val="0"/>
          <w:numId w:val="22"/>
        </w:numPr>
        <w:spacing w:after="60" w:line="264"/>
      </w:pPr>
      <w:r>
        <w:t xml:space="preserve">Parallèle, hors de KV9 : « C'est Rê qui repose en Osiris, Osiris qui repose en Rê » (tombe de Néfertari, QV66 ; Luft 2001 p. 142).</w:t>
      </w:r>
    </w:p>
    <w:p>
      <w:pPr>
        <w:spacing w:after="60"/>
      </w:pPr>
    </w:p>
    <w:p>
      <w:pPr>
        <w:spacing w:after="120" w:line="276"/>
      </w:pPr>
      <w:r>
        <w:rPr>
          <w:b/>
          <w:bCs/>
        </w:rPr>
        <w:t xml:space="preserve">Planches</w:t>
      </w:r>
    </w:p>
    <w:p>
      <w:pPr>
        <w:pStyle w:val="ListParagraph"/>
        <w:numPr>
          <w:ilvl w:val="0"/>
          <w:numId w:val="23"/>
        </w:numPr>
        <w:spacing w:after="60" w:line="264"/>
      </w:pPr>
      <w:r>
        <w:t xml:space="preserve">Devant Osiris dans la salle F : Kerbu note la peau verte (la régénération) [Wilkinson 1994].</w:t>
      </w:r>
    </w:p>
    <w:p>
      <w:pPr>
        <w:pStyle w:val="ListParagraph"/>
        <w:numPr>
          <w:ilvl w:val="0"/>
          <w:numId w:val="23"/>
        </w:numPr>
        <w:spacing w:after="60" w:line="264"/>
      </w:pPr>
      <w:r>
        <w:t xml:space="preserve">Nefertari lit la phrase de Rê aux morts : </w:t>
      </w:r>
      <w:r>
        <w:rPr>
          <w:i/>
          <w:iCs/>
        </w:rPr>
        <w:t xml:space="preserve">la voix du soleil rend le souffle</w:t>
      </w:r>
      <w:r>
        <w:t xml:space="preserve">.</w:t>
      </w:r>
    </w:p>
    <w:p>
      <w:pPr>
        <w:pStyle w:val="ListParagraph"/>
        <w:numPr>
          <w:ilvl w:val="0"/>
          <w:numId w:val="23"/>
        </w:numPr>
        <w:spacing w:after="60" w:line="264"/>
      </w:pPr>
      <w:r>
        <w:t xml:space="preserve">Reconstitution [S] : Rê à tête de bélier descend jusqu'au corps momifié d'Osiris ; les deux se rejoignent.</w:t>
      </w:r>
    </w:p>
    <w:p>
      <w:pPr>
        <w:pStyle w:val="ListParagraph"/>
        <w:numPr>
          <w:ilvl w:val="0"/>
          <w:numId w:val="23"/>
        </w:numPr>
        <w:spacing w:after="60" w:line="264"/>
      </w:pPr>
      <w:r>
        <w:t xml:space="preserve">Révélation : le soleil ne renaît pas </w:t>
      </w:r>
      <w:r>
        <w:rPr>
          <w:i/>
          <w:iCs/>
        </w:rPr>
        <w:t xml:space="preserve">malgré</w:t>
      </w:r>
      <w:r>
        <w:t xml:space="preserve"> la mort mais </w:t>
      </w:r>
      <w:r>
        <w:rPr>
          <w:i/>
          <w:iCs/>
        </w:rPr>
        <w:t xml:space="preserve">à travers</w:t>
      </w:r>
      <w:r>
        <w:t xml:space="preserve"> elle. Fin : Marsac a vu « une salle cachée » sur le scan : un vide derrière une paroi.</w:t>
      </w:r>
    </w:p>
    <w:p>
      <w:pPr>
        <w:spacing w:after="60"/>
      </w:pPr>
    </w:p>
    <w:p>
      <w:pPr>
        <w:spacing w:after="120" w:line="276"/>
      </w:pPr>
      <w:r>
        <w:rPr>
          <w:b/>
          <w:bCs/>
        </w:rPr>
        <w:t xml:space="preserve">Page documentaire</w:t>
      </w:r>
      <w:r>
        <w:t xml:space="preserve"> : « Rê et Osiris : deux dieux, une nuit ».</w:t>
      </w:r>
    </w:p>
    <w:p>
      <w:pPr>
        <w:pBdr>
          <w:bottom w:val="single" w:color="D6C7A8" w:sz="6" w:space="1"/>
        </w:pBdr>
        <w:spacing w:after="120" w:before="120"/>
      </w:pPr>
    </w:p>
    <w:p>
      <w:pPr>
        <w:pStyle w:val="Heading2"/>
      </w:pPr>
      <w:r>
        <w:t xml:space="preserve">Épisode 6 — La naissance du disque solaire · </w:t>
      </w:r>
      <w:r>
        <w:rPr>
          <w:i/>
          <w:iCs/>
        </w:rPr>
        <w:t xml:space="preserve">Nuit 6 · descente F, G, H (Amdouat), J (§6.3, 6.11, 6.16, 6.40)</w:t>
      </w:r>
    </w:p>
    <w:p>
      <w:pPr>
        <w:spacing w:after="120" w:line="276"/>
      </w:pPr>
      <w:r>
        <w:rPr>
          <w:b/>
          <w:bCs/>
        </w:rPr>
        <w:t xml:space="preserve">Contenu [H]</w:t>
      </w:r>
    </w:p>
    <w:p>
      <w:pPr>
        <w:pStyle w:val="ListParagraph"/>
        <w:numPr>
          <w:ilvl w:val="0"/>
          <w:numId w:val="24"/>
        </w:numPr>
        <w:spacing w:after="60" w:line="264"/>
      </w:pPr>
      <w:r>
        <w:t xml:space="preserve">Livre de la Terre : un grand disque embrassé par des bras qui sortent du sol [§6.3] ; les « deux bras de Noun » soulèvent le disque [§6.11, 6.40] ; « Moi-même, je me mets au monde », Khépri sort du disque [§6.16].</w:t>
      </w:r>
    </w:p>
    <w:p>
      <w:pPr>
        <w:pStyle w:val="ListParagraph"/>
        <w:numPr>
          <w:ilvl w:val="0"/>
          <w:numId w:val="24"/>
        </w:numPr>
        <w:spacing w:after="60" w:line="264"/>
      </w:pPr>
      <w:r>
        <w:t xml:space="preserve">Amdouat dans G et H : onze heures sur douze ; </w:t>
      </w:r>
      <w:r>
        <w:rPr>
          <w:b/>
          <w:bCs/>
        </w:rPr>
        <w:t xml:space="preserve">la 12ᵉ heure manque dans KV9</w:t>
      </w:r>
      <w:r>
        <w:t xml:space="preserve"> [TMP].</w:t>
      </w:r>
    </w:p>
    <w:p>
      <w:pPr>
        <w:pStyle w:val="ListParagraph"/>
        <w:numPr>
          <w:ilvl w:val="0"/>
          <w:numId w:val="24"/>
        </w:numPr>
        <w:spacing w:after="60" w:line="264"/>
      </w:pPr>
      <w:r>
        <w:t xml:space="preserve">Livre des Portes, scène finale (F et K) : Noun soulève la barque hors des eaux primordiales [TMP].</w:t>
      </w:r>
    </w:p>
    <w:p>
      <w:pPr>
        <w:spacing w:after="60"/>
      </w:pPr>
    </w:p>
    <w:p>
      <w:pPr>
        <w:spacing w:after="120" w:line="276"/>
      </w:pPr>
      <w:r>
        <w:rPr>
          <w:b/>
          <w:bCs/>
        </w:rPr>
        <w:t xml:space="preserve">Planches</w:t>
      </w:r>
    </w:p>
    <w:p>
      <w:pPr>
        <w:pStyle w:val="ListParagraph"/>
        <w:numPr>
          <w:ilvl w:val="0"/>
          <w:numId w:val="25"/>
        </w:numPr>
        <w:spacing w:after="60" w:line="264"/>
      </w:pPr>
      <w:r>
        <w:t xml:space="preserve">Le « vide » de Marsac s'explique : c'est la </w:t>
      </w:r>
      <w:r>
        <w:rPr>
          <w:b/>
          <w:bCs/>
        </w:rPr>
        <w:t xml:space="preserve">brèche vers KV12</w:t>
      </w:r>
      <w:r>
        <w:t xml:space="preserve">, percée par les ouvriers puis rebouchée [TMP] (préparation de l'épisode 7).</w:t>
      </w:r>
    </w:p>
    <w:p>
      <w:pPr>
        <w:pStyle w:val="ListParagraph"/>
        <w:numPr>
          <w:ilvl w:val="0"/>
          <w:numId w:val="25"/>
        </w:numPr>
        <w:spacing w:after="60" w:line="264"/>
      </w:pPr>
      <w:r>
        <w:t xml:space="preserve">Dans J, Kerbu suit les bras qui portent le disque.</w:t>
      </w:r>
    </w:p>
    <w:p>
      <w:pPr>
        <w:pStyle w:val="ListParagraph"/>
        <w:numPr>
          <w:ilvl w:val="0"/>
          <w:numId w:val="25"/>
        </w:numPr>
        <w:spacing w:after="60" w:line="264"/>
      </w:pPr>
      <w:r>
        <w:t xml:space="preserve">Reconstitution [S] : depuis les profondeurs, des bras immenses élèvent le disque rouge ; un scarabée en sort.</w:t>
      </w:r>
    </w:p>
    <w:p>
      <w:pPr>
        <w:pStyle w:val="ListParagraph"/>
        <w:numPr>
          <w:ilvl w:val="0"/>
          <w:numId w:val="25"/>
        </w:numPr>
        <w:spacing w:after="60" w:line="264"/>
      </w:pPr>
      <w:r>
        <w:t xml:space="preserve">Révélation : Maya remarque que l'Amdouat s'arrête à la 11ᵉ heure. Kerbu : « Où est la 12ᵉ heure ? » Nefertari : « Peut-être ailleurs dans le tombeau. » Ce fil sera résolu dans l'épisode 12.</w:t>
      </w:r>
    </w:p>
    <w:p>
      <w:pPr>
        <w:spacing w:after="60"/>
      </w:pPr>
    </w:p>
    <w:p>
      <w:pPr>
        <w:spacing w:after="120" w:line="276"/>
      </w:pPr>
      <w:r>
        <w:rPr>
          <w:b/>
          <w:bCs/>
        </w:rPr>
        <w:t xml:space="preserve">Garde-fou</w:t>
      </w:r>
      <w:r>
        <w:t xml:space="preserve"> : ne pas affirmer que la 12ᵉ heure a été omise </w:t>
      </w:r>
      <w:r>
        <w:rPr>
          <w:i/>
          <w:iCs/>
        </w:rPr>
        <w:t xml:space="preserve">volontairement</w:t>
      </w:r>
      <w:r>
        <w:t xml:space="preserve">. On ne le sait pas [N].</w:t>
      </w:r>
    </w:p>
    <w:p>
      <w:pPr>
        <w:pBdr>
          <w:bottom w:val="single" w:color="D6C7A8" w:sz="6" w:space="1"/>
        </w:pBdr>
        <w:spacing w:after="120" w:before="120"/>
      </w:pPr>
    </w:p>
    <w:p>
      <w:pPr>
        <w:pStyle w:val="Heading2"/>
      </w:pPr>
      <w:r>
        <w:t xml:space="preserve">Épisode 7 — Les puissances souterraines · </w:t>
      </w:r>
      <w:r>
        <w:rPr>
          <w:i/>
          <w:iCs/>
        </w:rPr>
        <w:t xml:space="preserve">Nuit 7 · H (plafond cryptographique), porte I, J</w:t>
      </w:r>
    </w:p>
    <w:p>
      <w:pPr>
        <w:spacing w:after="120" w:line="276"/>
      </w:pPr>
      <w:r>
        <w:rPr>
          <w:b/>
          <w:bCs/>
        </w:rPr>
        <w:t xml:space="preserve">Contenu [H]</w:t>
      </w:r>
    </w:p>
    <w:p>
      <w:pPr>
        <w:pStyle w:val="ListParagraph"/>
        <w:numPr>
          <w:ilvl w:val="0"/>
          <w:numId w:val="26"/>
        </w:numPr>
        <w:spacing w:after="60" w:line="264"/>
      </w:pPr>
      <w:r>
        <w:t xml:space="preserve">Les ouvriers de Ramsès VI ont percé KV12 ; on a abaissé les sols et les plafonds ; la brèche a été rebouchée au sud du linteau de la porte I [TMP].</w:t>
      </w:r>
    </w:p>
    <w:p>
      <w:pPr>
        <w:pStyle w:val="ListParagraph"/>
        <w:numPr>
          <w:ilvl w:val="0"/>
          <w:numId w:val="26"/>
        </w:numPr>
        <w:spacing w:after="60" w:line="264"/>
      </w:pPr>
      <w:r>
        <w:t xml:space="preserve">Linteau de la porte I : ennemis ligotés menacés par des serpents, lu comme une protection contre la brèche. Lecture attribuée à Hornung ou à Abitz [C].</w:t>
      </w:r>
    </w:p>
    <w:p>
      <w:pPr>
        <w:pStyle w:val="ListParagraph"/>
        <w:numPr>
          <w:ilvl w:val="0"/>
          <w:numId w:val="26"/>
        </w:numPr>
        <w:spacing w:after="60" w:line="264"/>
      </w:pPr>
      <w:r>
        <w:t xml:space="preserve">Punitions du Livre de la Terre : chaudrons, ennemis décapités [§6.4, 6.12-13, 6.17] ; Livre des Cavernes, division 5 : chaudrons gardés par des cobras [TMP] ; à la fin, Apophis est saisi par des dieux à tête de bélier.</w:t>
      </w:r>
    </w:p>
    <w:p>
      <w:pPr>
        <w:pStyle w:val="ListParagraph"/>
        <w:numPr>
          <w:ilvl w:val="0"/>
          <w:numId w:val="26"/>
        </w:numPr>
        <w:spacing w:after="60" w:line="264"/>
      </w:pPr>
      <w:r>
        <w:t xml:space="preserve">Plafond de H : scènes cryptographiques [TMP].</w:t>
      </w:r>
    </w:p>
    <w:p>
      <w:pPr>
        <w:spacing w:after="60"/>
      </w:pPr>
    </w:p>
    <w:p>
      <w:pPr>
        <w:spacing w:after="120" w:line="276"/>
      </w:pPr>
      <w:r>
        <w:rPr>
          <w:b/>
          <w:bCs/>
        </w:rPr>
        <w:t xml:space="preserve">Planches</w:t>
      </w:r>
    </w:p>
    <w:p>
      <w:pPr>
        <w:pStyle w:val="ListParagraph"/>
        <w:numPr>
          <w:ilvl w:val="0"/>
          <w:numId w:val="27"/>
        </w:numPr>
        <w:spacing w:after="60" w:line="264"/>
      </w:pPr>
      <w:r>
        <w:t xml:space="preserve">Devant la brèche rebouchée : Mansour raconte l'accident de chantier.</w:t>
      </w:r>
    </w:p>
    <w:p>
      <w:pPr>
        <w:pStyle w:val="ListParagraph"/>
        <w:numPr>
          <w:ilvl w:val="0"/>
          <w:numId w:val="27"/>
        </w:numPr>
        <w:spacing w:after="60" w:line="264"/>
      </w:pPr>
      <w:r>
        <w:t xml:space="preserve">Nefertari lit le linteau : protéger la tombe là où la roche a cédé.</w:t>
      </w:r>
    </w:p>
    <w:p>
      <w:pPr>
        <w:pStyle w:val="ListParagraph"/>
        <w:numPr>
          <w:ilvl w:val="0"/>
          <w:numId w:val="27"/>
        </w:numPr>
        <w:spacing w:after="60" w:line="264"/>
      </w:pPr>
      <w:r>
        <w:t xml:space="preserve">Reconstitution [H/F] : vers 1140 av. J.-C., la pioche d'un ouvrier traverse la roche et tombe dans un tombeau plus ancien ; panique, puis décision des chefs d'équipe. </w:t>
      </w:r>
      <w:r>
        <w:rPr>
          <w:i/>
          <w:iCs/>
        </w:rPr>
        <w:t xml:space="preserve">Les noms sont fictifs.</w:t>
      </w:r>
    </w:p>
    <w:p>
      <w:pPr>
        <w:pStyle w:val="ListParagraph"/>
        <w:numPr>
          <w:ilvl w:val="0"/>
          <w:numId w:val="27"/>
        </w:numPr>
        <w:spacing w:after="60" w:line="264"/>
      </w:pPr>
      <w:r>
        <w:t xml:space="preserve">Révélation : Kerbu comprend que les « puissances » du monde souterrain sont aussi une réponse au désordre réel. Fin : le plafond de H, une écriture qu'on ne sait pas lire d'emblée.</w:t>
      </w:r>
    </w:p>
    <w:p>
      <w:pPr>
        <w:spacing w:after="60"/>
      </w:pPr>
    </w:p>
    <w:p>
      <w:pPr>
        <w:spacing w:after="120" w:line="276"/>
      </w:pPr>
      <w:r>
        <w:rPr>
          <w:b/>
          <w:bCs/>
        </w:rPr>
        <w:t xml:space="preserve">Page documentaire</w:t>
      </w:r>
      <w:r>
        <w:t xml:space="preserve"> : « Le chaos et sa défaite » (Apophis, les ennemis, la cryptographie). Distinguer ce qui est attesté [H] de l'interprétation : </w:t>
      </w:r>
      <w:r>
        <w:rPr>
          <w:i/>
          <w:iCs/>
        </w:rPr>
        <w:t xml:space="preserve">aucune source ne dit que le linteau a été peint par peur</w:t>
      </w:r>
      <w:r>
        <w:t xml:space="preserve">.</w:t>
      </w:r>
    </w:p>
    <w:p>
      <w:pPr>
        <w:pBdr>
          <w:bottom w:val="single" w:color="D6C7A8" w:sz="6" w:space="1"/>
        </w:pBdr>
        <w:spacing w:after="120" w:before="120"/>
      </w:pPr>
    </w:p>
    <w:p>
      <w:pPr>
        <w:pStyle w:val="Heading2"/>
      </w:pPr>
      <w:r>
        <w:t xml:space="preserve">Épisode 8 — Le secret de Tatenen · </w:t>
      </w:r>
      <w:r>
        <w:rPr>
          <w:i/>
          <w:iCs/>
        </w:rPr>
        <w:t xml:space="preserve">Nuit 8 · J (§6.15, 6.35, 6.40)</w:t>
      </w:r>
    </w:p>
    <w:p>
      <w:pPr>
        <w:spacing w:after="120" w:line="276"/>
      </w:pPr>
      <w:r>
        <w:rPr>
          <w:b/>
          <w:bCs/>
        </w:rPr>
        <w:t xml:space="preserve">Contenu [H]</w:t>
      </w:r>
    </w:p>
    <w:p>
      <w:pPr>
        <w:pStyle w:val="ListParagraph"/>
        <w:numPr>
          <w:ilvl w:val="0"/>
          <w:numId w:val="28"/>
        </w:numPr>
        <w:spacing w:after="60" w:line="264"/>
      </w:pPr>
      <w:r>
        <w:t xml:space="preserve">Tatenen apparaît trois fois dans le Livre de la Terre de KV9 : Osiris dans un tertre entre le « cadavre de Tatenen » et le « cadavre de Geb » [§6.15] ; « Passer le cadavre de Tatenen… lorsqu'il traverse le cadavre de Noun » [§6.35] ; Noun et Tatenen soutiennent les barques de nuit et de jour [§6.40] ([DARNELL] p. 14). </w:t>
      </w:r>
      <w:r>
        <w:rPr>
          <w:i/>
          <w:iCs/>
        </w:rPr>
        <w:t xml:space="preserve">Corriger Wikipédia sur ce point.</w:t>
      </w:r>
    </w:p>
    <w:p>
      <w:pPr>
        <w:pStyle w:val="ListParagraph"/>
        <w:numPr>
          <w:ilvl w:val="0"/>
          <w:numId w:val="28"/>
        </w:numPr>
        <w:spacing w:after="60" w:line="264"/>
      </w:pPr>
      <w:r>
        <w:t xml:space="preserve">Tatenen est la terre primordiale sortie du Noun ; il fusionne avec Ptah (Ptah-Tatenen).</w:t>
      </w:r>
    </w:p>
    <w:p>
      <w:pPr>
        <w:pStyle w:val="ListParagraph"/>
        <w:numPr>
          <w:ilvl w:val="0"/>
          <w:numId w:val="28"/>
        </w:numPr>
        <w:spacing w:after="60" w:line="264"/>
      </w:pPr>
      <w:r>
        <w:t xml:space="preserve">Pierre de Shabaka (British Museum) : « il est Ta-tenen, qui a mis au monde les dieux, et de qui toute chose est venue ». Datation : XXVᵉ dynastie [C], et non Ancien Empire.</w:t>
      </w:r>
    </w:p>
    <w:p>
      <w:pPr>
        <w:spacing w:after="60"/>
      </w:pPr>
    </w:p>
    <w:p>
      <w:pPr>
        <w:spacing w:after="120" w:line="276"/>
      </w:pPr>
      <w:r>
        <w:rPr>
          <w:b/>
          <w:bCs/>
        </w:rPr>
        <w:t xml:space="preserve">Planches</w:t>
      </w:r>
    </w:p>
    <w:p>
      <w:pPr>
        <w:pStyle w:val="ListParagraph"/>
        <w:numPr>
          <w:ilvl w:val="0"/>
          <w:numId w:val="29"/>
        </w:numPr>
        <w:spacing w:after="60" w:line="264"/>
      </w:pPr>
      <w:r>
        <w:t xml:space="preserve">Nefertari repère le nom de Tatenen ; Kerbu triomphe : « Il est là ! »</w:t>
      </w:r>
    </w:p>
    <w:p>
      <w:pPr>
        <w:pStyle w:val="ListParagraph"/>
        <w:numPr>
          <w:ilvl w:val="0"/>
          <w:numId w:val="29"/>
        </w:numPr>
        <w:spacing w:after="60" w:line="264"/>
      </w:pPr>
      <w:r>
        <w:t xml:space="preserve">Lecture des trois scènes : la terre est à la fois tombe (« cadavre ») et support de la renaissance.</w:t>
      </w:r>
    </w:p>
    <w:p>
      <w:pPr>
        <w:pStyle w:val="ListParagraph"/>
        <w:numPr>
          <w:ilvl w:val="0"/>
          <w:numId w:val="29"/>
        </w:numPr>
        <w:spacing w:after="60" w:line="264"/>
      </w:pPr>
      <w:r>
        <w:t xml:space="preserve">Reconstitution [S] : le premier tertre émerge des eaux du Noun ; Tatenen, cornes de bélier et plumes.</w:t>
      </w:r>
    </w:p>
    <w:p>
      <w:pPr>
        <w:pStyle w:val="ListParagraph"/>
        <w:numPr>
          <w:ilvl w:val="0"/>
          <w:numId w:val="29"/>
        </w:numPr>
        <w:spacing w:after="60" w:line="264"/>
      </w:pPr>
      <w:r>
        <w:t xml:space="preserve">Révélation [S] : </w:t>
      </w:r>
      <w:r>
        <w:rPr>
          <w:i/>
          <w:iCs/>
        </w:rPr>
        <w:t xml:space="preserve">la terre n'est pas l'opposé du ciel, c'est son berceau</w:t>
      </w:r>
      <w:r>
        <w:t xml:space="preserve">. Fin : la mission doit aborder l'antichambre et le sarcophage.</w:t>
      </w:r>
    </w:p>
    <w:p>
      <w:pPr>
        <w:spacing w:after="60"/>
      </w:pPr>
    </w:p>
    <w:p>
      <w:pPr>
        <w:spacing w:after="120" w:line="276"/>
      </w:pPr>
      <w:r>
        <w:rPr>
          <w:b/>
          <w:bCs/>
        </w:rPr>
        <w:t xml:space="preserve">Page documentaire</w:t>
      </w:r>
      <w:r>
        <w:t xml:space="preserve"> : « Tatenen, la terre surgie » (iconographie ; Théologie memphite avec sa datation).</w:t>
      </w:r>
    </w:p>
    <w:p>
      <w:pPr>
        <w:pBdr>
          <w:bottom w:val="single" w:color="D6C7A8" w:sz="6" w:space="1"/>
        </w:pBdr>
        <w:spacing w:after="120" w:before="120"/>
      </w:pPr>
    </w:p>
    <w:p>
      <w:pPr>
        <w:pStyle w:val="Heading2"/>
      </w:pPr>
      <w:r>
        <w:t xml:space="preserve">Épisode 9 — La chambre du silence · </w:t>
      </w:r>
      <w:r>
        <w:rPr>
          <w:i/>
          <w:iCs/>
        </w:rPr>
        <w:t xml:space="preserve">Nuit 9 · I (antichambre), J (sarcophage)</w:t>
      </w:r>
    </w:p>
    <w:p>
      <w:pPr>
        <w:spacing w:after="120" w:line="276"/>
      </w:pPr>
      <w:r>
        <w:rPr>
          <w:b/>
          <w:bCs/>
        </w:rPr>
        <w:t xml:space="preserve">Contenu [H]</w:t>
      </w:r>
    </w:p>
    <w:p>
      <w:pPr>
        <w:pStyle w:val="ListParagraph"/>
        <w:numPr>
          <w:ilvl w:val="0"/>
          <w:numId w:val="30"/>
        </w:numPr>
        <w:spacing w:after="60" w:line="264"/>
      </w:pPr>
      <w:r>
        <w:t xml:space="preserve">Antichambre I : Livre des Morts 124, 125, 127, 129 ; le roi devant Heka ; hymne à Maât ; bassins avec babouins [TMP].</w:t>
      </w:r>
    </w:p>
    <w:p>
      <w:pPr>
        <w:pStyle w:val="ListParagraph"/>
        <w:numPr>
          <w:ilvl w:val="0"/>
          <w:numId w:val="30"/>
        </w:numPr>
        <w:spacing w:after="60" w:line="264"/>
      </w:pPr>
      <w:r>
        <w:t xml:space="preserve">Sarcophages : cuve en granit rouge ; cuve anthropoïde en conglomérat vert, 2,95 m, fracassée dans l'Antiquité [TMP].</w:t>
      </w:r>
    </w:p>
    <w:p>
      <w:pPr>
        <w:pStyle w:val="ListParagraph"/>
        <w:numPr>
          <w:ilvl w:val="0"/>
          <w:numId w:val="30"/>
        </w:numPr>
        <w:spacing w:after="60" w:line="264"/>
      </w:pPr>
      <w:r>
        <w:t xml:space="preserve">Le visage du couvercle est au British Museum (EA140), rapporté par Belzoni pour Salt et vendu en 1823 ; restauration par Edwin Brock (ARCE) en 2001-2004/5, avec une réplique du visage [BM], [ARCE].</w:t>
      </w:r>
    </w:p>
    <w:p>
      <w:pPr>
        <w:pStyle w:val="ListParagraph"/>
        <w:numPr>
          <w:ilvl w:val="0"/>
          <w:numId w:val="30"/>
        </w:numPr>
        <w:spacing w:after="60" w:line="264"/>
      </w:pPr>
      <w:r>
        <w:t xml:space="preserve">Graffito : « Moi, Dadouchios, scholastikos et médecin, je suis venu et j'ai admiré en silence, portant une torche » (Łukaszewicz 2010, via Wikipédia).</w:t>
      </w:r>
    </w:p>
    <w:p>
      <w:pPr>
        <w:pStyle w:val="ListParagraph"/>
        <w:numPr>
          <w:ilvl w:val="0"/>
          <w:numId w:val="30"/>
        </w:numPr>
        <w:spacing w:after="60" w:line="264"/>
      </w:pPr>
      <w:r>
        <w:t xml:space="preserve">La momie a été retrouvée dans KV35 (Loret, 1898) ; elle est aujourd'hui au NMEC (Parade du 3/4/2021).</w:t>
      </w:r>
    </w:p>
    <w:p>
      <w:pPr>
        <w:spacing w:after="60"/>
      </w:pPr>
    </w:p>
    <w:p>
      <w:pPr>
        <w:spacing w:after="120" w:line="276"/>
      </w:pPr>
      <w:r>
        <w:rPr>
          <w:b/>
          <w:bCs/>
        </w:rPr>
        <w:t xml:space="preserve">Planches</w:t>
      </w:r>
    </w:p>
    <w:p>
      <w:pPr>
        <w:pStyle w:val="ListParagraph"/>
        <w:numPr>
          <w:ilvl w:val="0"/>
          <w:numId w:val="31"/>
        </w:numPr>
        <w:spacing w:after="60" w:line="264"/>
      </w:pPr>
      <w:r>
        <w:t xml:space="preserve">Antichambre : Maât, le jugement, la justesse.</w:t>
      </w:r>
    </w:p>
    <w:p>
      <w:pPr>
        <w:pStyle w:val="ListParagraph"/>
        <w:numPr>
          <w:ilvl w:val="0"/>
          <w:numId w:val="31"/>
        </w:numPr>
        <w:spacing w:after="60" w:line="264"/>
      </w:pPr>
      <w:r>
        <w:t xml:space="preserve">Le sarcophage restauré ; la réplique du visage. Maya : « L'original est à Londres. » Le prêt de 2026 à Taïwan (BM) peut servir de clin d'œil.</w:t>
      </w:r>
    </w:p>
    <w:p>
      <w:pPr>
        <w:pStyle w:val="ListParagraph"/>
        <w:numPr>
          <w:ilvl w:val="0"/>
          <w:numId w:val="31"/>
        </w:numPr>
        <w:spacing w:after="60" w:line="264"/>
      </w:pPr>
      <w:r>
        <w:t xml:space="preserve">Reconstitution [H/F] : XXIᵉ dynastie, des prêtres transfèrent la momie abîmée vers la cachette KV35. </w:t>
      </w:r>
      <w:r>
        <w:rPr>
          <w:i/>
          <w:iCs/>
        </w:rPr>
        <w:t xml:space="preserve">Les détails du réemmaillotage ne sont pas vérifiés [N] : rester sobre.</w:t>
      </w:r>
    </w:p>
    <w:p>
      <w:pPr>
        <w:pStyle w:val="ListParagraph"/>
        <w:numPr>
          <w:ilvl w:val="0"/>
          <w:numId w:val="31"/>
        </w:numPr>
        <w:spacing w:after="60" w:line="264"/>
      </w:pPr>
      <w:r>
        <w:t xml:space="preserve">Kerbu reste seul, lampe éteinte, une minute de silence, comme Dadouchios. Fin : il rallume la lampe sur la paroi nord.</w:t>
      </w:r>
    </w:p>
    <w:p>
      <w:pPr>
        <w:spacing w:after="60"/>
      </w:pPr>
    </w:p>
    <w:p>
      <w:pPr>
        <w:spacing w:after="120" w:line="276"/>
      </w:pPr>
      <w:r>
        <w:rPr>
          <w:b/>
          <w:bCs/>
        </w:rPr>
        <w:t xml:space="preserve">Page documentaire</w:t>
      </w:r>
      <w:r>
        <w:t xml:space="preserve"> : « Le voyage du roi après sa mort » (pillage, KV35, NMEC, British Museum).</w:t>
      </w:r>
    </w:p>
    <w:p>
      <w:pPr>
        <w:pBdr>
          <w:bottom w:val="single" w:color="D6C7A8" w:sz="6" w:space="1"/>
        </w:pBdr>
        <w:spacing w:after="120" w:before="120"/>
      </w:pPr>
    </w:p>
    <w:p>
      <w:pPr>
        <w:pStyle w:val="Heading2"/>
      </w:pPr>
      <w:r>
        <w:t xml:space="preserve">Épisode 10 — Les quatre divisions · </w:t>
      </w:r>
      <w:r>
        <w:rPr>
          <w:i/>
          <w:iCs/>
        </w:rPr>
        <w:t xml:space="preserve">Nuit 10 · J (les quatre parois)</w:t>
      </w:r>
    </w:p>
    <w:p>
      <w:pPr>
        <w:spacing w:after="120" w:line="276"/>
      </w:pPr>
      <w:r>
        <w:rPr>
          <w:b/>
          <w:bCs/>
        </w:rPr>
        <w:t xml:space="preserve">Contenu [H]</w:t>
      </w:r>
    </w:p>
    <w:p>
      <w:pPr>
        <w:pStyle w:val="ListParagraph"/>
        <w:numPr>
          <w:ilvl w:val="0"/>
          <w:numId w:val="32"/>
        </w:numPr>
        <w:spacing w:after="60" w:line="264"/>
      </w:pPr>
      <w:r>
        <w:t xml:space="preserve">Division traditionnelle en quatre sections (Piankoff) : A sur la paroi nord, B et C sur la paroi du fond, D sur la paroi sud ; Hornung y ajoute une partie E (pilastre) [PLEUGER] p. 48, [TMP], [DARNELL] p. 458.</w:t>
      </w:r>
    </w:p>
    <w:p>
      <w:pPr>
        <w:pStyle w:val="ListParagraph"/>
        <w:numPr>
          <w:ilvl w:val="0"/>
          <w:numId w:val="32"/>
        </w:numPr>
        <w:spacing w:after="60" w:line="264"/>
      </w:pPr>
      <w:r>
        <w:t xml:space="preserve">Roberson et Darnell utilisent un autre découpage, aux lettres en sens inverse : il faut toujours dire quel système on emploie.</w:t>
      </w:r>
    </w:p>
    <w:p>
      <w:pPr>
        <w:pStyle w:val="ListParagraph"/>
        <w:numPr>
          <w:ilvl w:val="0"/>
          <w:numId w:val="32"/>
        </w:numPr>
        <w:spacing w:after="60" w:line="264"/>
      </w:pPr>
      <w:r>
        <w:t xml:space="preserve">Les écoles s'opposent : lecture depuis la paroi nord (Piankoff, Hornung 1972, Barguet, Cauville) ou depuis la paroi sud (Stricker, Abitz, Roberson, Mauric-Barberio, Hornung 1999) [PLEUGER].</w:t>
      </w:r>
    </w:p>
    <w:p>
      <w:pPr>
        <w:pStyle w:val="ListParagraph"/>
        <w:numPr>
          <w:ilvl w:val="0"/>
          <w:numId w:val="32"/>
        </w:numPr>
        <w:spacing w:after="60" w:line="264"/>
      </w:pPr>
      <w:r>
        <w:t xml:space="preserve">Comparaison avec d'autres copies : Osireion, KV8, KV1 [ROBERSON].</w:t>
      </w:r>
    </w:p>
    <w:p>
      <w:pPr>
        <w:spacing w:after="60"/>
      </w:pPr>
    </w:p>
    <w:p>
      <w:pPr>
        <w:spacing w:after="120" w:line="276"/>
      </w:pPr>
      <w:r>
        <w:rPr>
          <w:b/>
          <w:bCs/>
        </w:rPr>
        <w:t xml:space="preserve">Planches</w:t>
      </w:r>
    </w:p>
    <w:p>
      <w:pPr>
        <w:pStyle w:val="ListParagraph"/>
        <w:numPr>
          <w:ilvl w:val="0"/>
          <w:numId w:val="33"/>
        </w:numPr>
        <w:spacing w:after="60" w:line="264"/>
      </w:pPr>
      <w:r>
        <w:t xml:space="preserve">Maya assemble les quatre parois en un panorama interactif.</w:t>
      </w:r>
    </w:p>
    <w:p>
      <w:pPr>
        <w:pStyle w:val="ListParagraph"/>
        <w:numPr>
          <w:ilvl w:val="0"/>
          <w:numId w:val="33"/>
        </w:numPr>
        <w:spacing w:after="60" w:line="264"/>
      </w:pPr>
      <w:r>
        <w:t xml:space="preserve">Débat à quatre voix : chaque personnage défend l'ordre d'un savant réel (cité en encadré).</w:t>
      </w:r>
    </w:p>
    <w:p>
      <w:pPr>
        <w:pStyle w:val="ListParagraph"/>
        <w:numPr>
          <w:ilvl w:val="0"/>
          <w:numId w:val="33"/>
        </w:numPr>
        <w:spacing w:after="60" w:line="264"/>
      </w:pPr>
      <w:r>
        <w:t xml:space="preserve">Reconstitution [S] : un même disque solaire parcourt les quatre parois dans quatre ordres différents ; la lumière ne change pas.</w:t>
      </w:r>
    </w:p>
    <w:p>
      <w:pPr>
        <w:pStyle w:val="ListParagraph"/>
        <w:numPr>
          <w:ilvl w:val="0"/>
          <w:numId w:val="33"/>
        </w:numPr>
        <w:spacing w:after="60" w:line="264"/>
      </w:pPr>
      <w:r>
        <w:t xml:space="preserve">Révélation : Marsac propose de « choisir le bon ordre » pour son film. Nefertari : « Ce serait inventer. » Fin : la scène A12 (Piankoff), avec les oiseaux-ba qui halent la barque [§6.38-39]. Pleuger y voit peut-être un début.</w:t>
      </w:r>
    </w:p>
    <w:p>
      <w:pPr>
        <w:spacing w:after="60"/>
      </w:pPr>
    </w:p>
    <w:p>
      <w:pPr>
        <w:spacing w:after="120" w:line="276"/>
      </w:pPr>
      <w:r>
        <w:rPr>
          <w:b/>
          <w:bCs/>
        </w:rPr>
        <w:t xml:space="preserve">Page documentaire</w:t>
      </w:r>
      <w:r>
        <w:t xml:space="preserve"> : « Quatre parois, deux systèmes, une controverse » (schéma des deux systèmes de lettres).</w:t>
      </w:r>
    </w:p>
    <w:p>
      <w:pPr>
        <w:pBdr>
          <w:bottom w:val="single" w:color="D6C7A8" w:sz="6" w:space="1"/>
        </w:pBdr>
        <w:spacing w:after="120" w:before="120"/>
      </w:pPr>
    </w:p>
    <w:p>
      <w:pPr>
        <w:pStyle w:val="Heading2"/>
      </w:pPr>
      <w:r>
        <w:t xml:space="preserve">Épisode 11 — La nuit avant l'aube · </w:t>
      </w:r>
      <w:r>
        <w:rPr>
          <w:i/>
          <w:iCs/>
        </w:rPr>
        <w:t xml:space="preserve">Nuit 11 · voûte de J</w:t>
      </w:r>
    </w:p>
    <w:p>
      <w:pPr>
        <w:spacing w:after="120" w:line="276"/>
      </w:pPr>
      <w:r>
        <w:rPr>
          <w:b/>
          <w:bCs/>
        </w:rPr>
        <w:t xml:space="preserve">Contenu [H]</w:t>
      </w:r>
    </w:p>
    <w:p>
      <w:pPr>
        <w:pStyle w:val="ListParagraph"/>
        <w:numPr>
          <w:ilvl w:val="0"/>
          <w:numId w:val="34"/>
        </w:numPr>
        <w:spacing w:after="60" w:line="264"/>
      </w:pPr>
      <w:r>
        <w:t xml:space="preserve">Voûte de J : deux Nout dos à dos encadrent les Livres du Jour et de la Nuit ; à la 12ᵉ heure, le soleil sort de Nout [TMP].</w:t>
      </w:r>
    </w:p>
    <w:p>
      <w:pPr>
        <w:pStyle w:val="ListParagraph"/>
        <w:numPr>
          <w:ilvl w:val="0"/>
          <w:numId w:val="34"/>
        </w:numPr>
        <w:spacing w:after="60" w:line="264"/>
      </w:pPr>
      <w:r>
        <w:t xml:space="preserve">La « Mystérieuse » : « sa tête est dans la Douat supérieure, ses pieds dans la Douat inférieure » [§6.2].</w:t>
      </w:r>
    </w:p>
    <w:p>
      <w:pPr>
        <w:pStyle w:val="ListParagraph"/>
        <w:numPr>
          <w:ilvl w:val="0"/>
          <w:numId w:val="34"/>
        </w:numPr>
        <w:spacing w:after="60" w:line="264"/>
      </w:pPr>
      <w:r>
        <w:t xml:space="preserve">Les visiteurs antiques ne savaient pas lire : « Je ne sais pas lire les hiéroglyphes ! », et la réponse d'un autre visiteur [SIP].</w:t>
      </w:r>
    </w:p>
    <w:p>
      <w:pPr>
        <w:pStyle w:val="ListParagraph"/>
        <w:numPr>
          <w:ilvl w:val="0"/>
          <w:numId w:val="34"/>
        </w:numPr>
        <w:spacing w:after="60" w:line="264"/>
      </w:pPr>
      <w:r>
        <w:t xml:space="preserve">Théories marginales réfutées : l'« électricité » vient de Dendérah ; les « chambres cachées » concernent KV62, pas KV9.</w:t>
      </w:r>
    </w:p>
    <w:p>
      <w:pPr>
        <w:spacing w:after="60"/>
      </w:pPr>
    </w:p>
    <w:p>
      <w:pPr>
        <w:spacing w:after="120" w:line="276"/>
      </w:pPr>
      <w:r>
        <w:rPr>
          <w:b/>
          <w:bCs/>
        </w:rPr>
        <w:t xml:space="preserve">Planches</w:t>
      </w:r>
    </w:p>
    <w:p>
      <w:pPr>
        <w:pStyle w:val="ListParagraph"/>
        <w:numPr>
          <w:ilvl w:val="0"/>
          <w:numId w:val="35"/>
        </w:numPr>
        <w:spacing w:after="60" w:line="264"/>
      </w:pPr>
      <w:r>
        <w:t xml:space="preserve">Allongés au sol, lampes vers la voûte : les deux Nout.</w:t>
      </w:r>
    </w:p>
    <w:p>
      <w:pPr>
        <w:pStyle w:val="ListParagraph"/>
        <w:numPr>
          <w:ilvl w:val="0"/>
          <w:numId w:val="35"/>
        </w:numPr>
        <w:spacing w:after="60" w:line="264"/>
      </w:pPr>
      <w:r>
        <w:t xml:space="preserve">Crise : Kerbu propose une grande théorie unifiée ; Nefertari la démonte avec les textes.</w:t>
      </w:r>
    </w:p>
    <w:p>
      <w:pPr>
        <w:pStyle w:val="ListParagraph"/>
        <w:numPr>
          <w:ilvl w:val="0"/>
          <w:numId w:val="35"/>
        </w:numPr>
        <w:spacing w:after="60" w:line="264"/>
      </w:pPr>
      <w:r>
        <w:t xml:space="preserve">Reconstitution [H/F] : un voyageur romain lit à voix haute un graffito, puis en grave un autre en réponse (inspiré de [SIP], sans copier de texte grec non vérifié).</w:t>
      </w:r>
    </w:p>
    <w:p>
      <w:pPr>
        <w:pStyle w:val="ListParagraph"/>
        <w:numPr>
          <w:ilvl w:val="0"/>
          <w:numId w:val="35"/>
        </w:numPr>
        <w:spacing w:after="60" w:line="264"/>
      </w:pPr>
      <w:r>
        <w:t xml:space="preserve">Révélation : Marsac abandonne la « chambre cachée ». Kerbu : « Eux non plus ne savaient pas lire. Ils ont admiré quand même. » Fin : dernière nuit annoncée ; le capteur indique une humidité record.</w:t>
      </w:r>
    </w:p>
    <w:p>
      <w:pPr>
        <w:spacing w:after="60"/>
      </w:pPr>
    </w:p>
    <w:p>
      <w:pPr>
        <w:spacing w:after="120" w:line="276"/>
      </w:pPr>
      <w:r>
        <w:rPr>
          <w:b/>
          <w:bCs/>
        </w:rPr>
        <w:t xml:space="preserve">Page documentaire</w:t>
      </w:r>
      <w:r>
        <w:t xml:space="preserve"> : « Ce que KV9 n'est pas » (tableau des affirmations marginales et de leur réfutation, avec sources).</w:t>
      </w:r>
    </w:p>
    <w:p>
      <w:pPr>
        <w:pBdr>
          <w:bottom w:val="single" w:color="D6C7A8" w:sz="6" w:space="1"/>
        </w:pBdr>
        <w:spacing w:after="120" w:before="120"/>
      </w:pPr>
    </w:p>
    <w:p>
      <w:pPr>
        <w:pStyle w:val="Heading2"/>
      </w:pPr>
      <w:r>
        <w:t xml:space="preserve">Épisode 12 — Le Soleil renaît · </w:t>
      </w:r>
      <w:r>
        <w:rPr>
          <w:i/>
          <w:iCs/>
        </w:rPr>
        <w:t xml:space="preserve">Nuit 12 · K, puis sortie à l'aube</w:t>
      </w:r>
    </w:p>
    <w:p>
      <w:pPr>
        <w:spacing w:after="120" w:line="276"/>
      </w:pPr>
      <w:r>
        <w:rPr>
          <w:b/>
          <w:bCs/>
        </w:rPr>
        <w:t xml:space="preserve">Contenu [H]</w:t>
      </w:r>
    </w:p>
    <w:p>
      <w:pPr>
        <w:pStyle w:val="ListParagraph"/>
        <w:numPr>
          <w:ilvl w:val="0"/>
          <w:numId w:val="36"/>
        </w:numPr>
        <w:spacing w:after="60" w:line="264"/>
      </w:pPr>
      <w:r>
        <w:t xml:space="preserve">Salle K, au bout de l'axe : la scène finale du Livre des Portes, Noun soulevant la barque de Rê, le roi agenouillé, des décans en adoration [TMP].</w:t>
      </w:r>
    </w:p>
    <w:p>
      <w:pPr>
        <w:pStyle w:val="ListParagraph"/>
        <w:numPr>
          <w:ilvl w:val="0"/>
          <w:numId w:val="36"/>
        </w:numPr>
        <w:spacing w:after="60" w:line="264"/>
      </w:pPr>
      <w:r>
        <w:t xml:space="preserve">Pleuger propose que cette scène serve de fin au Livre de la Terre (p. 68).</w:t>
      </w:r>
    </w:p>
    <w:p>
      <w:pPr>
        <w:pStyle w:val="ListParagraph"/>
        <w:numPr>
          <w:ilvl w:val="0"/>
          <w:numId w:val="36"/>
        </w:numPr>
        <w:spacing w:after="60" w:line="264"/>
      </w:pPr>
      <w:r>
        <w:t xml:space="preserve">Le livre « ne semble jamais s'être fixé en une forme canonique unique » [DARNELL] p. 457 ; c'est « une multiplication d'explications et d'images concurrentes » [PLEUGER] p. 67.</w:t>
      </w:r>
    </w:p>
    <w:p>
      <w:pPr>
        <w:spacing w:after="60"/>
      </w:pPr>
    </w:p>
    <w:p>
      <w:pPr>
        <w:spacing w:after="120" w:line="276"/>
      </w:pPr>
      <w:r>
        <w:rPr>
          <w:b/>
          <w:bCs/>
        </w:rPr>
        <w:t xml:space="preserve">Planches</w:t>
      </w:r>
    </w:p>
    <w:p>
      <w:pPr>
        <w:pStyle w:val="ListParagraph"/>
        <w:numPr>
          <w:ilvl w:val="0"/>
          <w:numId w:val="37"/>
        </w:numPr>
        <w:spacing w:after="60" w:line="264"/>
      </w:pPr>
      <w:r>
        <w:t xml:space="preserve">Dernière descente jusqu'à K : le tombeau se termine par une </w:t>
      </w:r>
      <w:r>
        <w:rPr>
          <w:b/>
          <w:bCs/>
        </w:rPr>
        <w:t xml:space="preserve">aube</w:t>
      </w:r>
      <w:r>
        <w:t xml:space="preserve">.</w:t>
      </w:r>
    </w:p>
    <w:p>
      <w:pPr>
        <w:pStyle w:val="ListParagraph"/>
        <w:numPr>
          <w:ilvl w:val="0"/>
          <w:numId w:val="37"/>
        </w:numPr>
        <w:spacing w:after="60" w:line="264"/>
      </w:pPr>
      <w:r>
        <w:t xml:space="preserve">Réponse au fil de l'épisode 6 : la 12ᵉ heure de l'Amdouat manque, mais l'aube est là, sous une autre forme (Portes) [S : rapprochement interprétatif].</w:t>
      </w:r>
    </w:p>
    <w:p>
      <w:pPr>
        <w:pStyle w:val="ListParagraph"/>
        <w:numPr>
          <w:ilvl w:val="0"/>
          <w:numId w:val="37"/>
        </w:numPr>
        <w:spacing w:after="60" w:line="264"/>
      </w:pPr>
      <w:r>
        <w:t xml:space="preserve">Reconstitution [S] : une synthèse visuelle des formes du soleil (bélier, scarabée, enfant, disque) qui sortent de la terre.</w:t>
      </w:r>
    </w:p>
    <w:p>
      <w:pPr>
        <w:pStyle w:val="ListParagraph"/>
        <w:numPr>
          <w:ilvl w:val="0"/>
          <w:numId w:val="37"/>
        </w:numPr>
        <w:spacing w:after="60" w:line="264"/>
      </w:pPr>
      <w:r>
        <w:t xml:space="preserve">Sortie à l'aube réelle sur la Vallée. Kerbu répond à la question du prologue : </w:t>
      </w:r>
      <w:r>
        <w:rPr>
          <w:i/>
          <w:iCs/>
        </w:rPr>
        <w:t xml:space="preserve">« La lumière ne disparaît pas. Elle descend dans la terre pour recommencer. »</w:t>
      </w:r>
      <w:r>
        <w:t xml:space="preserve"> Cartouche final : « d'un commencement à un autre » (Darnell, paraphrasant Roberson).</w:t>
      </w:r>
    </w:p>
    <w:p>
      <w:pPr>
        <w:spacing w:after="60"/>
      </w:pPr>
    </w:p>
    <w:p>
      <w:pPr>
        <w:spacing w:after="120" w:line="276"/>
      </w:pPr>
      <w:r>
        <w:rPr>
          <w:b/>
          <w:bCs/>
        </w:rPr>
        <w:t xml:space="preserve">Page documentaire</w:t>
      </w:r>
      <w:r>
        <w:t xml:space="preserve"> : « Ce que nous savons, ce que nous ignorons » (bilan [H]/[F]/[S] de la saison ; bibliographie).</w:t>
      </w:r>
    </w:p>
    <w:p>
      <w:pPr>
        <w:pBdr>
          <w:bottom w:val="single" w:color="D6C7A8" w:sz="6" w:space="1"/>
        </w:pBdr>
        <w:spacing w:after="120" w:before="120"/>
      </w:pPr>
    </w:p>
    <w:p>
      <w:pPr>
        <w:pStyle w:val="Heading2"/>
      </w:pPr>
      <w:r>
        <w:t xml:space="preserve">Pages hors épisodes (volume de 80 pages, voir l'édition)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1"/>
        <w:gridCol w:w="6867"/>
      </w:tblGrid>
      <w:tr>
        <w:trPr>
          <w:cantSplit/>
          <w:tblHeader/>
        </w:trPr>
        <w:tc>
          <w:tcPr>
            <w:tcW w:type="dxa" w:w="277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Page</w:t>
            </w:r>
          </w:p>
        </w:tc>
        <w:tc>
          <w:tcPr>
            <w:tcW w:type="dxa" w:w="686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Contenu</w:t>
            </w:r>
          </w:p>
        </w:tc>
      </w:tr>
      <w:tr>
        <w:trPr>
          <w:cantSplit/>
          <w:tblHeader w:val="false"/>
        </w:trPr>
        <w:tc>
          <w:tcPr>
            <w:tcW w:type="dxa" w:w="277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Couverture + 4ᵉ</w:t>
            </w:r>
          </w:p>
        </w:tc>
        <w:tc>
          <w:tcPr>
            <w:tcW w:type="dxa" w:w="686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voir </w:t>
            </w:r>
            <w:r>
              <w:rPr>
                <w:rFonts w:ascii="Consolas" w:cs="Consolas" w:eastAsia="Consolas" w:hAnsi="Consolas"/>
                <w:color w:val="A0522D"/>
                <w:sz w:val="16"/>
                <w:szCs w:val="16"/>
              </w:rPr>
              <w:t xml:space="preserve">01_couverture.md</w:t>
            </w:r>
          </w:p>
        </w:tc>
      </w:tr>
      <w:tr>
        <w:trPr>
          <w:cantSplit/>
          <w:tblHeader w:val="false"/>
        </w:trPr>
        <w:tc>
          <w:tcPr>
            <w:tcW w:type="dxa" w:w="277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Page de titre, mentions légales</w:t>
            </w:r>
          </w:p>
        </w:tc>
        <w:tc>
          <w:tcPr>
            <w:tcW w:type="dxa" w:w="686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Avertissement : « Les personnages contemporains et la mission sont fictifs » ; mentions BnF (voir édition)</w:t>
            </w:r>
          </w:p>
        </w:tc>
      </w:tr>
      <w:tr>
        <w:trPr>
          <w:cantSplit/>
          <w:tblHeader w:val="false"/>
        </w:trPr>
        <w:tc>
          <w:tcPr>
            <w:tcW w:type="dxa" w:w="277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Prologue (2 p.)</w:t>
            </w:r>
          </w:p>
        </w:tc>
        <w:tc>
          <w:tcPr>
            <w:tcW w:type="dxa" w:w="686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voir </w:t>
            </w:r>
            <w:r>
              <w:rPr>
                <w:rFonts w:ascii="Consolas" w:cs="Consolas" w:eastAsia="Consolas" w:hAnsi="Consolas"/>
                <w:color w:val="A0522D"/>
                <w:sz w:val="16"/>
                <w:szCs w:val="16"/>
              </w:rPr>
              <w:t xml:space="preserve">02_prologue.md</w:t>
            </w:r>
          </w:p>
        </w:tc>
      </w:tr>
      <w:tr>
        <w:trPr>
          <w:cantSplit/>
          <w:tblHeader w:val="false"/>
        </w:trPr>
        <w:tc>
          <w:tcPr>
            <w:tcW w:type="dxa" w:w="277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Carte (1 p.)</w:t>
            </w:r>
          </w:p>
        </w:tc>
        <w:tc>
          <w:tcPr>
            <w:tcW w:type="dxa" w:w="686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Louxor, rive ouest, Vallée des Rois, KV9, KV62, KV12, KV35, Deir el-Médina</w:t>
            </w:r>
          </w:p>
        </w:tc>
      </w:tr>
      <w:tr>
        <w:trPr>
          <w:cantSplit/>
          <w:tblHeader w:val="false"/>
        </w:trPr>
        <w:tc>
          <w:tcPr>
            <w:tcW w:type="dxa" w:w="277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Plan de KV9 (1 p.)</w:t>
            </w:r>
          </w:p>
        </w:tc>
        <w:tc>
          <w:tcPr>
            <w:tcW w:type="dxa" w:w="686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D'après le TMP, avec les livres funéraires salle par salle</w:t>
            </w:r>
          </w:p>
        </w:tc>
      </w:tr>
      <w:tr>
        <w:trPr>
          <w:cantSplit/>
          <w:tblHeader w:val="false"/>
        </w:trPr>
        <w:tc>
          <w:tcPr>
            <w:tcW w:type="dxa" w:w="277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12 × 5 p. = 60 p.</w:t>
            </w:r>
          </w:p>
        </w:tc>
        <w:tc>
          <w:tcPr>
            <w:tcW w:type="dxa" w:w="686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Épisodes</w:t>
            </w:r>
          </w:p>
        </w:tc>
      </w:tr>
      <w:tr>
        <w:trPr>
          <w:cantSplit/>
          <w:tblHeader w:val="false"/>
        </w:trPr>
        <w:tc>
          <w:tcPr>
            <w:tcW w:type="dxa" w:w="277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Annexes (3-4 p.)</w:t>
            </w:r>
          </w:p>
        </w:tc>
        <w:tc>
          <w:tcPr>
            <w:tcW w:type="dxa" w:w="686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Lexique, divinités, chronologie (avec plusieurs systèmes), bibliographie</w:t>
            </w:r>
          </w:p>
        </w:tc>
      </w:tr>
      <w:tr>
        <w:trPr>
          <w:cantSplit/>
          <w:tblHeader w:val="false"/>
        </w:trPr>
        <w:tc>
          <w:tcPr>
            <w:tcW w:type="dxa" w:w="277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Cahier graphique (8 p.)</w:t>
            </w:r>
          </w:p>
        </w:tc>
        <w:tc>
          <w:tcPr>
            <w:tcW w:type="dxa" w:w="686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Recherches de personnages, model sheets des dieux, coulisses — porte le total à 80 pages (texte sur la tranche, relié possible)</w:t>
            </w:r>
          </w:p>
        </w:tc>
      </w:tr>
    </w:tbl>
    <w:p>
      <w:pPr>
        <w:spacing w:after="120"/>
      </w:pPr>
    </w:p>
    <w:p>
      <w:r>
        <w:br w:type="page"/>
      </w:r>
    </w:p>
    <w:p>
      <w:pPr>
        <w:pStyle w:val="Heading1"/>
      </w:pPr>
      <w:r>
        <w:t xml:space="preserve">Bible · 6 — Édition (Amazon KDP), droits et dépôt légal</w:t>
      </w:r>
    </w:p>
    <w:p>
      <w:pPr>
        <w:spacing w:after="120" w:line="276"/>
      </w:pPr>
      <w:r>
        <w:t xml:space="preserve">Pages d'aide KDP consultées le 26/10/2026 (codes </w:t>
      </w:r>
      <w:r>
        <w:rPr>
          <w:rFonts w:ascii="Consolas" w:cs="Consolas" w:eastAsia="Consolas" w:hAnsi="Consolas"/>
          <w:color w:val="A0522D"/>
          <w:sz w:val="19"/>
          <w:szCs w:val="19"/>
        </w:rPr>
        <w:t xml:space="preserve">Gxxxx</w:t>
      </w:r>
      <w:r>
        <w:t xml:space="preserve"> = kdp.amazon.com/help/topic/…). Les chiffres changent : </w:t>
      </w:r>
      <w:r>
        <w:rPr>
          <w:b/>
          <w:bCs/>
        </w:rPr>
        <w:t xml:space="preserve">recontrôler dans KDP au moment de la mise en ligne.</w:t>
      </w:r>
      <w:r>
        <w:t xml:space="preserve"> Ceci n'est pas un avis juridique.</w:t>
      </w:r>
    </w:p>
    <w:p>
      <w:pPr>
        <w:pStyle w:val="Heading2"/>
      </w:pPr>
      <w:r>
        <w:t xml:space="preserve">1. Conséquences directes pour un volume de 68 à 72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96"/>
        <w:gridCol w:w="920"/>
        <w:gridCol w:w="2622"/>
      </w:tblGrid>
      <w:tr>
        <w:trPr>
          <w:cantSplit/>
          <w:tblHeader/>
        </w:trPr>
        <w:tc>
          <w:tcPr>
            <w:tcW w:type="dxa" w:w="609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Point</w:t>
            </w:r>
          </w:p>
        </w:tc>
        <w:tc>
          <w:tcPr>
            <w:tcW w:type="dxa" w:w="92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262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609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Couverture rigide impossible</w:t>
            </w:r>
            <w:r>
              <w:rPr>
                <w:sz w:val="18"/>
                <w:szCs w:val="18"/>
              </w:rPr>
              <w:t xml:space="preserve"> sous 75 pages (couleur premium, 75-550 p.)</w:t>
            </w:r>
          </w:p>
        </w:tc>
        <w:tc>
          <w:tcPr>
            <w:tcW w:type="dxa" w:w="92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262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GVBQ3CMEQW3W2VL6</w:t>
            </w:r>
          </w:p>
        </w:tc>
      </w:tr>
      <w:tr>
        <w:trPr>
          <w:cantSplit/>
          <w:tblHeader w:val="false"/>
        </w:trPr>
        <w:tc>
          <w:tcPr>
            <w:tcW w:type="dxa" w:w="609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Couleur standard</w:t>
            </w:r>
            <w:r>
              <w:rPr>
                <w:sz w:val="18"/>
                <w:szCs w:val="18"/>
              </w:rPr>
              <w:t xml:space="preserve"> : minimum 72 pages, et non disponible en A4</w:t>
            </w:r>
          </w:p>
        </w:tc>
        <w:tc>
          <w:tcPr>
            <w:tcW w:type="dxa" w:w="92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262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GVBQ3CMEQW3W2VL6</w:t>
            </w:r>
          </w:p>
        </w:tc>
      </w:tr>
      <w:tr>
        <w:trPr>
          <w:cantSplit/>
          <w:tblHeader w:val="false"/>
        </w:trPr>
        <w:tc>
          <w:tcPr>
            <w:tcW w:type="dxa" w:w="609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Texte sur la tranche impossible</w:t>
            </w:r>
            <w:r>
              <w:rPr>
                <w:sz w:val="18"/>
                <w:szCs w:val="18"/>
              </w:rPr>
              <w:t xml:space="preserve"> sous 79 pages (80 avec Cover Creator) ; une couverture avec texte de tranche en dessous de ce seuil est rejetée</w:t>
            </w:r>
          </w:p>
        </w:tc>
        <w:tc>
          <w:tcPr>
            <w:tcW w:type="dxa" w:w="92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262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G201953020</w:t>
            </w:r>
          </w:p>
        </w:tc>
      </w:tr>
    </w:tbl>
    <w:p>
      <w:pPr>
        <w:spacing w:after="120"/>
      </w:pPr>
    </w:p>
    <w:p>
      <w:pPr>
        <w:spacing w:after="120" w:line="276"/>
      </w:pPr>
      <w:r>
        <w:t xml:space="preserve">→ </w:t>
      </w:r>
      <w:r>
        <w:rPr>
          <w:b/>
          <w:bCs/>
        </w:rPr>
        <w:t xml:space="preserve">Recommandation</w:t>
      </w:r>
      <w:r>
        <w:t xml:space="preserve"> : passer à </w:t>
      </w:r>
      <w:r>
        <w:rPr>
          <w:b/>
          <w:bCs/>
        </w:rPr>
        <w:t xml:space="preserve">80 pages</w:t>
      </w:r>
      <w:r>
        <w:t xml:space="preserve"> (par exemple en ajoutant 8 pages d'annexes et de croquis). Cela permet la tranche, la couleur standard et la couverture rigide.</w:t>
      </w:r>
    </w:p>
    <w:p>
      <w:pPr>
        <w:pStyle w:val="Heading2"/>
      </w:pPr>
      <w:r>
        <w:t xml:space="preserve">2. Spécifications</w:t>
      </w:r>
    </w:p>
    <w:p>
      <w:pPr>
        <w:pStyle w:val="ListParagraph"/>
        <w:numPr>
          <w:ilvl w:val="0"/>
          <w:numId w:val="38"/>
        </w:numPr>
        <w:spacing w:after="60" w:line="264"/>
      </w:pPr>
      <w:r>
        <w:rPr>
          <w:b/>
          <w:bCs/>
        </w:rPr>
        <w:t xml:space="preserve">Formats</w:t>
      </w:r>
      <w:r>
        <w:t xml:space="preserve"> couleur broché : 8 × 10 po, 8,5 × 11 po, A4 (8,27 × 11,69), 7 × 10, 8,5 × 8,5… ; le 8,25 × 11 existe seulement en relié. V</w:t>
      </w:r>
    </w:p>
    <w:p>
      <w:pPr>
        <w:pStyle w:val="ListParagraph"/>
        <w:numPr>
          <w:ilvl w:val="0"/>
          <w:numId w:val="38"/>
        </w:numPr>
        <w:spacing w:after="60" w:line="264"/>
      </w:pPr>
      <w:r>
        <w:rPr>
          <w:b/>
          <w:bCs/>
        </w:rPr>
        <w:t xml:space="preserve">Fond perdu</w:t>
      </w:r>
      <w:r>
        <w:t xml:space="preserve"> : 0,125 po (3,2 mm) en haut, en bas et à l'extérieur ; page = format + 0,125 po en largeur, + 0,25 po en hauteur (8,5 × 11 → 8,625 × 11,25 po). Si une page est à fond perdu, tout le fichier doit l'être. V</w:t>
      </w:r>
    </w:p>
    <w:p>
      <w:pPr>
        <w:pStyle w:val="ListParagraph"/>
        <w:numPr>
          <w:ilvl w:val="0"/>
          <w:numId w:val="38"/>
        </w:numPr>
        <w:spacing w:after="60" w:line="264"/>
      </w:pPr>
      <w:r>
        <w:rPr>
          <w:b/>
          <w:bCs/>
        </w:rPr>
        <w:t xml:space="preserve">Marges</w:t>
      </w:r>
      <w:r>
        <w:t xml:space="preserve"> (24-150 p.) : intérieur 0,375 po ; extérieur ≥ 0,375 po avec fond perdu. V</w:t>
      </w:r>
    </w:p>
    <w:p>
      <w:pPr>
        <w:pStyle w:val="ListParagraph"/>
        <w:numPr>
          <w:ilvl w:val="0"/>
          <w:numId w:val="38"/>
        </w:numPr>
        <w:spacing w:after="60" w:line="264"/>
      </w:pPr>
      <w:r>
        <w:rPr>
          <w:b/>
          <w:bCs/>
        </w:rPr>
        <w:t xml:space="preserve">Épaisseur du dos</w:t>
      </w:r>
      <w:r>
        <w:t xml:space="preserve"> (couleur premium) : pages × 0,002347 po. V</w:t>
      </w:r>
    </w:p>
    <w:p>
      <w:pPr>
        <w:pStyle w:val="ListParagraph"/>
        <w:numPr>
          <w:ilvl w:val="0"/>
          <w:numId w:val="38"/>
        </w:numPr>
        <w:spacing w:after="60" w:line="264"/>
      </w:pPr>
      <w:r>
        <w:rPr>
          <w:b/>
          <w:bCs/>
        </w:rPr>
        <w:t xml:space="preserve">Couverture</w:t>
      </w:r>
      <w:r>
        <w:t xml:space="preserve"> : gabarit sur kdp.amazon.com/cover-calculator ; pelliculage brillant ou mat. V</w:t>
      </w:r>
    </w:p>
    <w:p>
      <w:pPr>
        <w:pStyle w:val="ListParagraph"/>
        <w:numPr>
          <w:ilvl w:val="0"/>
          <w:numId w:val="38"/>
        </w:numPr>
        <w:spacing w:after="60" w:line="264"/>
      </w:pPr>
      <w:r>
        <w:rPr>
          <w:b/>
          <w:bCs/>
        </w:rPr>
        <w:t xml:space="preserve">Papier</w:t>
      </w:r>
      <w:r>
        <w:t xml:space="preserve"> : premium 88-105 g/m², recommandé pour les livres très illustrés. V</w:t>
      </w:r>
    </w:p>
    <w:p>
      <w:pPr>
        <w:spacing w:after="60"/>
      </w:pPr>
    </w:p>
    <w:p>
      <w:pPr>
        <w:pStyle w:val="Heading2"/>
      </w:pPr>
      <w:r>
        <w:t xml:space="preserve">3. Coûts et redevances (calculs à confirmer avec le calculateur KDP)</w:t>
      </w:r>
    </w:p>
    <w:p>
      <w:pPr>
        <w:pStyle w:val="ListParagraph"/>
        <w:numPr>
          <w:ilvl w:val="0"/>
          <w:numId w:val="39"/>
        </w:numPr>
        <w:spacing w:after="60" w:line="264"/>
      </w:pPr>
      <w:r>
        <w:t xml:space="preserve">Couleur premium, 42-828 p., </w:t>
      </w:r>
      <w:r>
        <w:rPr>
          <w:b/>
          <w:bCs/>
        </w:rPr>
        <w:t xml:space="preserve">grand format</w:t>
      </w:r>
      <w:r>
        <w:t xml:space="preserve">, marketplaces UE (dont .fr) : </w:t>
      </w:r>
      <w:r>
        <w:rPr>
          <w:b/>
          <w:bCs/>
        </w:rPr>
        <w:t xml:space="preserve">0,75 € + 0,0715 €/page</w:t>
      </w:r>
      <w:r>
        <w:t xml:space="preserve">. 72 p. ≈ 5,90 € [calcul] ; 80 p. ≈ 6,47 € [calcul]. V (tarif)</w:t>
      </w:r>
    </w:p>
    <w:p>
      <w:pPr>
        <w:pStyle w:val="ListParagraph"/>
        <w:numPr>
          <w:ilvl w:val="0"/>
          <w:numId w:val="39"/>
        </w:numPr>
        <w:spacing w:after="60" w:line="264"/>
      </w:pPr>
      <w:r>
        <w:t xml:space="preserve">Amazon.com : 1,00 $ + 0,08 $/page (grand format). V</w:t>
      </w:r>
    </w:p>
    <w:p>
      <w:pPr>
        <w:pStyle w:val="ListParagraph"/>
        <w:numPr>
          <w:ilvl w:val="0"/>
          <w:numId w:val="39"/>
        </w:numPr>
        <w:spacing w:after="60" w:line="264"/>
      </w:pPr>
      <w:r>
        <w:t xml:space="preserve">Redevance : 60 % du prix à partir de 9,99 €, 50 % en dessous ; 40 % en distribution étendue ; redevance = taux × prix − impression. V</w:t>
      </w:r>
    </w:p>
    <w:p>
      <w:pPr>
        <w:pStyle w:val="ListParagraph"/>
        <w:numPr>
          <w:ilvl w:val="0"/>
          <w:numId w:val="39"/>
        </w:numPr>
        <w:spacing w:after="60" w:line="264"/>
      </w:pPr>
      <w:r>
        <w:t xml:space="preserve">Relié couleur premium (.fr) : 4,65 € + 0,072 €/page (grand format). V</w:t>
      </w:r>
    </w:p>
    <w:p>
      <w:pPr>
        <w:spacing w:after="60"/>
      </w:pPr>
    </w:p>
    <w:p>
      <w:pPr>
        <w:pStyle w:val="Heading2"/>
      </w:pPr>
      <w:r>
        <w:t xml:space="preserve">4. Kindle</w:t>
      </w:r>
    </w:p>
    <w:p>
      <w:pPr>
        <w:spacing w:after="120" w:line="276"/>
      </w:pPr>
      <w:r>
        <w:t xml:space="preserve">Kindle Create importe du PDF, PNG ou JPEG pour les BD ; le lettrage doit être fait avant l'import ; « Guided View » (case par case). 300 ppp minimum recommandé. V (G9GSTY4LTRT39D4Z, GJMRD9F78MS9F43R). Kindle Comic Creator : statut non vérifié (N).</w:t>
      </w:r>
    </w:p>
    <w:p>
      <w:pPr>
        <w:pStyle w:val="Heading2"/>
      </w:pPr>
      <w:r>
        <w:t xml:space="preserve">5. Intelligence artificielle</w:t>
      </w:r>
    </w:p>
    <w:p>
      <w:pPr>
        <w:pStyle w:val="ListParagraph"/>
        <w:numPr>
          <w:ilvl w:val="0"/>
          <w:numId w:val="40"/>
        </w:numPr>
        <w:spacing w:after="60" w:line="264"/>
      </w:pPr>
      <w:r>
        <w:t xml:space="preserve">Le contenu </w:t>
      </w:r>
      <w:r>
        <w:rPr>
          <w:b/>
          <w:bCs/>
        </w:rPr>
        <w:t xml:space="preserve">généré par IA</w:t>
      </w:r>
      <w:r>
        <w:t xml:space="preserve"> (texte, images, couverture, illustrations intérieures) </w:t>
      </w:r>
      <w:r>
        <w:rPr>
          <w:b/>
          <w:bCs/>
        </w:rPr>
        <w:t xml:space="preserve">doit être déclaré</w:t>
      </w:r>
      <w:r>
        <w:t xml:space="preserve">, même après des retouches importantes. V (G200672390)</w:t>
      </w:r>
    </w:p>
    <w:p>
      <w:pPr>
        <w:pStyle w:val="ListParagraph"/>
        <w:numPr>
          <w:ilvl w:val="0"/>
          <w:numId w:val="40"/>
        </w:numPr>
        <w:spacing w:after="60" w:line="264"/>
      </w:pPr>
      <w:r>
        <w:t xml:space="preserve">Le contenu </w:t>
      </w:r>
      <w:r>
        <w:rPr>
          <w:b/>
          <w:bCs/>
        </w:rPr>
        <w:t xml:space="preserve">assisté par IA</w:t>
      </w:r>
      <w:r>
        <w:t xml:space="preserve"> (créé par l'auteur puis amélioré, ou idées trouvées avec l'IA puis dessinées par l'auteur) n'a pas à être déclaré. V</w:t>
      </w:r>
    </w:p>
    <w:p>
      <w:pPr>
        <w:pStyle w:val="ListParagraph"/>
        <w:numPr>
          <w:ilvl w:val="0"/>
          <w:numId w:val="40"/>
        </w:numPr>
        <w:spacing w:after="60" w:line="264"/>
      </w:pPr>
      <w:r>
        <w:t xml:space="preserve">L'auteur reste responsable de la propriété intellectuelle. V</w:t>
      </w:r>
    </w:p>
    <w:p>
      <w:pPr>
        <w:spacing w:after="60"/>
      </w:pPr>
    </w:p>
    <w:p>
      <w:pPr>
        <w:pStyle w:val="Heading2"/>
      </w:pPr>
      <w:r>
        <w:t xml:space="preserve">6. Images et droits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41"/>
        <w:gridCol w:w="3197"/>
      </w:tblGrid>
      <w:tr>
        <w:trPr>
          <w:cantSplit/>
          <w:tblHeader/>
        </w:trPr>
        <w:tc>
          <w:tcPr>
            <w:tcW w:type="dxa" w:w="644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Point</w:t>
            </w:r>
          </w:p>
        </w:tc>
        <w:tc>
          <w:tcPr>
            <w:tcW w:type="dxa" w:w="319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r>
      <w:tr>
        <w:trPr>
          <w:cantSplit/>
          <w:tblHeader w:val="false"/>
        </w:trPr>
        <w:tc>
          <w:tcPr>
            <w:tcW w:type="dxa" w:w="644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Égypte : droit d'auteur = vie + 50 ans ; liberté de panorama « non OK » selon Wikimedia Commons (loi 82/2002, art. 171(2))</w:t>
            </w:r>
          </w:p>
        </w:tc>
        <w:tc>
          <w:tcPr>
            <w:tcW w:type="dxa" w:w="319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(lecture de Commons)</w:t>
            </w:r>
          </w:p>
        </w:tc>
      </w:tr>
      <w:tr>
        <w:trPr>
          <w:cantSplit/>
          <w:tblHeader w:val="false"/>
        </w:trPr>
        <w:tc>
          <w:tcPr>
            <w:tcW w:type="dxa" w:w="644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Les monuments antiques eux-mêmes ne sont pas protégés, mais la </w:t>
            </w:r>
            <w:r>
              <w:rPr>
                <w:b/>
                <w:bCs/>
                <w:sz w:val="18"/>
                <w:szCs w:val="18"/>
              </w:rPr>
              <w:t xml:space="preserve">photo moderne</w:t>
            </w:r>
            <w:r>
              <w:rPr>
                <w:sz w:val="18"/>
                <w:szCs w:val="18"/>
              </w:rPr>
              <w:t xml:space="preserve"> d'un tombeau peut l'être</w:t>
            </w:r>
          </w:p>
        </w:tc>
        <w:tc>
          <w:tcPr>
            <w:tcW w:type="dxa" w:w="319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 (inférence)</w:t>
            </w:r>
          </w:p>
        </w:tc>
      </w:tr>
      <w:tr>
        <w:trPr>
          <w:cantSplit/>
          <w:tblHeader w:val="false"/>
        </w:trPr>
        <w:tc>
          <w:tcPr>
            <w:tcW w:type="dxa" w:w="644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CC BY-SA (Commons) : nommer l'auteur, la licence et un lien ; une œuvre dérivée doit être partagée sous la même licence</w:t>
            </w:r>
          </w:p>
        </w:tc>
        <w:tc>
          <w:tcPr>
            <w:tcW w:type="dxa" w:w="319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644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Loi égyptienne 117/1983, art. 36</w:t>
            </w:r>
            <w:r>
              <w:rPr>
                <w:sz w:val="18"/>
                <w:szCs w:val="18"/>
              </w:rPr>
              <w:t xml:space="preserve"> : le Conseil suprême des Antiquités détient les droits sur les « images des pièces et sites archéologiques » ; </w:t>
            </w:r>
            <w:r>
              <w:rPr>
                <w:b/>
                <w:bCs/>
                <w:sz w:val="18"/>
                <w:szCs w:val="18"/>
              </w:rPr>
              <w:t xml:space="preserve">règlement d'application, art. 146-147</w:t>
            </w:r>
            <w:r>
              <w:rPr>
                <w:sz w:val="18"/>
                <w:szCs w:val="18"/>
              </w:rPr>
              <w:t xml:space="preserve"> : l'usage commercial ou publicitaire exige une autorisation préalable, les « imprimés » sont cités parmi les usages commerciaux, et les usages « culturels » sont exclus</w:t>
            </w:r>
          </w:p>
        </w:tc>
        <w:tc>
          <w:tcPr>
            <w:tcW w:type="dxa" w:w="319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(texte, traduction non officielle) ; </w:t>
            </w:r>
            <w:r>
              <w:rPr>
                <w:b/>
                <w:bCs/>
                <w:sz w:val="18"/>
                <w:szCs w:val="18"/>
              </w:rPr>
              <w:t xml:space="preserve">application à une BD vendue : à faire trancher par un juriste ou le Conseil</w:t>
            </w:r>
          </w:p>
        </w:tc>
      </w:tr>
    </w:tbl>
    <w:p>
      <w:pPr>
        <w:spacing w:after="120"/>
      </w:pPr>
    </w:p>
    <w:p>
      <w:pPr>
        <w:spacing w:after="120" w:line="276"/>
      </w:pPr>
      <w:r>
        <w:t xml:space="preserve">→ </w:t>
      </w:r>
      <w:r>
        <w:rPr>
          <w:b/>
          <w:bCs/>
        </w:rPr>
        <w:t xml:space="preserve">Recommandation</w:t>
      </w:r>
      <w:r>
        <w:t xml:space="preserve"> : dessiner les parois à partir de références (redessin), éviter les photos intégrées, et </w:t>
      </w:r>
      <w:r>
        <w:rPr>
          <w:b/>
          <w:bCs/>
        </w:rPr>
        <w:t xml:space="preserve">consulter un juriste</w:t>
      </w:r>
      <w:r>
        <w:t xml:space="preserve"> avant la vente sur la question des art. 146-147.</w:t>
      </w:r>
    </w:p>
    <w:p>
      <w:pPr>
        <w:pStyle w:val="Heading2"/>
      </w:pPr>
      <w:r>
        <w:t xml:space="preserve">7. ISBN et dépôt légal (France)</w:t>
      </w:r>
    </w:p>
    <w:p>
      <w:pPr>
        <w:pStyle w:val="ListParagraph"/>
        <w:numPr>
          <w:ilvl w:val="0"/>
          <w:numId w:val="41"/>
        </w:numPr>
        <w:spacing w:after="60" w:line="264"/>
      </w:pPr>
      <w:r>
        <w:t xml:space="preserve">ISBN KDP gratuit : utilisable uniquement sur KDP, l'éditeur apparaît comme « Independently published » ; un ISBN par format. V</w:t>
      </w:r>
    </w:p>
    <w:p>
      <w:pPr>
        <w:pStyle w:val="ListParagraph"/>
        <w:numPr>
          <w:ilvl w:val="0"/>
          <w:numId w:val="41"/>
        </w:numPr>
        <w:spacing w:after="60" w:line="264"/>
      </w:pPr>
      <w:r>
        <w:t xml:space="preserve">ISBN personnel : </w:t>
      </w:r>
      <w:r>
        <w:rPr>
          <w:b/>
          <w:bCs/>
        </w:rPr>
        <w:t xml:space="preserve">AFNIL</w:t>
      </w:r>
      <w:r>
        <w:t xml:space="preserve"> (formulaire pour les auto-éditeurs) ; titre, auteur et éditeur doivent correspondre dans KDP. V ; tarif : N</w:t>
      </w:r>
    </w:p>
    <w:p>
      <w:pPr>
        <w:pStyle w:val="ListParagraph"/>
        <w:numPr>
          <w:ilvl w:val="0"/>
          <w:numId w:val="41"/>
        </w:numPr>
        <w:spacing w:after="60" w:line="264"/>
      </w:pPr>
      <w:r>
        <w:rPr>
          <w:b/>
          <w:bCs/>
        </w:rPr>
        <w:t xml:space="preserve">Dépôt légal à la BnF</w:t>
      </w:r>
      <w:r>
        <w:t xml:space="preserve"> obligatoire pour l'auto-édition et l'impression à la demande : un exemplaire, envoi en franchise postale, déclaration en ligne. Mentions à imprimer : « impression à la demande », « dépôt légal : mois année », « imprimé en [pays] ». V (bnf.fr). Délai exact : N.</w:t>
      </w:r>
    </w:p>
    <w:p>
      <w:pPr>
        <w:spacing w:after="60"/>
      </w:pPr>
    </w:p>
    <w:p>
      <w:r>
        <w:br w:type="page"/>
      </w:r>
    </w:p>
    <w:p>
      <w:pPr>
        <w:pStyle w:val="Heading1"/>
      </w:pPr>
      <w:r>
        <w:t xml:space="preserve">Bible · 7 — Bibliographie et sources consultées</w:t>
      </w:r>
    </w:p>
    <w:p>
      <w:pPr>
        <w:spacing w:after="120" w:line="276"/>
      </w:pPr>
      <w:r>
        <w:t xml:space="preserve">Consultées le 26/10/2026 par l'équipe de recherche (agents IA), sauf mention contraire. Les ouvrages non ouverts sont signalés : </w:t>
      </w:r>
      <w:r>
        <w:rPr>
          <w:b/>
          <w:bCs/>
        </w:rPr>
        <w:t xml:space="preserve">leur contenu n'a été vu qu'à travers d'autres sources.</w:t>
      </w:r>
    </w:p>
    <w:p>
      <w:pPr>
        <w:pStyle w:val="Heading2"/>
      </w:pPr>
      <w:r>
        <w:t xml:space="preserve">Sources principales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0"/>
        <w:gridCol w:w="3877"/>
        <w:gridCol w:w="4381"/>
      </w:tblGrid>
      <w:tr>
        <w:trPr>
          <w:cantSplit/>
          <w:tblHeader/>
        </w:trPr>
        <w:tc>
          <w:tcPr>
            <w:tcW w:type="dxa" w:w="138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Code</w:t>
            </w:r>
          </w:p>
        </w:tc>
        <w:tc>
          <w:tcPr>
            <w:tcW w:type="dxa" w:w="387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Référence</w:t>
            </w:r>
          </w:p>
        </w:tc>
        <w:tc>
          <w:tcPr>
            <w:tcW w:type="dxa" w:w="438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URL</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[TMP]</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Theban Mapping Project (ARCE), fiche « KV 9: Rameses V and Rameses VI »</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https://thebanmappingproject.com/tombs/kv-09-rameses-v-and-rameses-vi</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[TMP-FC]</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Theban Mapping Project, « Funerary Compositions » (modifié le 17/11/2020)</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https://thebanmappingproject.com/articles/funerary-compositions</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J. C. Darnell &amp; C. Manassa Darnell, </w:t>
            </w:r>
            <w:r>
              <w:rPr>
                <w:i/>
                <w:iCs/>
                <w:sz w:val="18"/>
                <w:szCs w:val="18"/>
              </w:rPr>
              <w:t xml:space="preserve">The Ancient Egyptian Netherworld Books</w:t>
            </w:r>
            <w:r>
              <w:rPr>
                <w:sz w:val="18"/>
                <w:szCs w:val="18"/>
              </w:rPr>
              <w:t xml:space="preserve">, SBL Press, Writings from the Ancient World 39, 2018 (PDF en libre accès)</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https://www.sbl-site.org/wp-content/uploads/2024/11/Netherworld.pdf</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[PLEUGER]</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 Pleuger, « Le Livre de la Terre. À propos du sens de lecture d'une composition funéraire de l'Égypte ramesside », </w:t>
            </w:r>
            <w:r>
              <w:rPr>
                <w:i/>
                <w:iCs/>
                <w:sz w:val="18"/>
                <w:szCs w:val="18"/>
              </w:rPr>
              <w:t xml:space="preserve">BABELAO</w:t>
            </w:r>
            <w:r>
              <w:rPr>
                <w:sz w:val="18"/>
                <w:szCs w:val="18"/>
              </w:rPr>
              <w:t xml:space="preserve"> 9 (2020), p. 45-94</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https://ojs.uclouvain.be/index.php/babelao/article/download/57613/54033</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[ROBERSON]</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J. A. Roberson, </w:t>
            </w:r>
            <w:r>
              <w:rPr>
                <w:i/>
                <w:iCs/>
                <w:sz w:val="18"/>
                <w:szCs w:val="18"/>
              </w:rPr>
              <w:t xml:space="preserve">The Ancient Egyptian Books of the Earth</w:t>
            </w:r>
            <w:r>
              <w:rPr>
                <w:sz w:val="18"/>
                <w:szCs w:val="18"/>
              </w:rPr>
              <w:t xml:space="preserve">, Lockwood Press, Atlanta, 2012 (Wilbour Studies in Egypt and Ancient Western Asia 1), ISBN 978-1-937040-00-0 — </w:t>
            </w:r>
            <w:r>
              <w:rPr>
                <w:b/>
                <w:bCs/>
                <w:sz w:val="18"/>
                <w:szCs w:val="18"/>
              </w:rPr>
              <w:t xml:space="preserve">front matter seulement</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https://lockwoodpressonline.com/index.php/ebooks/catalog/book/23</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[ARCHIVE]</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 Piankoff &amp; N. Rambova, </w:t>
            </w:r>
            <w:r>
              <w:rPr>
                <w:i/>
                <w:iCs/>
                <w:sz w:val="18"/>
                <w:szCs w:val="18"/>
              </w:rPr>
              <w:t xml:space="preserve">The Tomb of Ramesses VI</w:t>
            </w:r>
            <w:r>
              <w:rPr>
                <w:sz w:val="18"/>
                <w:szCs w:val="18"/>
              </w:rPr>
              <w:t xml:space="preserve">, Bollingen Series XL-1, Pantheon Books, New York, 1954 (notice)</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https://archive.org/details/tomboframessesvi0001unse</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[BM]</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British Museum, EA140, fragment de couvercle de sarcophage de Ramsès VI</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https://www.britishmuseum.org/collection/object/Y_EA140</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[ARCE]</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ARCE, « Conservation of the Sarcophagus of Ramesses VI »</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https://arce.org/project/conservation-sarcophagus-ramesses-vi/</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[SIP]</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Science in Poland (PAP), 21/06/2017, sur les graffiti de KV9 (A. Łukaszewicz)</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https://scienceinpoland.pl/en/news/news%2C414643%2Cin-a-pharaoh-tomb-archaeologist-examines-the-inscriptions--of-ancient-tourists.html</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[PCMA]</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PCMA, Université de Varsovie, page de la mission KV9 (copie archivée)</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http://web.archive.org/web/20231127160153/https://pcma.uw.edu.pl/en/2019/01/01/valley-of-the-king-tomb-of-ramesses-vi-kv-9/</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[GRIFFITH]</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Griffith Institute, notes de H. Carter TAA i.12.03 (c. 1924)</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https://tutankhamun.griffith.ox.ac.uk//miscellaneous/taa-i12/taa-i1203</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[SMITH]</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J. Marchant, </w:t>
            </w:r>
            <w:r>
              <w:rPr>
                <w:i/>
                <w:iCs/>
                <w:sz w:val="18"/>
                <w:szCs w:val="18"/>
              </w:rPr>
              <w:t xml:space="preserve">Smithsonian Magazine</w:t>
            </w:r>
            <w:r>
              <w:rPr>
                <w:sz w:val="18"/>
                <w:szCs w:val="18"/>
              </w:rPr>
              <w:t xml:space="preserve">, 2022</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https://www.smithsonianmag.com/history/how-howard-carter-discovered-king-tuts-golden-tomb-180981052/</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[NMEC]</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National Museum of Egyptian Civilization, notice Ramsès VI</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https://nmec.gov.eg/?p=18742</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[UEE]</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 Grandet, article de la </w:t>
            </w:r>
            <w:r>
              <w:rPr>
                <w:i/>
                <w:iCs/>
                <w:sz w:val="18"/>
                <w:szCs w:val="18"/>
              </w:rPr>
              <w:t xml:space="preserve">UCLA Encyclopedia of Egyptology</w:t>
            </w:r>
            <w:r>
              <w:rPr>
                <w:sz w:val="18"/>
                <w:szCs w:val="18"/>
              </w:rPr>
              <w:t xml:space="preserve">, 2014 (titre exact : à relever)</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https://journalpub.escholarship.org/nelc_uee/article/4768/galley/2682/download</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[TURIN]</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Museo Egizio, papyrus de la grève</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https://collezionepapiri.museoegizio.it/en-GB/section/Papyrus-Collection/History-and-content/Highlights-Turin-Strike-Papyrus/</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[PENN]</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J. A. Roberson, « The Rebirth of the Sun », </w:t>
            </w:r>
            <w:r>
              <w:rPr>
                <w:i/>
                <w:iCs/>
                <w:sz w:val="18"/>
                <w:szCs w:val="18"/>
              </w:rPr>
              <w:t xml:space="preserve">Expedition</w:t>
            </w:r>
            <w:r>
              <w:rPr>
                <w:sz w:val="18"/>
                <w:szCs w:val="18"/>
              </w:rPr>
              <w:t xml:space="preserve"> 50.2 (2008)</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https://www.penn.museum/sites/expedition/the-rebirth-of-the-sun/</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[OEAE]</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 B. Redford (dir.), </w:t>
            </w:r>
            <w:r>
              <w:rPr>
                <w:i/>
                <w:iCs/>
                <w:sz w:val="18"/>
                <w:szCs w:val="18"/>
              </w:rPr>
              <w:t xml:space="preserve">The Oxford Encyclopedia of Ancient Egypt</w:t>
            </w:r>
            <w:r>
              <w:rPr>
                <w:sz w:val="18"/>
                <w:szCs w:val="18"/>
              </w:rPr>
              <w:t xml:space="preserve">, vol. III, OUP, 2001 : U. Luft, « Religion », p. 142 ; M. Müller, « Re and Re-Horakhty », p. 123-126 (texte OCR)</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https://archive.org/stream/oxfordencyclopediaofancientegyptvolume3/</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[NATGEO]</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 Castel, National Geographic History, 11/07/2025 (tombe de Néfertari)</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https://www.nationalgeographic.com/history/article/ancient-egypt-nefertari-tomb-afterlife</w:t>
            </w:r>
          </w:p>
        </w:tc>
      </w:tr>
      <w:tr>
        <w:trPr>
          <w:cantSplit/>
          <w:tblHeader w:val="false"/>
        </w:trPr>
        <w:tc>
          <w:tcPr>
            <w:tcW w:type="dxa" w:w="138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[WHE]</w:t>
            </w:r>
          </w:p>
        </w:tc>
        <w:tc>
          <w:tcPr>
            <w:tcW w:type="dxa" w:w="387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J. Mark, « Color in Ancient Egypt », World History Encyclopedia, 2017 (cite Wilkinson 1994)</w:t>
            </w:r>
          </w:p>
        </w:tc>
        <w:tc>
          <w:tcPr>
            <w:tcW w:type="dxa" w:w="438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https://www.worldhistory.org/article/999/color-in-ancient-egypt/</w:t>
            </w:r>
          </w:p>
        </w:tc>
      </w:tr>
      <w:tr>
        <w:trPr>
          <w:cantSplit/>
          <w:tblHeader w:val="false"/>
        </w:trPr>
        <w:tc>
          <w:tcPr>
            <w:tcW w:type="dxa" w:w="138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[EGYMON]</w:t>
            </w:r>
          </w:p>
        </w:tc>
        <w:tc>
          <w:tcPr>
            <w:tcW w:type="dxa" w:w="387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Ministère égyptien, egymonuments.com, Vallée des Rois (copie du 24/10/2026)</w:t>
            </w:r>
          </w:p>
        </w:tc>
        <w:tc>
          <w:tcPr>
            <w:tcW w:type="dxa" w:w="438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https://egymonuments.com/details/ValleyOfKings</w:t>
            </w:r>
          </w:p>
        </w:tc>
      </w:tr>
    </w:tbl>
    <w:p>
      <w:pPr>
        <w:spacing w:after="120"/>
      </w:pPr>
    </w:p>
    <w:p>
      <w:pPr>
        <w:pStyle w:val="Heading2"/>
      </w:pPr>
      <w:r>
        <w:t xml:space="preserve">Sources secondaires (des pistes, pas des preuves)</w:t>
      </w:r>
    </w:p>
    <w:p>
      <w:pPr>
        <w:spacing w:after="120" w:line="276"/>
      </w:pPr>
      <w:r>
        <w:t xml:space="preserve">Wikipédia (en/de) : KV9, Book of the Earth, Ramesses V, Ramesses VI, KV35, Deir el-Medina, Abbott Papyrus, Pharaohs' Golden Parade, Aker, Tatenen, Osiris, Ra, Atum, Geb, Nut, Khepri, Apep, Nu, Shabaka Stone, Dendera light, Amduat, Book of Gates, Book of Caverns, Tomb of Tutankhamun, Twentieth Dynasty ; pharaoh.se ; Earth Trekkers (07/2026) ; NBC News (2004). </w:t>
      </w:r>
      <w:r>
        <w:rPr>
          <w:b/>
          <w:bCs/>
        </w:rPr>
        <w:t xml:space="preserve">[WIKI-R5], [WIKI-R6], [WIKI-KV35], [WIKI-ABBOTT], [WIKI-PARADE]</w:t>
      </w:r>
      <w:r>
        <w:t xml:space="preserve"> = articles Wikipédia en anglais correspondants.</w:t>
      </w:r>
    </w:p>
    <w:p>
      <w:pPr>
        <w:pStyle w:val="Heading2"/>
      </w:pPr>
      <w:r>
        <w:t xml:space="preserve">À lire avant impression (non ouverts)</w:t>
      </w:r>
    </w:p>
    <w:p>
      <w:pPr>
        <w:pStyle w:val="ListParagraph"/>
        <w:numPr>
          <w:ilvl w:val="0"/>
          <w:numId w:val="42"/>
        </w:numPr>
        <w:spacing w:after="60" w:line="264"/>
      </w:pPr>
      <w:r>
        <w:t xml:space="preserve">E. Hornung, </w:t>
      </w:r>
      <w:r>
        <w:rPr>
          <w:i/>
          <w:iCs/>
        </w:rPr>
        <w:t xml:space="preserve">The Ancient Egyptian Books of the Afterlife</w:t>
      </w:r>
      <w:r>
        <w:t xml:space="preserve">, Cornell UP, 1999.</w:t>
      </w:r>
    </w:p>
    <w:p>
      <w:pPr>
        <w:pStyle w:val="ListParagraph"/>
        <w:numPr>
          <w:ilvl w:val="0"/>
          <w:numId w:val="42"/>
        </w:numPr>
        <w:spacing w:after="60" w:line="264"/>
      </w:pPr>
      <w:r>
        <w:t xml:space="preserve">A. Piankoff, </w:t>
      </w:r>
      <w:r>
        <w:rPr>
          <w:i/>
          <w:iCs/>
        </w:rPr>
        <w:t xml:space="preserve">La Création du disque solaire</w:t>
      </w:r>
      <w:r>
        <w:t xml:space="preserve">, BdE 19, IFAO, Le Caire, 1953.</w:t>
      </w:r>
    </w:p>
    <w:p>
      <w:pPr>
        <w:pStyle w:val="ListParagraph"/>
        <w:numPr>
          <w:ilvl w:val="0"/>
          <w:numId w:val="42"/>
        </w:numPr>
        <w:spacing w:after="60" w:line="264"/>
      </w:pPr>
      <w:r>
        <w:t xml:space="preserve">J. A. Roberson 2012, corps de l'ouvrage (chap. 6).</w:t>
      </w:r>
    </w:p>
    <w:p>
      <w:pPr>
        <w:pStyle w:val="ListParagraph"/>
        <w:numPr>
          <w:ilvl w:val="0"/>
          <w:numId w:val="42"/>
        </w:numPr>
        <w:spacing w:after="60" w:line="264"/>
      </w:pPr>
      <w:r>
        <w:t xml:space="preserve">E. Brock, in K. R. Weeks (dir.), </w:t>
      </w:r>
      <w:r>
        <w:rPr>
          <w:i/>
          <w:iCs/>
        </w:rPr>
        <w:t xml:space="preserve">The Valley of the Kings</w:t>
      </w:r>
      <w:r>
        <w:t xml:space="preserve">, 2001.</w:t>
      </w:r>
    </w:p>
    <w:p>
      <w:pPr>
        <w:pStyle w:val="ListParagraph"/>
        <w:numPr>
          <w:ilvl w:val="0"/>
          <w:numId w:val="42"/>
        </w:numPr>
        <w:spacing w:after="60" w:line="264"/>
      </w:pPr>
      <w:r>
        <w:t xml:space="preserve">J. Baillet, </w:t>
      </w:r>
      <w:r>
        <w:rPr>
          <w:i/>
          <w:iCs/>
        </w:rPr>
        <w:t xml:space="preserve">Inscriptions grecques et latines des tombeaux des rois ou syringes à Thèbes</w:t>
      </w:r>
      <w:r>
        <w:t xml:space="preserve">, IFAO, 1920-1926.</w:t>
      </w:r>
    </w:p>
    <w:p>
      <w:pPr>
        <w:pStyle w:val="ListParagraph"/>
        <w:numPr>
          <w:ilvl w:val="0"/>
          <w:numId w:val="42"/>
        </w:numPr>
        <w:spacing w:after="60" w:line="264"/>
      </w:pPr>
      <w:r>
        <w:t xml:space="preserve">A. Łukaszewicz, </w:t>
      </w:r>
      <w:r>
        <w:rPr>
          <w:i/>
          <w:iCs/>
        </w:rPr>
        <w:t xml:space="preserve">PAM</w:t>
      </w:r>
      <w:r>
        <w:t xml:space="preserve"> 11 (2000) et 22 (2013) ; chapitre Brill 2010.</w:t>
      </w:r>
    </w:p>
    <w:p>
      <w:pPr>
        <w:pStyle w:val="ListParagraph"/>
        <w:numPr>
          <w:ilvl w:val="0"/>
          <w:numId w:val="42"/>
        </w:numPr>
        <w:spacing w:after="60" w:line="264"/>
      </w:pPr>
      <w:r>
        <w:t xml:space="preserve">R. H. Wilkinson, </w:t>
      </w:r>
      <w:r>
        <w:rPr>
          <w:i/>
          <w:iCs/>
        </w:rPr>
        <w:t xml:space="preserve">The Complete Gods and Goddesses of Ancient Egypt</w:t>
      </w:r>
      <w:r>
        <w:t xml:space="preserve">, 2003 ; </w:t>
      </w:r>
      <w:r>
        <w:rPr>
          <w:i/>
          <w:iCs/>
        </w:rPr>
        <w:t xml:space="preserve">Symbol and Magic in Egyptian Art</w:t>
      </w:r>
      <w:r>
        <w:t xml:space="preserve">, 1994.</w:t>
      </w:r>
    </w:p>
    <w:p>
      <w:pPr>
        <w:pStyle w:val="ListParagraph"/>
        <w:numPr>
          <w:ilvl w:val="0"/>
          <w:numId w:val="42"/>
        </w:numPr>
        <w:spacing w:after="60" w:line="264"/>
      </w:pPr>
      <w:r>
        <w:t xml:space="preserve">G. Robins, </w:t>
      </w:r>
      <w:r>
        <w:rPr>
          <w:i/>
          <w:iCs/>
        </w:rPr>
        <w:t xml:space="preserve">Proportion and Style in Ancient Egyptian Art</w:t>
      </w:r>
      <w:r>
        <w:t xml:space="preserve">, 1994.</w:t>
      </w:r>
    </w:p>
    <w:p>
      <w:pPr>
        <w:pStyle w:val="ListParagraph"/>
        <w:numPr>
          <w:ilvl w:val="0"/>
          <w:numId w:val="42"/>
        </w:numPr>
        <w:spacing w:after="60" w:line="264"/>
      </w:pPr>
      <w:r>
        <w:t xml:space="preserve">B. G. Davies, </w:t>
      </w:r>
      <w:r>
        <w:rPr>
          <w:i/>
          <w:iCs/>
        </w:rPr>
        <w:t xml:space="preserve">Who's Who at Deir el-Medina</w:t>
      </w:r>
      <w:r>
        <w:t xml:space="preserve">, 1999 ; J. Černý, </w:t>
      </w:r>
      <w:r>
        <w:rPr>
          <w:i/>
          <w:iCs/>
        </w:rPr>
        <w:t xml:space="preserve">A Community of Workmen at Thebes in the Ramesside Period</w:t>
      </w:r>
      <w:r>
        <w:t xml:space="preserve"> (année d'édition à vérifier).</w:t>
      </w:r>
    </w:p>
    <w:p>
      <w:pPr>
        <w:pStyle w:val="ListParagraph"/>
        <w:numPr>
          <w:ilvl w:val="0"/>
          <w:numId w:val="42"/>
        </w:numPr>
        <w:spacing w:after="60" w:line="264"/>
      </w:pPr>
      <w:r>
        <w:t xml:space="preserve">A. J. Peden, </w:t>
      </w:r>
      <w:r>
        <w:rPr>
          <w:i/>
          <w:iCs/>
        </w:rPr>
        <w:t xml:space="preserve">The Reign of Ramesses IV</w:t>
      </w:r>
      <w:r>
        <w:t xml:space="preserve">, 1994 ; « Where Did Ramesses VI Bury his Nephew? », </w:t>
      </w:r>
      <w:r>
        <w:rPr>
          <w:i/>
          <w:iCs/>
        </w:rPr>
        <w:t xml:space="preserve">GM</w:t>
      </w:r>
      <w:r>
        <w:t xml:space="preserve"> 181 (2001).</w:t>
      </w:r>
    </w:p>
    <w:p>
      <w:pPr>
        <w:pStyle w:val="ListParagraph"/>
        <w:numPr>
          <w:ilvl w:val="0"/>
          <w:numId w:val="42"/>
        </w:numPr>
        <w:spacing w:after="60" w:line="264"/>
      </w:pPr>
      <w:r>
        <w:t xml:space="preserve">G. Daressy, </w:t>
      </w:r>
      <w:r>
        <w:rPr>
          <w:i/>
          <w:iCs/>
        </w:rPr>
        <w:t xml:space="preserve">ASAE</w:t>
      </w:r>
      <w:r>
        <w:t xml:space="preserve"> 18 (1919), p. 270-274.</w:t>
      </w:r>
    </w:p>
    <w:p>
      <w:pPr>
        <w:spacing w:after="60"/>
      </w:pPr>
    </w:p>
    <w:p>
      <w:pPr>
        <w:pStyle w:val="Heading2"/>
      </w:pPr>
      <w:r>
        <w:t xml:space="preserve">Échecs d'accès (pour mémoire)</w:t>
      </w:r>
    </w:p>
    <w:p>
      <w:pPr>
        <w:spacing w:after="120" w:line="276"/>
      </w:pPr>
      <w:r>
        <w:t xml:space="preserve">osirisnet.net (404), egymonuments.gov.eg (503), britannica.com (403), pages TMP « decorating tombs » (403), UCL Digital Egypt BD 17 (403), pcma.uw.edu.pl en direct (captcha).</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7A8" w:sz="4" w:space="4"/>
      </w:pBdr>
      <w:tabs>
        <w:tab w:val="right" w:pos="9638"/>
      </w:tabs>
    </w:pPr>
    <w:r>
      <w:rPr>
        <w:rFonts w:ascii="Cambria" w:cs="Cambria" w:eastAsia="Cambria" w:hAnsi="Cambria"/>
        <w:color w:val="14213D"/>
        <w:sz w:val="16"/>
        <w:szCs w:val="16"/>
      </w:rPr>
      <w:t xml:space="preserve">Les Mystères du tombeau de Ramsès VI</w:t>
    </w:r>
    <w:r>
      <w:rPr>
        <w:color w:val="B8860B"/>
        <w:sz w:val="16"/>
        <w:szCs w:val="16"/>
      </w:rPr>
      <w:t xml:space="preserve">	BIBLE DE LA SÉRIE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lvl w:ilvl="1" w15:tentative="1">
      <w:start w:val="1"/>
      <w:numFmt w:val="lowerLetter"/>
      <w:lvlText w:val="%2)"/>
      <w:lvlJc w:val="left"/>
      <w:pPr>
        <w:ind w:left="9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2"/>
    <w:lvlOverride w:ilvl="0">
      <w:startOverride w:val="1"/>
    </w:lvlOverride>
  </w:num>
  <w:num w:numId="29">
    <w:abstractNumId w:val="3"/>
    <w:lvlOverride w:ilvl="0">
      <w:startOverride w:val="1"/>
    </w:lvlOverride>
  </w:num>
  <w:num w:numId="30">
    <w:abstractNumId w:val="2"/>
    <w:lvlOverride w:ilvl="0">
      <w:startOverride w:val="1"/>
    </w:lvlOverride>
  </w:num>
  <w:num w:numId="31">
    <w:abstractNumId w:val="3"/>
    <w:lvlOverride w:ilvl="0">
      <w:startOverride w:val="1"/>
    </w:lvlOverride>
  </w:num>
  <w:num w:numId="32">
    <w:abstractNumId w:val="2"/>
    <w:lvlOverride w:ilvl="0">
      <w:startOverride w:val="1"/>
    </w:lvlOverride>
  </w:num>
  <w:num w:numId="33">
    <w:abstractNumId w:val="3"/>
    <w:lvlOverride w:ilvl="0">
      <w:startOverride w:val="1"/>
    </w:lvlOverride>
  </w:num>
  <w:num w:numId="34">
    <w:abstractNumId w:val="2"/>
    <w:lvlOverride w:ilvl="0">
      <w:startOverride w:val="1"/>
    </w:lvlOverride>
  </w:num>
  <w:num w:numId="35">
    <w:abstractNumId w:val="3"/>
    <w:lvlOverride w:ilvl="0">
      <w:startOverride w:val="1"/>
    </w:lvlOverride>
  </w:num>
  <w:num w:numId="36">
    <w:abstractNumId w:val="2"/>
    <w:lvlOverride w:ilvl="0">
      <w:startOverride w:val="1"/>
    </w:lvlOverride>
  </w:num>
  <w:num w:numId="37">
    <w:abstractNumId w:val="3"/>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10" w:space="6"/>
      </w:pBdr>
      <w:spacing w:after="240" w:before="120"/>
      <w:outlineLvl w:val="0"/>
    </w:pPr>
    <w:rPr>
      <w:rFonts w:ascii="Cambria" w:cs="Cambria" w:eastAsia="Cambria" w:hAnsi="Cambria"/>
      <w:b/>
      <w:bCs/>
      <w:color w:val="14213D"/>
      <w:sz w:val="36"/>
      <w:szCs w:val="36"/>
    </w:rPr>
  </w:style>
  <w:style w:type="paragraph" w:styleId="Heading2">
    <w:name w:val="Heading 2"/>
    <w:basedOn w:val="Normal"/>
    <w:next w:val="Normal"/>
    <w:qFormat/>
    <w:pPr>
      <w:keepNext/>
      <w:spacing w:after="140" w:before="320"/>
      <w:outlineLvl w:val="1"/>
    </w:pPr>
    <w:rPr>
      <w:rFonts w:ascii="Cambria" w:cs="Cambria" w:eastAsia="Cambria" w:hAnsi="Cambria"/>
      <w:b/>
      <w:bCs/>
      <w:color w:val="A0522D"/>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Mystères du tombeau de Ramsès VI — BIBLE DE LA SÉRIE</dc:title>
  <dc:creator>Les Mystères du tombeau de Ramsès VI</dc:creator>
  <cp:lastModifiedBy>Un-named</cp:lastModifiedBy>
  <cp:revision>1</cp:revision>
  <dcterms:created xsi:type="dcterms:W3CDTF">2026-10-26T04:17:55.732Z</dcterms:created>
  <dcterms:modified xsi:type="dcterms:W3CDTF">2026-10-26T04:17:55.732Z</dcterms:modified>
</cp:coreProperties>
</file>

<file path=docProps/custom.xml><?xml version="1.0" encoding="utf-8"?>
<Properties xmlns="http://schemas.openxmlformats.org/officeDocument/2006/custom-properties" xmlns:vt="http://schemas.openxmlformats.org/officeDocument/2006/docPropsVTypes"/>
</file>