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MANUAL 7</w:t>
      </w:r>
    </w:p>
    <w:p>
      <w:pPr>
        <w:pBdr>
          <w:bottom w:val="single" w:sz="18" w:space="4" w:color="B07C0F"/>
        </w:pBdr>
      </w:pPr>
      <w:r>
        <w:rPr>
          <w:b/>
          <w:color w:val="0B3020"/>
          <w:sz w:val="56"/>
        </w:rPr>
        <w:t>MANUAL 7 : manuel d'utilisation et de méthodologie</w:t>
      </w:r>
    </w:p>
    <w:p>
      <w:r>
        <w:rPr>
          <w:color w:val="1D1D1D"/>
          <w:sz w:val="28"/>
        </w:rPr>
        <w:t>MODEL 7, modèle de développement et de financement de l'hydroélectricité. Ressource d'accompagnement du Livre 7, De la rivière au bouclage financier</w:t>
      </w:r>
    </w:p>
    <w:p>
      <w:pPr>
        <w:spacing w:before="800"/>
      </w:pPr>
      <w:r>
        <w:rPr>
          <w:b/>
          <w:color w:val="B07C0F"/>
          <w:sz w:val="17"/>
        </w:rPr>
        <w:t>AUTEUR ET CONCEPTION</w:t>
      </w:r>
    </w:p>
    <w:p>
      <w:r>
        <w:rPr>
          <w:b/>
          <w:color w:val="0B3020"/>
          <w:sz w:val="28"/>
        </w:rPr>
        <w:t>Emmanuel Boujieka Kamga</w:t>
      </w:r>
    </w:p>
    <w:p>
      <w:r>
        <w:rPr>
          <w:color w:val="666666"/>
          <w:sz w:val="19"/>
        </w:rPr>
        <w:t>Africa Energy Finance  |  Business &amp; Financial Models  |  octobre 2026</w:t>
      </w:r>
    </w:p>
    <w:p>
      <w:r>
        <w:rPr>
          <w:color w:val="666666"/>
          <w:sz w:val="19"/>
        </w:rPr>
        <w:t>Version 1.0 (release candidate 1)</w:t>
      </w:r>
    </w:p>
    <w:p>
      <w:pPr>
        <w:spacing w:before="1600"/>
      </w:pPr>
      <w:r>
        <w:rPr>
          <w:color w:val="666666"/>
          <w:sz w:val="16"/>
        </w:rPr>
        <w:t>© 2026 Emmanuel Boujieka Kamga. Tous droits réservés. Outil d'aide à la décision ; ne constitue pas un conseil en investissement, ni un conseil juridique, fiscal ou comptable. Les données par défaut du modèle et le cas Kasiri River Hydro sont fictifs et illustratifs.</w:t>
      </w:r>
    </w:p>
    <w:p>
      <w:r>
        <w:br w:type="page"/>
      </w:r>
    </w:p>
    <w:p>
      <w:r>
        <w:rPr>
          <w:b/>
          <w:color w:val="0B3020"/>
          <w:sz w:val="36"/>
        </w:rPr>
        <w:t>Sommaire</w:t>
      </w:r>
    </w:p>
    <w:p>
      <w:r>
        <w:fldChar w:fldCharType="begin"/>
        <w:instrText xml:space="preserve">TOC \o "1-2" \h \z \u</w:instrText>
        <w:fldChar w:fldCharType="separate"/>
        <w:t>Cliquez avec le bouton droit et choisissez Mettre à jour les champs pour construire le sommaire.</w:t>
        <w:fldChar w:fldCharType="end"/>
      </w:r>
    </w:p>
    <w:p>
      <w:r>
        <w:br w:type="page"/>
      </w:r>
    </w:p>
    <w:p>
      <w:pPr>
        <w:pStyle w:val="Heading1"/>
        <w:pBdr>
          <w:bottom w:val="single" w:sz="12" w:space="4" w:color="B07C0F"/>
        </w:pBdr>
      </w:pPr>
      <w:r>
        <w:t>À propos de ce manuel</w:t>
      </w:r>
    </w:p>
    <w:p>
      <w:pPr>
        <w:jc w:val="both"/>
      </w:pPr>
      <w:r>
        <w:rPr/>
        <w:t xml:space="preserve">Version 1.0, version candidate 1 (release candidate 1). Ressource d'accompagnement du Livre 7, </w:t>
      </w:r>
      <w:r>
        <w:rPr>
          <w:i/>
        </w:rPr>
        <w:t>Développement et financement de l'hydroélectricité</w:t>
      </w:r>
      <w:r>
        <w:rPr/>
        <w:t>.</w:t>
      </w:r>
    </w:p>
    <w:tbl>
      <w:tblPr>
        <w:tblStyle w:val="TableGrid"/>
        <w:tblW w:type="auto" w:w="0"/>
        <w:jc w:val="center"/>
        <w:tblLook w:firstColumn="1" w:firstRow="1" w:lastColumn="0" w:lastRow="0" w:noHBand="0" w:noVBand="1" w:val="04A0"/>
      </w:tblPr>
      <w:tblGrid>
        <w:gridCol w:w="4819"/>
        <w:gridCol w:w="4819"/>
      </w:tblGrid>
      <w:tr>
        <w:tc>
          <w:tcPr>
            <w:tcW w:type="dxa" w:w="5560"/>
            <w:shd w:val="clear" w:color="auto" w:fill="0B3020"/>
          </w:tcPr>
          <w:p>
            <w:pPr>
              <w:spacing w:after="0"/>
            </w:pPr>
            <w:r>
              <w:rPr>
                <w:b/>
                <w:color w:val="FFFFFF"/>
                <w:sz w:val="16"/>
              </w:rPr>
              <w:t>Élément</w:t>
            </w:r>
          </w:p>
        </w:tc>
        <w:tc>
          <w:tcPr>
            <w:tcW w:type="dxa" w:w="4078"/>
            <w:shd w:val="clear" w:color="auto" w:fill="0B3020"/>
          </w:tcPr>
          <w:p>
            <w:pPr>
              <w:spacing w:after="0"/>
            </w:pPr>
            <w:r>
              <w:rPr>
                <w:b/>
                <w:color w:val="FFFFFF"/>
                <w:sz w:val="16"/>
              </w:rPr>
              <w:t>Fichier</w:t>
            </w:r>
          </w:p>
        </w:tc>
      </w:tr>
      <w:tr>
        <w:tc>
          <w:tcPr>
            <w:tcW w:type="dxa" w:w="5560"/>
          </w:tcPr>
          <w:p>
            <w:pPr>
              <w:spacing w:after="0"/>
            </w:pPr>
            <w:r>
              <w:rPr>
                <w:color w:val="1D1D1D"/>
                <w:sz w:val="16"/>
              </w:rPr>
              <w:t>Classeur</w:t>
            </w:r>
          </w:p>
        </w:tc>
        <w:tc>
          <w:tcPr>
            <w:tcW w:type="dxa" w:w="4078"/>
          </w:tcPr>
          <w:p>
            <w:pPr>
              <w:spacing w:after="0"/>
            </w:pPr>
            <w:r>
              <w:rPr>
                <w:rFonts w:ascii="Courier New" w:hAnsi="Courier New"/>
                <w:color w:val="1D1D1D"/>
                <w:sz w:val="16"/>
              </w:rPr>
              <w:t>model/Bankable_Hydro_Model.xlsx</w:t>
            </w:r>
          </w:p>
        </w:tc>
      </w:tr>
      <w:tr>
        <w:tc>
          <w:tcPr>
            <w:tcW w:type="dxa" w:w="5560"/>
            <w:shd w:val="clear" w:color="auto" w:fill="FAF8F2"/>
          </w:tcPr>
          <w:p>
            <w:pPr>
              <w:spacing w:after="0"/>
            </w:pPr>
            <w:r>
              <w:rPr>
                <w:color w:val="1D1D1D"/>
                <w:sz w:val="16"/>
              </w:rPr>
              <w:t>Générateur (source unique de référence)</w:t>
            </w:r>
          </w:p>
        </w:tc>
        <w:tc>
          <w:tcPr>
            <w:tcW w:type="dxa" w:w="4078"/>
            <w:shd w:val="clear" w:color="auto" w:fill="FAF8F2"/>
          </w:tcPr>
          <w:p>
            <w:pPr>
              <w:spacing w:after="0"/>
            </w:pPr>
            <w:r>
              <w:rPr>
                <w:rFonts w:ascii="Courier New" w:hAnsi="Courier New"/>
                <w:color w:val="1D1D1D"/>
                <w:sz w:val="16"/>
              </w:rPr>
              <w:t>model/build_model.py</w:t>
            </w:r>
          </w:p>
        </w:tc>
      </w:tr>
      <w:tr>
        <w:tc>
          <w:tcPr>
            <w:tcW w:type="dxa" w:w="5560"/>
          </w:tcPr>
          <w:p>
            <w:pPr>
              <w:spacing w:after="0"/>
            </w:pPr>
            <w:r>
              <w:rPr>
                <w:color w:val="1D1D1D"/>
                <w:sz w:val="16"/>
              </w:rPr>
              <w:t>Carte des cellules écrite par le générateur</w:t>
            </w:r>
          </w:p>
        </w:tc>
        <w:tc>
          <w:tcPr>
            <w:tcW w:type="dxa" w:w="4078"/>
          </w:tcPr>
          <w:p>
            <w:pPr>
              <w:spacing w:after="0"/>
            </w:pPr>
            <w:r>
              <w:rPr>
                <w:rFonts w:ascii="Courier New" w:hAnsi="Courier New"/>
                <w:color w:val="1D1D1D"/>
                <w:sz w:val="16"/>
              </w:rPr>
              <w:t>model/model_map.json</w:t>
            </w:r>
          </w:p>
        </w:tc>
      </w:tr>
      <w:tr>
        <w:tc>
          <w:tcPr>
            <w:tcW w:type="dxa" w:w="5560"/>
            <w:shd w:val="clear" w:color="auto" w:fill="FAF8F2"/>
          </w:tcPr>
          <w:p>
            <w:pPr>
              <w:spacing w:after="0"/>
            </w:pPr>
            <w:r>
              <w:rPr>
                <w:color w:val="1D1D1D"/>
                <w:sz w:val="16"/>
              </w:rPr>
              <w:t>Résultats des scénarios sur le moteur complet</w:t>
            </w:r>
          </w:p>
        </w:tc>
        <w:tc>
          <w:tcPr>
            <w:tcW w:type="dxa" w:w="4078"/>
            <w:shd w:val="clear" w:color="auto" w:fill="FAF8F2"/>
          </w:tcPr>
          <w:p>
            <w:pPr>
              <w:spacing w:after="0"/>
            </w:pPr>
            <w:r>
              <w:rPr>
                <w:rFonts w:ascii="Courier New" w:hAnsi="Courier New"/>
                <w:color w:val="1D1D1D"/>
                <w:sz w:val="16"/>
              </w:rPr>
              <w:t>model/snapshot_results.json</w:t>
            </w:r>
          </w:p>
        </w:tc>
      </w:tr>
      <w:tr>
        <w:tc>
          <w:tcPr>
            <w:tcW w:type="dxa" w:w="5560"/>
          </w:tcPr>
          <w:p>
            <w:pPr>
              <w:spacing w:after="0"/>
            </w:pPr>
            <w:r>
              <w:rPr>
                <w:color w:val="1D1D1D"/>
                <w:sz w:val="16"/>
              </w:rPr>
              <w:t>Exécuteur de scénarios</w:t>
            </w:r>
          </w:p>
        </w:tc>
        <w:tc>
          <w:tcPr>
            <w:tcW w:type="dxa" w:w="4078"/>
          </w:tcPr>
          <w:p>
            <w:pPr>
              <w:spacing w:after="0"/>
            </w:pPr>
            <w:r>
              <w:rPr>
                <w:rFonts w:ascii="Courier New" w:hAnsi="Courier New"/>
                <w:color w:val="1D1D1D"/>
                <w:sz w:val="16"/>
              </w:rPr>
              <w:t>tools/run_snapshots.py</w:t>
            </w:r>
          </w:p>
        </w:tc>
      </w:tr>
      <w:tr>
        <w:tc>
          <w:tcPr>
            <w:tcW w:type="dxa" w:w="5560"/>
            <w:shd w:val="clear" w:color="auto" w:fill="FAF8F2"/>
          </w:tcPr>
          <w:p>
            <w:pPr>
              <w:spacing w:after="0"/>
            </w:pPr>
            <w:r>
              <w:rPr>
                <w:color w:val="1D1D1D"/>
                <w:sz w:val="16"/>
              </w:rPr>
              <w:t>Correction des guillemets pour Excel</w:t>
            </w:r>
          </w:p>
        </w:tc>
        <w:tc>
          <w:tcPr>
            <w:tcW w:type="dxa" w:w="4078"/>
            <w:shd w:val="clear" w:color="auto" w:fill="FAF8F2"/>
          </w:tcPr>
          <w:p>
            <w:pPr>
              <w:spacing w:after="0"/>
            </w:pPr>
            <w:r>
              <w:rPr>
                <w:rFonts w:ascii="Courier New" w:hAnsi="Courier New"/>
                <w:color w:val="1D1D1D"/>
                <w:sz w:val="16"/>
              </w:rPr>
              <w:t>tools/model/excel_quote_fix.py</w:t>
            </w:r>
          </w:p>
        </w:tc>
      </w:tr>
      <w:tr>
        <w:tc>
          <w:tcPr>
            <w:tcW w:type="dxa" w:w="5560"/>
          </w:tcPr>
          <w:p>
            <w:pPr>
              <w:spacing w:after="0"/>
            </w:pPr>
            <w:r>
              <w:rPr>
                <w:color w:val="1D1D1D"/>
                <w:sz w:val="16"/>
              </w:rPr>
              <w:t>Contrôle des références circulaires</w:t>
            </w:r>
          </w:p>
        </w:tc>
        <w:tc>
          <w:tcPr>
            <w:tcW w:type="dxa" w:w="4078"/>
          </w:tcPr>
          <w:p>
            <w:pPr>
              <w:spacing w:after="0"/>
            </w:pPr>
            <w:r>
              <w:rPr>
                <w:rFonts w:ascii="Courier New" w:hAnsi="Courier New"/>
                <w:color w:val="1D1D1D"/>
                <w:sz w:val="16"/>
              </w:rPr>
              <w:t>tools/model/check_cycles.py</w:t>
            </w:r>
          </w:p>
        </w:tc>
      </w:tr>
      <w:tr>
        <w:tc>
          <w:tcPr>
            <w:tcW w:type="dxa" w:w="5560"/>
            <w:shd w:val="clear" w:color="auto" w:fill="FAF8F2"/>
          </w:tcPr>
          <w:p>
            <w:pPr>
              <w:spacing w:after="0"/>
            </w:pPr>
            <w:r>
              <w:rPr>
                <w:color w:val="1D1D1D"/>
                <w:sz w:val="16"/>
              </w:rPr>
              <w:t>Rapport de test indépendant</w:t>
            </w:r>
          </w:p>
        </w:tc>
        <w:tc>
          <w:tcPr>
            <w:tcW w:type="dxa" w:w="4078"/>
            <w:shd w:val="clear" w:color="auto" w:fill="FAF8F2"/>
          </w:tcPr>
          <w:p>
            <w:pPr>
              <w:spacing w:after="0"/>
            </w:pPr>
            <w:r>
              <w:rPr>
                <w:rFonts w:ascii="Courier New" w:hAnsi="Courier New"/>
                <w:color w:val="1D1D1D"/>
                <w:sz w:val="16"/>
              </w:rPr>
              <w:t>docs/MODEL7_TEST_REPORT.md</w:t>
            </w:r>
          </w:p>
        </w:tc>
      </w:tr>
      <w:tr>
        <w:tc>
          <w:tcPr>
            <w:tcW w:type="dxa" w:w="5560"/>
          </w:tcPr>
          <w:p>
            <w:pPr>
              <w:spacing w:after="0"/>
            </w:pPr>
            <w:r>
              <w:rPr>
                <w:color w:val="1D1D1D"/>
                <w:sz w:val="16"/>
              </w:rPr>
              <w:t>Synthèse de la validation dans le livre</w:t>
            </w:r>
          </w:p>
        </w:tc>
        <w:tc>
          <w:tcPr>
            <w:tcW w:type="dxa" w:w="4078"/>
          </w:tcPr>
          <w:p>
            <w:pPr>
              <w:spacing w:after="0"/>
            </w:pPr>
            <w:r>
              <w:rPr>
                <w:color w:val="1D1D1D"/>
                <w:sz w:val="16"/>
              </w:rPr>
              <w:t>Livre 7, annexe K</w:t>
            </w:r>
          </w:p>
        </w:tc>
      </w:tr>
    </w:tbl>
    <w:p>
      <w:pPr>
        <w:spacing w:after="40"/>
      </w:pPr>
    </w:p>
    <w:p>
      <w:pPr>
        <w:jc w:val="both"/>
      </w:pPr>
      <w:r>
        <w:rPr/>
        <w:t xml:space="preserve">Ce manuel remplace </w:t>
      </w:r>
      <w:r>
        <w:rPr>
          <w:rFonts w:ascii="Courier New" w:hAnsi="Courier New"/>
        </w:rPr>
        <w:t>manual/USER_MANUAL.md</w:t>
      </w:r>
      <w:r>
        <w:rPr/>
        <w:t xml:space="preserve">, qui décrit un modèle antérieur construit autour du cas Lumora Falls. Chaque nom de feuille, donnée d'entrée, formule et chiffre ci-dessous se rapporte au MODEL 7 actuel et à son cas Kasiri par défaut. Les chiffres présentés comme « cas de base » sont les valeurs du classeur avec les données d'entrée par défaut ; les chiffres présentés comme « instantané » (snapshot) proviennent de </w:t>
      </w:r>
      <w:r>
        <w:rPr>
          <w:rFonts w:ascii="Courier New" w:hAnsi="Courier New"/>
        </w:rPr>
        <w:t>model/snapshot_results.json</w:t>
      </w:r>
      <w:r>
        <w:rPr/>
        <w:t>.</w:t>
      </w:r>
    </w:p>
    <w:p>
      <w:r>
        <w:br w:type="page"/>
      </w:r>
    </w:p>
    <w:p>
      <w:pPr>
        <w:pStyle w:val="Heading1"/>
        <w:pBdr>
          <w:bottom w:val="single" w:sz="12" w:space="4" w:color="B07C0F"/>
        </w:pBdr>
      </w:pPr>
      <w:r>
        <w:t>1. Ce que fait le modèle et sa place par rapport au Livre 7</w:t>
      </w:r>
    </w:p>
    <w:p>
      <w:pPr>
        <w:pStyle w:val="Heading2"/>
      </w:pPr>
      <w:r>
        <w:t>1.1 La question</w:t>
      </w:r>
    </w:p>
    <w:p>
      <w:pPr>
        <w:jc w:val="both"/>
      </w:pPr>
      <w:r>
        <w:rPr/>
        <w:t>Le classeur s'ouvre sur une seule question : ce projet peut-il fournir une électricité bancable sans créer de passifs publics insoutenables ? Le Livre 7 décompose cette question en décisions prises entre le site sur la rivière et le bouclage financier, et MODEL 7 est le moteur qui chiffre chacune de ces décisions.</w:t>
      </w:r>
    </w:p>
    <w:p>
      <w:pPr>
        <w:jc w:val="both"/>
      </w:pPr>
      <w:r>
        <w:rPr/>
        <w:t>Le Livre 7 repose sur trois idées que le modèle reproduit.</w:t>
      </w:r>
    </w:p>
    <w:p>
      <w:pPr>
        <w:spacing w:after="60"/>
        <w:ind w:left="397" w:hanging="397"/>
      </w:pPr>
      <w:r>
        <w:rPr/>
        <w:t>1.</w:t>
        <w:tab/>
        <w:t xml:space="preserve">Un projet hydroélectrique réunit trois investissements dans un seul actif : une option de développement (du site au bouclage), un contrat de construction (du bouclage à la mise en service commerciale) et une rente d'exploitation (de la mise en service commerciale à la fin de la concession). Le modèle valorise chacun d'eux : </w:t>
      </w:r>
      <w:r>
        <w:rPr>
          <w:i/>
        </w:rPr>
        <w:t>01A_DEVELOPMENT</w:t>
      </w:r>
      <w:r>
        <w:rPr/>
        <w:t xml:space="preserve"> pour l'option, </w:t>
      </w:r>
      <w:r>
        <w:rPr>
          <w:i/>
        </w:rPr>
        <w:t>05A_CONTRACTING</w:t>
      </w:r>
      <w:r>
        <w:rPr/>
        <w:t xml:space="preserve">, </w:t>
      </w:r>
      <w:r>
        <w:rPr>
          <w:i/>
        </w:rPr>
        <w:t>05_PLANT_CAPEX</w:t>
      </w:r>
      <w:r>
        <w:rPr/>
        <w:t xml:space="preserve"> et </w:t>
      </w:r>
      <w:r>
        <w:rPr>
          <w:i/>
        </w:rPr>
        <w:t>06_CONSTRUCTION</w:t>
      </w:r>
      <w:r>
        <w:rPr/>
        <w:t xml:space="preserve"> pour la construction, et les feuilles d'exploitation pour la rente.</w:t>
      </w:r>
    </w:p>
    <w:p>
      <w:pPr>
        <w:spacing w:after="60"/>
        <w:ind w:left="397" w:hanging="397"/>
      </w:pPr>
      <w:r>
        <w:rPr/>
        <w:t>2.</w:t>
        <w:tab/>
        <w:t xml:space="preserve">Trois parties doivent chacune accepter le projet : le développeur, les prêteurs et l'État. Le modèle présente côte à côte les indicateurs de chaque partie sur </w:t>
      </w:r>
      <w:r>
        <w:rPr>
          <w:i/>
        </w:rPr>
        <w:t>32_DASHBOARD</w:t>
      </w:r>
      <w:r>
        <w:rPr/>
        <w:t>.</w:t>
      </w:r>
    </w:p>
    <w:p>
      <w:pPr>
        <w:spacing w:after="60"/>
        <w:ind w:left="397" w:hanging="397"/>
      </w:pPr>
      <w:r>
        <w:rPr/>
        <w:t>3.</w:t>
        <w:tab/>
        <w:t xml:space="preserve">Le Hydro Readiness Framework pose huit questions, testées par 23 portes de bouclage financier, et aboutit à une seule décision de bouclage. Le modèle applique les 23 portes sur </w:t>
      </w:r>
      <w:r>
        <w:rPr>
          <w:i/>
        </w:rPr>
        <w:t>30A_CLOSE_READINESS</w:t>
      </w:r>
      <w:r>
        <w:rPr/>
        <w:t xml:space="preserve"> et les rattache au livre sur </w:t>
      </w:r>
      <w:r>
        <w:rPr>
          <w:i/>
        </w:rPr>
        <w:t>34_FRAMEWORK_MAP</w:t>
      </w:r>
      <w:r>
        <w:rPr/>
        <w:t>.</w:t>
      </w:r>
    </w:p>
    <w:tbl>
      <w:tblPr>
        <w:tblStyle w:val="TableGrid"/>
        <w:tblW w:type="auto" w:w="0"/>
        <w:jc w:val="center"/>
        <w:tblLook w:firstColumn="1" w:firstRow="1" w:lastColumn="0" w:lastRow="0" w:noHBand="0" w:noVBand="1" w:val="04A0"/>
      </w:tblPr>
      <w:tblGrid>
        <w:gridCol w:w="3213"/>
        <w:gridCol w:w="3213"/>
        <w:gridCol w:w="3213"/>
      </w:tblGrid>
      <w:tr>
        <w:tc>
          <w:tcPr>
            <w:tcW w:type="dxa" w:w="4636"/>
            <w:shd w:val="clear" w:color="auto" w:fill="0B3020"/>
          </w:tcPr>
          <w:p>
            <w:pPr>
              <w:spacing w:after="0"/>
            </w:pPr>
            <w:r>
              <w:rPr>
                <w:b/>
                <w:color w:val="FFFFFF"/>
                <w:sz w:val="16"/>
              </w:rPr>
              <w:t>Question</w:t>
            </w:r>
          </w:p>
        </w:tc>
        <w:tc>
          <w:tcPr>
            <w:tcW w:type="dxa" w:w="3294"/>
            <w:shd w:val="clear" w:color="auto" w:fill="0B3020"/>
          </w:tcPr>
          <w:p>
            <w:pPr>
              <w:spacing w:after="0"/>
            </w:pPr>
            <w:r>
              <w:rPr>
                <w:b/>
                <w:color w:val="FFFFFF"/>
                <w:sz w:val="16"/>
              </w:rPr>
              <w:t>Doit être acceptée par</w:t>
            </w:r>
          </w:p>
        </w:tc>
        <w:tc>
          <w:tcPr>
            <w:tcW w:type="dxa" w:w="1708"/>
            <w:shd w:val="clear" w:color="auto" w:fill="0B3020"/>
          </w:tcPr>
          <w:p>
            <w:pPr>
              <w:spacing w:after="0"/>
            </w:pPr>
            <w:r>
              <w:rPr>
                <w:b/>
                <w:color w:val="FFFFFF"/>
                <w:sz w:val="16"/>
              </w:rPr>
              <w:t>Portes sur 30A</w:t>
            </w:r>
          </w:p>
        </w:tc>
      </w:tr>
      <w:tr>
        <w:tc>
          <w:tcPr>
            <w:tcW w:type="dxa" w:w="4636"/>
          </w:tcPr>
          <w:p>
            <w:pPr>
              <w:spacing w:after="0"/>
            </w:pPr>
            <w:r>
              <w:rPr>
                <w:color w:val="1D1D1D"/>
                <w:sz w:val="16"/>
              </w:rPr>
              <w:t>Q1 Techniquement viable</w:t>
            </w:r>
          </w:p>
        </w:tc>
        <w:tc>
          <w:tcPr>
            <w:tcW w:type="dxa" w:w="3294"/>
          </w:tcPr>
          <w:p>
            <w:pPr>
              <w:spacing w:after="0"/>
            </w:pPr>
            <w:r>
              <w:rPr>
                <w:color w:val="1D1D1D"/>
                <w:sz w:val="16"/>
              </w:rPr>
              <w:t>Développeur, prêteurs</w:t>
            </w:r>
          </w:p>
        </w:tc>
        <w:tc>
          <w:tcPr>
            <w:tcW w:type="dxa" w:w="1708"/>
          </w:tcPr>
          <w:p>
            <w:pPr>
              <w:spacing w:after="0"/>
            </w:pPr>
            <w:r>
              <w:rPr>
                <w:color w:val="1D1D1D"/>
                <w:sz w:val="16"/>
              </w:rPr>
              <w:t>1 à 4</w:t>
            </w:r>
          </w:p>
        </w:tc>
      </w:tr>
      <w:tr>
        <w:tc>
          <w:tcPr>
            <w:tcW w:type="dxa" w:w="4636"/>
            <w:shd w:val="clear" w:color="auto" w:fill="FAF8F2"/>
          </w:tcPr>
          <w:p>
            <w:pPr>
              <w:spacing w:after="0"/>
            </w:pPr>
            <w:r>
              <w:rPr>
                <w:color w:val="1D1D1D"/>
                <w:sz w:val="16"/>
              </w:rPr>
              <w:t>Q2 Développable</w:t>
            </w:r>
          </w:p>
        </w:tc>
        <w:tc>
          <w:tcPr>
            <w:tcW w:type="dxa" w:w="3294"/>
            <w:shd w:val="clear" w:color="auto" w:fill="FAF8F2"/>
          </w:tcPr>
          <w:p>
            <w:pPr>
              <w:spacing w:after="0"/>
            </w:pPr>
            <w:r>
              <w:rPr>
                <w:color w:val="1D1D1D"/>
                <w:sz w:val="16"/>
              </w:rPr>
              <w:t>Développeur, État</w:t>
            </w:r>
          </w:p>
        </w:tc>
        <w:tc>
          <w:tcPr>
            <w:tcW w:type="dxa" w:w="1708"/>
            <w:shd w:val="clear" w:color="auto" w:fill="FAF8F2"/>
          </w:tcPr>
          <w:p>
            <w:pPr>
              <w:spacing w:after="0"/>
            </w:pPr>
            <w:r>
              <w:rPr>
                <w:color w:val="1D1D1D"/>
                <w:sz w:val="16"/>
              </w:rPr>
              <w:t>5 à 10</w:t>
            </w:r>
          </w:p>
        </w:tc>
      </w:tr>
      <w:tr>
        <w:tc>
          <w:tcPr>
            <w:tcW w:type="dxa" w:w="4636"/>
          </w:tcPr>
          <w:p>
            <w:pPr>
              <w:spacing w:after="0"/>
            </w:pPr>
            <w:r>
              <w:rPr>
                <w:color w:val="1D1D1D"/>
                <w:sz w:val="16"/>
              </w:rPr>
              <w:t>Q3 Économique pour le système</w:t>
            </w:r>
          </w:p>
        </w:tc>
        <w:tc>
          <w:tcPr>
            <w:tcW w:type="dxa" w:w="3294"/>
          </w:tcPr>
          <w:p>
            <w:pPr>
              <w:spacing w:after="0"/>
            </w:pPr>
            <w:r>
              <w:rPr>
                <w:color w:val="1D1D1D"/>
                <w:sz w:val="16"/>
              </w:rPr>
              <w:t>État</w:t>
            </w:r>
          </w:p>
        </w:tc>
        <w:tc>
          <w:tcPr>
            <w:tcW w:type="dxa" w:w="1708"/>
          </w:tcPr>
          <w:p>
            <w:pPr>
              <w:spacing w:after="0"/>
            </w:pPr>
            <w:r>
              <w:rPr>
                <w:color w:val="1D1D1D"/>
                <w:sz w:val="16"/>
              </w:rPr>
              <w:t>11, 12</w:t>
            </w:r>
          </w:p>
        </w:tc>
      </w:tr>
      <w:tr>
        <w:tc>
          <w:tcPr>
            <w:tcW w:type="dxa" w:w="4636"/>
            <w:shd w:val="clear" w:color="auto" w:fill="FAF8F2"/>
          </w:tcPr>
          <w:p>
            <w:pPr>
              <w:spacing w:after="0"/>
            </w:pPr>
            <w:r>
              <w:rPr>
                <w:color w:val="1D1D1D"/>
                <w:sz w:val="16"/>
              </w:rPr>
              <w:t>Q4 Investissable pour le développeur</w:t>
            </w:r>
          </w:p>
        </w:tc>
        <w:tc>
          <w:tcPr>
            <w:tcW w:type="dxa" w:w="3294"/>
            <w:shd w:val="clear" w:color="auto" w:fill="FAF8F2"/>
          </w:tcPr>
          <w:p>
            <w:pPr>
              <w:spacing w:after="0"/>
            </w:pPr>
            <w:r>
              <w:rPr>
                <w:color w:val="1D1D1D"/>
                <w:sz w:val="16"/>
              </w:rPr>
              <w:t>Développeur</w:t>
            </w:r>
          </w:p>
        </w:tc>
        <w:tc>
          <w:tcPr>
            <w:tcW w:type="dxa" w:w="1708"/>
            <w:shd w:val="clear" w:color="auto" w:fill="FAF8F2"/>
          </w:tcPr>
          <w:p>
            <w:pPr>
              <w:spacing w:after="0"/>
            </w:pPr>
            <w:r>
              <w:rPr>
                <w:color w:val="1D1D1D"/>
                <w:sz w:val="16"/>
              </w:rPr>
              <w:t>19</w:t>
            </w:r>
          </w:p>
        </w:tc>
      </w:tr>
      <w:tr>
        <w:tc>
          <w:tcPr>
            <w:tcW w:type="dxa" w:w="4636"/>
          </w:tcPr>
          <w:p>
            <w:pPr>
              <w:spacing w:after="0"/>
            </w:pPr>
            <w:r>
              <w:rPr>
                <w:color w:val="1D1D1D"/>
                <w:sz w:val="16"/>
              </w:rPr>
              <w:t>Q5 Bancable</w:t>
            </w:r>
          </w:p>
        </w:tc>
        <w:tc>
          <w:tcPr>
            <w:tcW w:type="dxa" w:w="3294"/>
          </w:tcPr>
          <w:p>
            <w:pPr>
              <w:spacing w:after="0"/>
            </w:pPr>
            <w:r>
              <w:rPr>
                <w:color w:val="1D1D1D"/>
                <w:sz w:val="16"/>
              </w:rPr>
              <w:t>Prêteurs</w:t>
            </w:r>
          </w:p>
        </w:tc>
        <w:tc>
          <w:tcPr>
            <w:tcW w:type="dxa" w:w="1708"/>
          </w:tcPr>
          <w:p>
            <w:pPr>
              <w:spacing w:after="0"/>
            </w:pPr>
            <w:r>
              <w:rPr>
                <w:color w:val="1D1D1D"/>
                <w:sz w:val="16"/>
              </w:rPr>
              <w:t>17, 18, 20, 23</w:t>
            </w:r>
          </w:p>
        </w:tc>
      </w:tr>
      <w:tr>
        <w:tc>
          <w:tcPr>
            <w:tcW w:type="dxa" w:w="4636"/>
            <w:shd w:val="clear" w:color="auto" w:fill="FAF8F2"/>
          </w:tcPr>
          <w:p>
            <w:pPr>
              <w:spacing w:after="0"/>
            </w:pPr>
            <w:r>
              <w:rPr>
                <w:color w:val="1D1D1D"/>
                <w:sz w:val="16"/>
              </w:rPr>
              <w:t>Q6 Constructible dans le budget</w:t>
            </w:r>
          </w:p>
        </w:tc>
        <w:tc>
          <w:tcPr>
            <w:tcW w:type="dxa" w:w="3294"/>
            <w:shd w:val="clear" w:color="auto" w:fill="FAF8F2"/>
          </w:tcPr>
          <w:p>
            <w:pPr>
              <w:spacing w:after="0"/>
            </w:pPr>
            <w:r>
              <w:rPr>
                <w:color w:val="1D1D1D"/>
                <w:sz w:val="16"/>
              </w:rPr>
              <w:t>Développeur, prêteurs</w:t>
            </w:r>
          </w:p>
        </w:tc>
        <w:tc>
          <w:tcPr>
            <w:tcW w:type="dxa" w:w="1708"/>
            <w:shd w:val="clear" w:color="auto" w:fill="FAF8F2"/>
          </w:tcPr>
          <w:p>
            <w:pPr>
              <w:spacing w:after="0"/>
            </w:pPr>
            <w:r>
              <w:rPr>
                <w:color w:val="1D1D1D"/>
                <w:sz w:val="16"/>
              </w:rPr>
              <w:t>13, 14, 22</w:t>
            </w:r>
          </w:p>
        </w:tc>
      </w:tr>
      <w:tr>
        <w:tc>
          <w:tcPr>
            <w:tcW w:type="dxa" w:w="4636"/>
          </w:tcPr>
          <w:p>
            <w:pPr>
              <w:spacing w:after="0"/>
            </w:pPr>
            <w:r>
              <w:rPr>
                <w:color w:val="1D1D1D"/>
                <w:sz w:val="16"/>
              </w:rPr>
              <w:t>Q7 Abordable pour l'acheteur et l'État</w:t>
            </w:r>
          </w:p>
        </w:tc>
        <w:tc>
          <w:tcPr>
            <w:tcW w:type="dxa" w:w="3294"/>
          </w:tcPr>
          <w:p>
            <w:pPr>
              <w:spacing w:after="0"/>
            </w:pPr>
            <w:r>
              <w:rPr>
                <w:color w:val="1D1D1D"/>
                <w:sz w:val="16"/>
              </w:rPr>
              <w:t>État</w:t>
            </w:r>
          </w:p>
        </w:tc>
        <w:tc>
          <w:tcPr>
            <w:tcW w:type="dxa" w:w="1708"/>
          </w:tcPr>
          <w:p>
            <w:pPr>
              <w:spacing w:after="0"/>
            </w:pPr>
            <w:r>
              <w:rPr>
                <w:color w:val="1D1D1D"/>
                <w:sz w:val="16"/>
              </w:rPr>
              <w:t>15, 16, 21</w:t>
            </w:r>
          </w:p>
        </w:tc>
      </w:tr>
      <w:tr>
        <w:tc>
          <w:tcPr>
            <w:tcW w:type="dxa" w:w="4636"/>
            <w:shd w:val="clear" w:color="auto" w:fill="FAF8F2"/>
          </w:tcPr>
          <w:p>
            <w:pPr>
              <w:spacing w:after="0"/>
            </w:pPr>
            <w:r>
              <w:rPr>
                <w:color w:val="1D1D1D"/>
                <w:sz w:val="16"/>
              </w:rPr>
              <w:t>Q8 Prêt pour le bouclage</w:t>
            </w:r>
          </w:p>
        </w:tc>
        <w:tc>
          <w:tcPr>
            <w:tcW w:type="dxa" w:w="3294"/>
            <w:shd w:val="clear" w:color="auto" w:fill="FAF8F2"/>
          </w:tcPr>
          <w:p>
            <w:pPr>
              <w:spacing w:after="0"/>
            </w:pPr>
            <w:r>
              <w:rPr>
                <w:color w:val="1D1D1D"/>
                <w:sz w:val="16"/>
              </w:rPr>
              <w:t>Développeur, prêteurs, État</w:t>
            </w:r>
          </w:p>
        </w:tc>
        <w:tc>
          <w:tcPr>
            <w:tcW w:type="dxa" w:w="1708"/>
            <w:shd w:val="clear" w:color="auto" w:fill="FAF8F2"/>
          </w:tcPr>
          <w:p>
            <w:pPr>
              <w:spacing w:after="0"/>
            </w:pPr>
            <w:r>
              <w:rPr>
                <w:color w:val="1D1D1D"/>
                <w:sz w:val="16"/>
              </w:rPr>
              <w:t>Les 23</w:t>
            </w:r>
          </w:p>
        </w:tc>
      </w:tr>
    </w:tbl>
    <w:p>
      <w:pPr>
        <w:spacing w:after="40"/>
      </w:pPr>
    </w:p>
    <w:p>
      <w:pPr>
        <w:pStyle w:val="Heading2"/>
      </w:pPr>
      <w:r>
        <w:t>1.2 Le moteur</w:t>
      </w:r>
    </w:p>
    <w:p>
      <w:pPr>
        <w:jc w:val="both"/>
      </w:pPr>
      <w:r>
        <w:rPr/>
        <w:t>Le classeur est un moteur unique et intégré qui s'exécute dans cet ordre : ressource hydraulique, centrale, transport, réseau, demande, compagnie d'électricité, régulation, CAE, financement, structure PPP ou PIE, soutien de l'État, exposition budgétaire et, enfin, les deux niveaux de portes. Toute modification, où qu'elle intervienne, se répercute sur tous les maillons suivants.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Propriété</w:t>
            </w:r>
          </w:p>
        </w:tc>
        <w:tc>
          <w:tcPr>
            <w:tcW w:type="dxa" w:w="4819"/>
            <w:shd w:val="clear" w:color="auto" w:fill="0B3020"/>
          </w:tcPr>
          <w:p>
            <w:pPr>
              <w:spacing w:after="0"/>
            </w:pPr>
            <w:r>
              <w:rPr>
                <w:b/>
                <w:color w:val="FFFFFF"/>
                <w:sz w:val="16"/>
              </w:rPr>
              <w:t>MODEL 7</w:t>
            </w:r>
          </w:p>
        </w:tc>
      </w:tr>
      <w:tr>
        <w:tc>
          <w:tcPr>
            <w:tcW w:type="dxa" w:w="4819"/>
          </w:tcPr>
          <w:p>
            <w:pPr>
              <w:spacing w:after="0"/>
            </w:pPr>
            <w:r>
              <w:rPr>
                <w:color w:val="1D1D1D"/>
                <w:sz w:val="16"/>
              </w:rPr>
              <w:t>Feuilles</w:t>
            </w:r>
          </w:p>
        </w:tc>
        <w:tc>
          <w:tcPr>
            <w:tcW w:type="dxa" w:w="4819"/>
          </w:tcPr>
          <w:p>
            <w:pPr>
              <w:spacing w:after="0"/>
            </w:pPr>
            <w:r>
              <w:rPr>
                <w:color w:val="1D1D1D"/>
                <w:sz w:val="16"/>
              </w:rPr>
              <w:t>40</w:t>
            </w:r>
          </w:p>
        </w:tc>
      </w:tr>
      <w:tr>
        <w:tc>
          <w:tcPr>
            <w:tcW w:type="dxa" w:w="4819"/>
            <w:shd w:val="clear" w:color="auto" w:fill="FAF8F2"/>
          </w:tcPr>
          <w:p>
            <w:pPr>
              <w:spacing w:after="0"/>
            </w:pPr>
            <w:r>
              <w:rPr>
                <w:color w:val="1D1D1D"/>
                <w:sz w:val="16"/>
              </w:rPr>
              <w:t>Formules actives</w:t>
            </w:r>
          </w:p>
        </w:tc>
        <w:tc>
          <w:tcPr>
            <w:tcW w:type="dxa" w:w="4819"/>
            <w:shd w:val="clear" w:color="auto" w:fill="FAF8F2"/>
          </w:tcPr>
          <w:p>
            <w:pPr>
              <w:spacing w:after="0"/>
            </w:pPr>
            <w:r>
              <w:rPr>
                <w:color w:val="1D1D1D"/>
                <w:sz w:val="16"/>
              </w:rPr>
              <w:t>environ 11 260</w:t>
            </w:r>
          </w:p>
        </w:tc>
      </w:tr>
      <w:tr>
        <w:tc>
          <w:tcPr>
            <w:tcW w:type="dxa" w:w="4819"/>
          </w:tcPr>
          <w:p>
            <w:pPr>
              <w:spacing w:after="0"/>
            </w:pPr>
            <w:r>
              <w:rPr>
                <w:color w:val="1D1D1D"/>
                <w:sz w:val="16"/>
              </w:rPr>
              <w:t>Périodicité</w:t>
            </w:r>
          </w:p>
        </w:tc>
        <w:tc>
          <w:tcPr>
            <w:tcW w:type="dxa" w:w="4819"/>
          </w:tcPr>
          <w:p>
            <w:pPr>
              <w:spacing w:after="0"/>
            </w:pPr>
            <w:r>
              <w:rPr>
                <w:color w:val="1D1D1D"/>
                <w:sz w:val="16"/>
              </w:rPr>
              <w:t xml:space="preserve">Annuelle, 40 périodes (t = 1 à 40), plus dix colonnes d'années de développement sur </w:t>
            </w:r>
            <w:r>
              <w:rPr>
                <w:i/>
                <w:color w:val="1D1D1D"/>
                <w:sz w:val="16"/>
              </w:rPr>
              <w:t>01A_DEVELOPMENT</w:t>
            </w:r>
          </w:p>
        </w:tc>
      </w:tr>
      <w:tr>
        <w:tc>
          <w:tcPr>
            <w:tcW w:type="dxa" w:w="4819"/>
            <w:shd w:val="clear" w:color="auto" w:fill="FAF8F2"/>
          </w:tcPr>
          <w:p>
            <w:pPr>
              <w:spacing w:after="0"/>
            </w:pPr>
            <w:r>
              <w:rPr>
                <w:color w:val="1D1D1D"/>
                <w:sz w:val="16"/>
              </w:rPr>
              <w:t>Macros, tables de données, noms définis, fonctions volatiles, liens externes</w:t>
            </w:r>
          </w:p>
        </w:tc>
        <w:tc>
          <w:tcPr>
            <w:tcW w:type="dxa" w:w="4819"/>
            <w:shd w:val="clear" w:color="auto" w:fill="FAF8F2"/>
          </w:tcPr>
          <w:p>
            <w:pPr>
              <w:spacing w:after="0"/>
            </w:pPr>
            <w:r>
              <w:rPr>
                <w:color w:val="1D1D1D"/>
                <w:sz w:val="16"/>
              </w:rPr>
              <w:t>Aucun</w:t>
            </w:r>
          </w:p>
        </w:tc>
      </w:tr>
      <w:tr>
        <w:tc>
          <w:tcPr>
            <w:tcW w:type="dxa" w:w="4819"/>
          </w:tcPr>
          <w:p>
            <w:pPr>
              <w:spacing w:after="0"/>
            </w:pPr>
            <w:r>
              <w:rPr>
                <w:color w:val="1D1D1D"/>
                <w:sz w:val="16"/>
              </w:rPr>
              <w:t>Références circulaires</w:t>
            </w:r>
          </w:p>
        </w:tc>
        <w:tc>
          <w:tcPr>
            <w:tcW w:type="dxa" w:w="4819"/>
          </w:tcPr>
          <w:p>
            <w:pPr>
              <w:spacing w:after="0"/>
            </w:pPr>
            <w:r>
              <w:rPr>
                <w:color w:val="1D1D1D"/>
                <w:sz w:val="16"/>
              </w:rPr>
              <w:t xml:space="preserve">Aucune (contrôlées avec </w:t>
            </w:r>
            <w:r>
              <w:rPr>
                <w:rFonts w:ascii="Courier New" w:hAnsi="Courier New"/>
                <w:color w:val="1D1D1D"/>
                <w:sz w:val="16"/>
              </w:rPr>
              <w:t>tools/model/check_cycles.py</w:t>
            </w:r>
            <w:r>
              <w:rPr>
                <w:color w:val="1D1D1D"/>
                <w:sz w:val="16"/>
              </w:rPr>
              <w:t>)</w:t>
            </w:r>
          </w:p>
        </w:tc>
      </w:tr>
      <w:tr>
        <w:tc>
          <w:tcPr>
            <w:tcW w:type="dxa" w:w="4819"/>
            <w:shd w:val="clear" w:color="auto" w:fill="FAF8F2"/>
          </w:tcPr>
          <w:p>
            <w:pPr>
              <w:spacing w:after="0"/>
            </w:pPr>
            <w:r>
              <w:rPr>
                <w:color w:val="1D1D1D"/>
                <w:sz w:val="16"/>
              </w:rPr>
              <w:t>Tableaux de scénarios</w:t>
            </w:r>
          </w:p>
        </w:tc>
        <w:tc>
          <w:tcPr>
            <w:tcW w:type="dxa" w:w="4819"/>
            <w:shd w:val="clear" w:color="auto" w:fill="FAF8F2"/>
          </w:tcPr>
          <w:p>
            <w:pPr>
              <w:spacing w:after="0"/>
            </w:pPr>
            <w:r>
              <w:rPr>
                <w:color w:val="1D1D1D"/>
                <w:sz w:val="16"/>
              </w:rPr>
              <w:t xml:space="preserve">Écrits sous forme de valeurs fixes par </w:t>
            </w:r>
            <w:r>
              <w:rPr>
                <w:rFonts w:ascii="Courier New" w:hAnsi="Courier New"/>
                <w:color w:val="1D1D1D"/>
                <w:sz w:val="16"/>
              </w:rPr>
              <w:t>tools/run_snapshots.py</w:t>
            </w:r>
          </w:p>
        </w:tc>
      </w:tr>
    </w:tbl>
    <w:p>
      <w:pPr>
        <w:spacing w:after="40"/>
      </w:pPr>
    </w:p>
    <w:p>
      <w:pPr>
        <w:pStyle w:val="Heading2"/>
      </w:pPr>
      <w:r>
        <w:t>1.3 Le cas Kasiri</w:t>
      </w:r>
    </w:p>
    <w:p>
      <w:pPr>
        <w:jc w:val="both"/>
      </w:pPr>
      <w:r>
        <w:rPr/>
        <w:t>Le projet de référence est Kasiri River Hydro, une centrale au fil de l'eau de 60 MW avec une petite retenue journalière, sur la rivière Kasiri (fictive), dans la République de Navaria (fictive). Dans le Livre 7, il est développé par la société fictive Tamarind Hydro Ltd. L'acheteur est la société publique fictive Navaria Electricity Company. Toutes les données d'entrée sont illustratives : elles sont choisies pour rendre les mécanismes visibles et pour rester dans les fourchettes relevées dans des sources publiques. Remplacez toutes les données d'entrée avant d'utiliser le modèle sur un projet réel. L'aménagement de Lumora Falls, qui apparaît dans le Livre 7 comme point de comparaison, ne figure pas dans le classeur.</w:t>
      </w:r>
    </w:p>
    <w:p>
      <w:pPr>
        <w:pStyle w:val="Heading2"/>
      </w:pPr>
      <w:r>
        <w:t>1.4 Versions</w:t>
      </w:r>
    </w:p>
    <w:tbl>
      <w:tblPr>
        <w:tblStyle w:val="TableGrid"/>
        <w:tblW w:type="auto" w:w="0"/>
        <w:jc w:val="center"/>
        <w:tblLook w:firstColumn="1" w:firstRow="1" w:lastColumn="0" w:lastRow="0" w:noHBand="0" w:noVBand="1" w:val="04A0"/>
      </w:tblPr>
      <w:tblGrid>
        <w:gridCol w:w="4819"/>
        <w:gridCol w:w="4819"/>
      </w:tblGrid>
      <w:tr>
        <w:tc>
          <w:tcPr>
            <w:tcW w:type="dxa" w:w="5257"/>
            <w:shd w:val="clear" w:color="auto" w:fill="0B3020"/>
          </w:tcPr>
          <w:p>
            <w:pPr>
              <w:spacing w:after="0"/>
            </w:pPr>
            <w:r>
              <w:rPr>
                <w:b/>
                <w:color w:val="FFFFFF"/>
                <w:sz w:val="16"/>
              </w:rPr>
              <w:t>Produit</w:t>
            </w:r>
          </w:p>
        </w:tc>
        <w:tc>
          <w:tcPr>
            <w:tcW w:type="dxa" w:w="4381"/>
            <w:shd w:val="clear" w:color="auto" w:fill="0B3020"/>
          </w:tcPr>
          <w:p>
            <w:pPr>
              <w:spacing w:after="0"/>
            </w:pPr>
            <w:r>
              <w:rPr>
                <w:b/>
                <w:color w:val="FFFFFF"/>
                <w:sz w:val="16"/>
              </w:rPr>
              <w:t>Version</w:t>
            </w:r>
          </w:p>
        </w:tc>
      </w:tr>
      <w:tr>
        <w:tc>
          <w:tcPr>
            <w:tcW w:type="dxa" w:w="5257"/>
          </w:tcPr>
          <w:p>
            <w:pPr>
              <w:spacing w:after="0"/>
            </w:pPr>
            <w:r>
              <w:rPr>
                <w:color w:val="1D1D1D"/>
                <w:sz w:val="16"/>
              </w:rPr>
              <w:t>Livre 7</w:t>
            </w:r>
          </w:p>
        </w:tc>
        <w:tc>
          <w:tcPr>
            <w:tcW w:type="dxa" w:w="4381"/>
          </w:tcPr>
          <w:p>
            <w:pPr>
              <w:spacing w:after="0"/>
            </w:pPr>
            <w:r>
              <w:rPr>
                <w:color w:val="1D1D1D"/>
                <w:sz w:val="16"/>
              </w:rPr>
              <w:t>v1.0, version candidate 1</w:t>
            </w:r>
          </w:p>
        </w:tc>
      </w:tr>
      <w:tr>
        <w:tc>
          <w:tcPr>
            <w:tcW w:type="dxa" w:w="5257"/>
            <w:shd w:val="clear" w:color="auto" w:fill="FAF8F2"/>
          </w:tcPr>
          <w:p>
            <w:pPr>
              <w:spacing w:after="0"/>
            </w:pPr>
            <w:r>
              <w:rPr>
                <w:color w:val="1D1D1D"/>
                <w:sz w:val="16"/>
              </w:rPr>
              <w:t>MODEL 7</w:t>
            </w:r>
          </w:p>
        </w:tc>
        <w:tc>
          <w:tcPr>
            <w:tcW w:type="dxa" w:w="4381"/>
            <w:shd w:val="clear" w:color="auto" w:fill="FAF8F2"/>
          </w:tcPr>
          <w:p>
            <w:pPr>
              <w:spacing w:after="0"/>
            </w:pPr>
            <w:r>
              <w:rPr>
                <w:color w:val="1D1D1D"/>
                <w:sz w:val="16"/>
              </w:rPr>
              <w:t>v1.0, version candidate 1</w:t>
            </w:r>
          </w:p>
        </w:tc>
      </w:tr>
      <w:tr>
        <w:tc>
          <w:tcPr>
            <w:tcW w:type="dxa" w:w="5257"/>
          </w:tcPr>
          <w:p>
            <w:pPr>
              <w:spacing w:after="0"/>
            </w:pPr>
            <w:r>
              <w:rPr>
                <w:color w:val="1D1D1D"/>
                <w:sz w:val="16"/>
              </w:rPr>
              <w:t>MANUAL 7 (le présent document)</w:t>
            </w:r>
          </w:p>
        </w:tc>
        <w:tc>
          <w:tcPr>
            <w:tcW w:type="dxa" w:w="4381"/>
          </w:tcPr>
          <w:p>
            <w:pPr>
              <w:spacing w:after="0"/>
            </w:pPr>
            <w:r>
              <w:rPr>
                <w:color w:val="1D1D1D"/>
                <w:sz w:val="16"/>
              </w:rPr>
              <w:t>v1.0, version candidate 1</w:t>
            </w:r>
          </w:p>
        </w:tc>
      </w:tr>
      <w:tr>
        <w:tc>
          <w:tcPr>
            <w:tcW w:type="dxa" w:w="5257"/>
            <w:shd w:val="clear" w:color="auto" w:fill="FAF8F2"/>
          </w:tcPr>
          <w:p>
            <w:pPr>
              <w:spacing w:after="0"/>
            </w:pPr>
            <w:r>
              <w:rPr>
                <w:color w:val="1D1D1D"/>
                <w:sz w:val="16"/>
              </w:rPr>
              <w:t>Cas 7 (Kasiri River Hydro)</w:t>
            </w:r>
          </w:p>
        </w:tc>
        <w:tc>
          <w:tcPr>
            <w:tcW w:type="dxa" w:w="4381"/>
            <w:shd w:val="clear" w:color="auto" w:fill="FAF8F2"/>
          </w:tcPr>
          <w:p>
            <w:pPr>
              <w:spacing w:after="0"/>
            </w:pPr>
            <w:r>
              <w:rPr>
                <w:color w:val="1D1D1D"/>
                <w:sz w:val="16"/>
              </w:rPr>
              <w:t>v1.0, version candidate 1</w:t>
            </w:r>
          </w:p>
        </w:tc>
      </w:tr>
    </w:tbl>
    <w:p>
      <w:pPr>
        <w:spacing w:after="40"/>
      </w:pPr>
    </w:p>
    <w:p>
      <w:pPr>
        <w:jc w:val="both"/>
      </w:pPr>
      <w:r>
        <w:rPr/>
        <w:t xml:space="preserve">La version 1.0 sera arrêtée une fois le classeur testé dans Microsoft Excel et les points ouverts de </w:t>
      </w:r>
      <w:r>
        <w:rPr>
          <w:rFonts w:ascii="Courier New" w:hAnsi="Courier New"/>
        </w:rPr>
        <w:t>docs/BOOK7_V04_QA_SUMMARY.md</w:t>
      </w:r>
      <w:r>
        <w:rPr/>
        <w:t xml:space="preserve"> clos (</w:t>
      </w:r>
      <w:r>
        <w:rPr>
          <w:i/>
        </w:rPr>
        <w:t>00_README</w:t>
      </w:r>
      <w:r>
        <w:rPr/>
        <w:t xml:space="preserve">, rubrique </w:t>
      </w:r>
      <w:r>
        <w:rPr>
          <w:i/>
        </w:rPr>
        <w:t>"Versions"</w:t>
      </w:r>
      <w:r>
        <w:rPr/>
        <w:t>).</w:t>
      </w:r>
    </w:p>
    <w:p>
      <w:pPr>
        <w:jc w:val="both"/>
      </w:pPr>
      <w:r>
        <w:rPr/>
        <w:t>Rien dans le modèle ni dans ce manuel ne constitue un conseil en investissement, ni un conseil juridique, fiscal ou comptable.</w:t>
      </w:r>
    </w:p>
    <w:p>
      <w:r>
        <w:br w:type="page"/>
      </w:r>
    </w:p>
    <w:p>
      <w:pPr>
        <w:pStyle w:val="Heading1"/>
        <w:pBdr>
          <w:bottom w:val="single" w:sz="12" w:space="4" w:color="B07C0F"/>
        </w:pBdr>
      </w:pPr>
      <w:r>
        <w:t>2. Conventions</w:t>
      </w:r>
    </w:p>
    <w:p>
      <w:pPr>
        <w:pStyle w:val="Heading2"/>
      </w:pPr>
      <w:r>
        <w:t>2.1 Couleurs et formats</w:t>
      </w:r>
    </w:p>
    <w:tbl>
      <w:tblPr>
        <w:tblStyle w:val="TableGrid"/>
        <w:tblW w:type="auto" w:w="0"/>
        <w:jc w:val="center"/>
        <w:tblLook w:firstColumn="1" w:firstRow="1" w:lastColumn="0" w:lastRow="0" w:noHBand="0" w:noVBand="1" w:val="04A0"/>
      </w:tblPr>
      <w:tblGrid>
        <w:gridCol w:w="4819"/>
        <w:gridCol w:w="4819"/>
      </w:tblGrid>
      <w:tr>
        <w:tc>
          <w:tcPr>
            <w:tcW w:type="dxa" w:w="2703"/>
            <w:shd w:val="clear" w:color="auto" w:fill="0B3020"/>
          </w:tcPr>
          <w:p>
            <w:pPr>
              <w:spacing w:after="0"/>
            </w:pPr>
            <w:r>
              <w:rPr>
                <w:b/>
                <w:color w:val="FFFFFF"/>
                <w:sz w:val="16"/>
              </w:rPr>
              <w:t>Convention</w:t>
            </w:r>
          </w:p>
        </w:tc>
        <w:tc>
          <w:tcPr>
            <w:tcW w:type="dxa" w:w="6935"/>
            <w:shd w:val="clear" w:color="auto" w:fill="0B3020"/>
          </w:tcPr>
          <w:p>
            <w:pPr>
              <w:spacing w:after="0"/>
            </w:pPr>
            <w:r>
              <w:rPr>
                <w:b/>
                <w:color w:val="FFFFFF"/>
                <w:sz w:val="16"/>
              </w:rPr>
              <w:t>Signification</w:t>
            </w:r>
          </w:p>
        </w:tc>
      </w:tr>
      <w:tr>
        <w:tc>
          <w:tcPr>
            <w:tcW w:type="dxa" w:w="2703"/>
          </w:tcPr>
          <w:p>
            <w:pPr>
              <w:spacing w:after="0"/>
            </w:pPr>
            <w:r>
              <w:rPr>
                <w:color w:val="1D1D1D"/>
                <w:sz w:val="16"/>
              </w:rPr>
              <w:t>Police bleue</w:t>
            </w:r>
          </w:p>
        </w:tc>
        <w:tc>
          <w:tcPr>
            <w:tcW w:type="dxa" w:w="6935"/>
          </w:tcPr>
          <w:p>
            <w:pPr>
              <w:spacing w:after="0"/>
            </w:pPr>
            <w:r>
              <w:rPr>
                <w:color w:val="1D1D1D"/>
                <w:sz w:val="16"/>
              </w:rPr>
              <w:t>Donnée d'entrée saisie en dur</w:t>
            </w:r>
          </w:p>
        </w:tc>
      </w:tr>
      <w:tr>
        <w:tc>
          <w:tcPr>
            <w:tcW w:type="dxa" w:w="2703"/>
            <w:shd w:val="clear" w:color="auto" w:fill="FAF8F2"/>
          </w:tcPr>
          <w:p>
            <w:pPr>
              <w:spacing w:after="0"/>
            </w:pPr>
            <w:r>
              <w:rPr>
                <w:color w:val="1D1D1D"/>
                <w:sz w:val="16"/>
              </w:rPr>
              <w:t>Remplissage jaune clair</w:t>
            </w:r>
          </w:p>
        </w:tc>
        <w:tc>
          <w:tcPr>
            <w:tcW w:type="dxa" w:w="6935"/>
            <w:shd w:val="clear" w:color="auto" w:fill="FAF8F2"/>
          </w:tcPr>
          <w:p>
            <w:pPr>
              <w:spacing w:after="0"/>
            </w:pPr>
            <w:r>
              <w:rPr>
                <w:color w:val="1D1D1D"/>
                <w:sz w:val="16"/>
              </w:rPr>
              <w:t>Donnée d'entrée ordinaire</w:t>
            </w:r>
          </w:p>
        </w:tc>
      </w:tr>
      <w:tr>
        <w:tc>
          <w:tcPr>
            <w:tcW w:type="dxa" w:w="2703"/>
          </w:tcPr>
          <w:p>
            <w:pPr>
              <w:spacing w:after="0"/>
            </w:pPr>
            <w:r>
              <w:rPr>
                <w:color w:val="1D1D1D"/>
                <w:sz w:val="16"/>
              </w:rPr>
              <w:t>Remplissage jaune vif</w:t>
            </w:r>
          </w:p>
        </w:tc>
        <w:tc>
          <w:tcPr>
            <w:tcW w:type="dxa" w:w="6935"/>
          </w:tcPr>
          <w:p>
            <w:pPr>
              <w:spacing w:after="0"/>
            </w:pPr>
            <w:r>
              <w:rPr>
                <w:color w:val="1D1D1D"/>
                <w:sz w:val="16"/>
              </w:rPr>
              <w:t>Levier clé</w:t>
            </w:r>
          </w:p>
        </w:tc>
      </w:tr>
      <w:tr>
        <w:tc>
          <w:tcPr>
            <w:tcW w:type="dxa" w:w="2703"/>
            <w:shd w:val="clear" w:color="auto" w:fill="FAF8F2"/>
          </w:tcPr>
          <w:p>
            <w:pPr>
              <w:spacing w:after="0"/>
            </w:pPr>
            <w:r>
              <w:rPr>
                <w:color w:val="1D1D1D"/>
                <w:sz w:val="16"/>
              </w:rPr>
              <w:t>Police noire</w:t>
            </w:r>
          </w:p>
        </w:tc>
        <w:tc>
          <w:tcPr>
            <w:tcW w:type="dxa" w:w="6935"/>
            <w:shd w:val="clear" w:color="auto" w:fill="FAF8F2"/>
          </w:tcPr>
          <w:p>
            <w:pPr>
              <w:spacing w:after="0"/>
            </w:pPr>
            <w:r>
              <w:rPr>
                <w:color w:val="1D1D1D"/>
                <w:sz w:val="16"/>
              </w:rPr>
              <w:t>Formule</w:t>
            </w:r>
          </w:p>
        </w:tc>
      </w:tr>
      <w:tr>
        <w:tc>
          <w:tcPr>
            <w:tcW w:type="dxa" w:w="2703"/>
          </w:tcPr>
          <w:p>
            <w:pPr>
              <w:spacing w:after="0"/>
            </w:pPr>
            <w:r>
              <w:rPr>
                <w:color w:val="1D1D1D"/>
                <w:sz w:val="16"/>
              </w:rPr>
              <w:t>Police verte</w:t>
            </w:r>
          </w:p>
        </w:tc>
        <w:tc>
          <w:tcPr>
            <w:tcW w:type="dxa" w:w="6935"/>
          </w:tcPr>
          <w:p>
            <w:pPr>
              <w:spacing w:after="0"/>
            </w:pPr>
            <w:r>
              <w:rPr>
                <w:color w:val="1D1D1D"/>
                <w:sz w:val="16"/>
              </w:rPr>
              <w:t>Lien direct vers une cellule d'une autre feuille</w:t>
            </w:r>
          </w:p>
        </w:tc>
      </w:tr>
      <w:tr>
        <w:tc>
          <w:tcPr>
            <w:tcW w:type="dxa" w:w="2703"/>
            <w:shd w:val="clear" w:color="auto" w:fill="FAF8F2"/>
          </w:tcPr>
          <w:p>
            <w:pPr>
              <w:spacing w:after="0"/>
            </w:pPr>
            <w:r>
              <w:rPr>
                <w:color w:val="1D1D1D"/>
                <w:sz w:val="16"/>
              </w:rPr>
              <w:t>Cellule ombrée de vert</w:t>
            </w:r>
          </w:p>
        </w:tc>
        <w:tc>
          <w:tcPr>
            <w:tcW w:type="dxa" w:w="6935"/>
            <w:shd w:val="clear" w:color="auto" w:fill="FAF8F2"/>
          </w:tcPr>
          <w:p>
            <w:pPr>
              <w:spacing w:after="0"/>
            </w:pPr>
            <w:r>
              <w:rPr>
                <w:color w:val="1D1D1D"/>
                <w:sz w:val="16"/>
              </w:rPr>
              <w:t>Résultat clé</w:t>
            </w:r>
          </w:p>
        </w:tc>
      </w:tr>
      <w:tr>
        <w:tc>
          <w:tcPr>
            <w:tcW w:type="dxa" w:w="2703"/>
          </w:tcPr>
          <w:p>
            <w:pPr>
              <w:spacing w:after="0"/>
            </w:pPr>
            <w:r>
              <w:rPr>
                <w:color w:val="1D1D1D"/>
                <w:sz w:val="16"/>
              </w:rPr>
              <w:t>Bandeau bleu foncé</w:t>
            </w:r>
          </w:p>
        </w:tc>
        <w:tc>
          <w:tcPr>
            <w:tcW w:type="dxa" w:w="6935"/>
          </w:tcPr>
          <w:p>
            <w:pPr>
              <w:spacing w:after="0"/>
            </w:pPr>
            <w:r>
              <w:rPr>
                <w:color w:val="1D1D1D"/>
                <w:sz w:val="16"/>
              </w:rPr>
              <w:t>Titre et sous-titre de la feuille</w:t>
            </w:r>
          </w:p>
        </w:tc>
      </w:tr>
      <w:tr>
        <w:tc>
          <w:tcPr>
            <w:tcW w:type="dxa" w:w="2703"/>
            <w:shd w:val="clear" w:color="auto" w:fill="FAF8F2"/>
          </w:tcPr>
          <w:p>
            <w:pPr>
              <w:spacing w:after="0"/>
            </w:pPr>
            <w:r>
              <w:rPr>
                <w:color w:val="1D1D1D"/>
                <w:sz w:val="16"/>
              </w:rPr>
              <w:t>Bandeau bleu clair</w:t>
            </w:r>
          </w:p>
        </w:tc>
        <w:tc>
          <w:tcPr>
            <w:tcW w:type="dxa" w:w="6935"/>
            <w:shd w:val="clear" w:color="auto" w:fill="FAF8F2"/>
          </w:tcPr>
          <w:p>
            <w:pPr>
              <w:spacing w:after="0"/>
            </w:pPr>
            <w:r>
              <w:rPr>
                <w:color w:val="1D1D1D"/>
                <w:sz w:val="16"/>
              </w:rPr>
              <w:t>Titre de section</w:t>
            </w:r>
          </w:p>
        </w:tc>
      </w:tr>
      <w:tr>
        <w:tc>
          <w:tcPr>
            <w:tcW w:type="dxa" w:w="2703"/>
          </w:tcPr>
          <w:p>
            <w:pPr>
              <w:spacing w:after="0"/>
            </w:pPr>
            <w:r>
              <w:rPr>
                <w:color w:val="1D1D1D"/>
                <w:sz w:val="16"/>
              </w:rPr>
              <w:t>Couleurs des onglets</w:t>
            </w:r>
          </w:p>
        </w:tc>
        <w:tc>
          <w:tcPr>
            <w:tcW w:type="dxa" w:w="6935"/>
          </w:tcPr>
          <w:p>
            <w:pPr>
              <w:spacing w:after="0"/>
            </w:pPr>
            <w:r>
              <w:rPr>
                <w:color w:val="1D1D1D"/>
                <w:sz w:val="16"/>
              </w:rPr>
              <w:t>00 bleu foncé ; 01 à 19 bleu ; 20 à 29 vert ; 30 à 35 rouge</w:t>
            </w:r>
          </w:p>
        </w:tc>
      </w:tr>
    </w:tbl>
    <w:p>
      <w:pPr>
        <w:spacing w:after="40"/>
      </w:pPr>
    </w:p>
    <w:p>
      <w:pPr>
        <w:jc w:val="both"/>
      </w:pPr>
      <w:r>
        <w:rPr/>
        <w:t xml:space="preserve">Les cellules de statut de </w:t>
      </w:r>
      <w:r>
        <w:rPr>
          <w:i/>
        </w:rPr>
        <w:t>13_REGULATION</w:t>
      </w:r>
      <w:r>
        <w:rPr/>
        <w:t xml:space="preserve">, </w:t>
      </w:r>
      <w:r>
        <w:rPr>
          <w:i/>
        </w:rPr>
        <w:t>30_BANKABILITY</w:t>
      </w:r>
      <w:r>
        <w:rPr/>
        <w:t xml:space="preserve">, </w:t>
      </w:r>
      <w:r>
        <w:rPr>
          <w:i/>
        </w:rPr>
        <w:t>30A_CLOSE_READINESS</w:t>
      </w:r>
      <w:r>
        <w:rPr/>
        <w:t xml:space="preserve">, </w:t>
      </w:r>
      <w:r>
        <w:rPr>
          <w:i/>
        </w:rPr>
        <w:t>32_DASHBOARD</w:t>
      </w:r>
      <w:r>
        <w:rPr/>
        <w:t xml:space="preserve">, </w:t>
      </w:r>
      <w:r>
        <w:rPr>
          <w:i/>
        </w:rPr>
        <w:t>33_CHECKS</w:t>
      </w:r>
      <w:r>
        <w:rPr/>
        <w:t xml:space="preserve"> et </w:t>
      </w:r>
      <w:r>
        <w:rPr>
          <w:i/>
        </w:rPr>
        <w:t>35_BOOK_CHECK</w:t>
      </w:r>
      <w:r>
        <w:rPr/>
        <w:t xml:space="preserve"> sont colorées par mise en forme conditionnelle : vert pour READY (prêt), MET (franchie), OK (correct) et PASS (réussi) ; ambre pour CONDITIONAL (sous conditions), PARTIAL (partielle) et CHECK (à vérifier) ; orange pour GAP (écart) et DEVELOPMENT GAP (écart de développement) ; rouge pour CRITICAL GAP (écart critique), NOT MET (non franchie) et ERROR (erreur) ; gris pour NO EVIDENCE (sans preuve).</w:t>
      </w:r>
    </w:p>
    <w:p>
      <w:pPr>
        <w:jc w:val="both"/>
      </w:pPr>
      <w:r>
        <w:rPr/>
        <w:t xml:space="preserve">Les données d'entrée de sélection sont protégées par une validation des données qui bloque toute saisie non valide avec un message d'erreur : </w:t>
      </w:r>
      <w:r>
        <w:rPr>
          <w:i/>
        </w:rPr>
        <w:t>case</w:t>
      </w:r>
      <w:r>
        <w:rPr/>
        <w:t xml:space="preserve"> et </w:t>
      </w:r>
      <w:r>
        <w:rPr>
          <w:i/>
        </w:rPr>
        <w:t>gen_case</w:t>
      </w:r>
      <w:r>
        <w:rPr/>
        <w:t xml:space="preserve"> acceptent 1 à 3, </w:t>
      </w:r>
      <w:r>
        <w:rPr>
          <w:i/>
        </w:rPr>
        <w:t>lender_case</w:t>
      </w:r>
      <w:r>
        <w:rPr/>
        <w:t xml:space="preserve"> 1 à 4, </w:t>
      </w:r>
      <w:r>
        <w:rPr>
          <w:i/>
        </w:rPr>
        <w:t>structure</w:t>
      </w:r>
      <w:r>
        <w:rPr/>
        <w:t xml:space="preserve"> 1 à 5, </w:t>
      </w:r>
      <w:r>
        <w:rPr>
          <w:i/>
        </w:rPr>
        <w:t>debt_mode</w:t>
      </w:r>
      <w:r>
        <w:rPr/>
        <w:t xml:space="preserve"> 1 à 2, </w:t>
      </w:r>
      <w:r>
        <w:rPr>
          <w:i/>
        </w:rPr>
        <w:t>backstop</w:t>
      </w:r>
      <w:r>
        <w:rPr/>
        <w:t xml:space="preserve"> et les neuf commutateurs de stress 0 ou 1. Les données d'entrée de statut de </w:t>
      </w:r>
      <w:r>
        <w:rPr>
          <w:i/>
        </w:rPr>
        <w:t>13_REGULATION</w:t>
      </w:r>
      <w:r>
        <w:rPr/>
        <w:t xml:space="preserve"> et de </w:t>
      </w:r>
      <w:r>
        <w:rPr>
          <w:i/>
        </w:rPr>
        <w:t>30A_CLOSE_READINESS</w:t>
      </w:r>
      <w:r>
        <w:rPr/>
        <w:t xml:space="preserve"> sont des listes déroulantes.</w:t>
      </w:r>
    </w:p>
    <w:p>
      <w:pPr>
        <w:pStyle w:val="Heading2"/>
      </w:pPr>
      <w:r>
        <w:t>2.2 Unités</w:t>
      </w:r>
    </w:p>
    <w:p>
      <w:pPr>
        <w:jc w:val="both"/>
      </w:pPr>
      <w:r>
        <w:rPr/>
        <w:t xml:space="preserve">Les montants sont exprimés en millions USD (M USD), en termes nominaux, sauf si le libellé indique </w:t>
      </w:r>
      <w:r>
        <w:rPr>
          <w:i/>
        </w:rPr>
        <w:t>"real 2026"</w:t>
      </w:r>
      <w:r>
        <w:rPr/>
        <w:t xml:space="preserve"> (termes réels 2026). Les données d'entrée réelles sont en dollars américains de 2026 et sont indexées sur l'indice des prix à la consommation (IPC) des États-Unis ou sur l'indice d'indexation du coût d'investissement. L'énergie est en GWh, la puissance en MW, les tarifs en USD/MWh. Les flux en monnaie locale de la compagnie d'électricité sont convertis en équivalents USD au taux de change du modèle (lire navarienne, NVL par USD). Les montants négatifs sont des coûts ou des sorties de trésorerie, sauf indication contraire du libellé ; sur </w:t>
      </w:r>
      <w:r>
        <w:rPr>
          <w:i/>
        </w:rPr>
        <w:t>25_FISCAL_IMPACT</w:t>
      </w:r>
      <w:r>
        <w:rPr/>
        <w:t>, une VAN budgétaire négative représente un coût net pour l'État.</w:t>
      </w:r>
    </w:p>
    <w:p>
      <w:pPr>
        <w:pStyle w:val="Heading2"/>
      </w:pPr>
      <w:r>
        <w:t>2.3 Calendrier et présentation</w:t>
      </w:r>
    </w:p>
    <w:p>
      <w:pPr>
        <w:jc w:val="both"/>
      </w:pPr>
      <w:r>
        <w:rPr/>
        <w:t>Les feuilles de séries chronologiques partagent une même présentation : colonne A libellé, colonne B unité, colonne C total ou valeur clé, colonne D vide, colonnes E à AR périodes t = 1 à 40. Les lignes 4 et 5 indiquent l'année civile et l'année d'exploitation (0 pendant la construction et après la concession). Les volets sont figés en E6.</w:t>
      </w:r>
    </w:p>
    <w:p>
      <w:pPr>
        <w:jc w:val="both"/>
      </w:pPr>
      <w:r>
        <w:rPr>
          <w:i/>
        </w:rPr>
        <w:t>06_CONSTRUCTION</w:t>
      </w:r>
      <w:r>
        <w:rPr/>
        <w:t xml:space="preserve"> est la feuille maîtresse du calendrier. Ses indicateurs pilotent toutes les autres feuilles de séries chronologiques :</w:t>
      </w:r>
    </w:p>
    <w:p>
      <w:pPr>
        <w:spacing w:after="0"/>
        <w:ind w:left="283"/>
      </w:pPr>
      <w:r>
        <w:rPr>
          <w:rFonts w:ascii="Courier New" w:hAnsi="Courier New"/>
          <w:sz w:val="17"/>
        </w:rPr>
        <w:t>year       = start_year+t-1</w:t>
      </w:r>
    </w:p>
    <w:p>
      <w:pPr>
        <w:spacing w:after="0"/>
        <w:ind w:left="283"/>
      </w:pPr>
      <w:r>
        <w:rPr>
          <w:rFonts w:ascii="Courier New" w:hAnsi="Courier New"/>
          <w:sz w:val="17"/>
        </w:rPr>
        <w:t>cons_eff   = cons_years+eff_delay</w:t>
      </w:r>
    </w:p>
    <w:p>
      <w:pPr>
        <w:spacing w:after="0"/>
        <w:ind w:left="283"/>
      </w:pPr>
      <w:r>
        <w:rPr>
          <w:rFonts w:ascii="Courier New" w:hAnsi="Courier New"/>
          <w:sz w:val="17"/>
        </w:rPr>
        <w:t>cod_year   = start_year+cons_eff</w:t>
      </w:r>
    </w:p>
    <w:p>
      <w:pPr>
        <w:spacing w:after="0"/>
        <w:ind w:left="283"/>
      </w:pPr>
      <w:r>
        <w:rPr>
          <w:rFonts w:ascii="Courier New" w:hAnsi="Courier New"/>
          <w:sz w:val="17"/>
        </w:rPr>
        <w:t>consflag   = IF(t&lt;=cons_eff,1,0)</w:t>
      </w:r>
    </w:p>
    <w:p>
      <w:pPr>
        <w:spacing w:after="0"/>
        <w:ind w:left="283"/>
      </w:pPr>
      <w:r>
        <w:rPr>
          <w:rFonts w:ascii="Courier New" w:hAnsi="Courier New"/>
          <w:sz w:val="17"/>
        </w:rPr>
        <w:t>opflag     = IF(AND(t&gt;cons_eff,t&lt;=cons_eff+ops_years),1,0)</w:t>
      </w:r>
    </w:p>
    <w:p>
      <w:pPr>
        <w:spacing w:after="0"/>
        <w:ind w:left="283"/>
      </w:pPr>
      <w:r>
        <w:rPr>
          <w:rFonts w:ascii="Courier New" w:hAnsi="Courier New"/>
          <w:sz w:val="17"/>
        </w:rPr>
        <w:t>lastcons   = IF(t=cons_eff,1,0)</w:t>
      </w:r>
    </w:p>
    <w:p>
      <w:pPr>
        <w:spacing w:after="0"/>
        <w:ind w:left="283"/>
      </w:pPr>
      <w:r>
        <w:rPr>
          <w:rFonts w:ascii="Courier New" w:hAnsi="Courier New"/>
          <w:sz w:val="17"/>
        </w:rPr>
        <w:t>opyr       = IF(opflag=1,t-cons_eff,0)</w:t>
      </w:r>
    </w:p>
    <w:p>
      <w:pPr>
        <w:spacing w:after="40"/>
      </w:pPr>
    </w:p>
    <w:p>
      <w:pPr>
        <w:jc w:val="both"/>
      </w:pPr>
      <w:r>
        <w:rPr/>
        <w:t xml:space="preserve">La construction et la concession doivent tenir ensemble dans les 40 périodes ; </w:t>
      </w:r>
      <w:r>
        <w:rPr>
          <w:i/>
        </w:rPr>
        <w:t>33_CHECKS</w:t>
      </w:r>
      <w:r>
        <w:rPr/>
        <w:t xml:space="preserve"> le vérifie.</w:t>
      </w:r>
    </w:p>
    <w:p>
      <w:pPr>
        <w:pStyle w:val="Heading2"/>
      </w:pPr>
      <w:r>
        <w:t>2.4 Temps du modèle pour le cas Kasiri</w:t>
      </w:r>
    </w:p>
    <w:p>
      <w:pPr>
        <w:jc w:val="both"/>
      </w:pPr>
      <w:r>
        <w:rPr/>
        <w:t>Le cas Kasiri fonctionne en temps du modèle, et non en dates calendaires.</w:t>
      </w:r>
    </w:p>
    <w:tbl>
      <w:tblPr>
        <w:tblStyle w:val="TableGrid"/>
        <w:tblW w:type="auto" w:w="0"/>
        <w:jc w:val="center"/>
        <w:tblLook w:firstColumn="1" w:firstRow="1" w:lastColumn="0" w:lastRow="0" w:noHBand="0" w:noVBand="1" w:val="04A0"/>
      </w:tblPr>
      <w:tblGrid>
        <w:gridCol w:w="3213"/>
        <w:gridCol w:w="3213"/>
        <w:gridCol w:w="3213"/>
      </w:tblGrid>
      <w:tr>
        <w:tc>
          <w:tcPr>
            <w:tcW w:type="dxa" w:w="4283"/>
            <w:shd w:val="clear" w:color="auto" w:fill="0B3020"/>
          </w:tcPr>
          <w:p>
            <w:pPr>
              <w:spacing w:after="0"/>
            </w:pPr>
            <w:r>
              <w:rPr>
                <w:b/>
                <w:color w:val="FFFFFF"/>
                <w:sz w:val="16"/>
              </w:rPr>
              <w:t>Événement</w:t>
            </w:r>
          </w:p>
        </w:tc>
        <w:tc>
          <w:tcPr>
            <w:tcW w:type="dxa" w:w="1071"/>
            <w:shd w:val="clear" w:color="auto" w:fill="0B3020"/>
          </w:tcPr>
          <w:p>
            <w:pPr>
              <w:spacing w:after="0"/>
            </w:pPr>
            <w:r>
              <w:rPr>
                <w:b/>
                <w:color w:val="FFFFFF"/>
                <w:sz w:val="16"/>
              </w:rPr>
              <w:t>Année du modèle</w:t>
            </w:r>
          </w:p>
        </w:tc>
        <w:tc>
          <w:tcPr>
            <w:tcW w:type="dxa" w:w="4283"/>
            <w:shd w:val="clear" w:color="auto" w:fill="0B3020"/>
          </w:tcPr>
          <w:p>
            <w:pPr>
              <w:spacing w:after="0"/>
            </w:pPr>
            <w:r>
              <w:rPr>
                <w:b/>
                <w:color w:val="FFFFFF"/>
                <w:sz w:val="16"/>
              </w:rPr>
              <w:t>Source</w:t>
            </w:r>
          </w:p>
        </w:tc>
      </w:tr>
      <w:tr>
        <w:tc>
          <w:tcPr>
            <w:tcW w:type="dxa" w:w="4283"/>
          </w:tcPr>
          <w:p>
            <w:pPr>
              <w:spacing w:after="0"/>
            </w:pPr>
            <w:r>
              <w:rPr>
                <w:color w:val="1D1D1D"/>
                <w:sz w:val="16"/>
              </w:rPr>
              <w:t>Début du développement (reconnaissance)</w:t>
            </w:r>
          </w:p>
        </w:tc>
        <w:tc>
          <w:tcPr>
            <w:tcW w:type="dxa" w:w="1071"/>
          </w:tcPr>
          <w:p>
            <w:pPr>
              <w:spacing w:after="0"/>
            </w:pPr>
            <w:r>
              <w:rPr>
                <w:color w:val="1D1D1D"/>
                <w:sz w:val="16"/>
              </w:rPr>
              <w:t>2021</w:t>
            </w:r>
          </w:p>
        </w:tc>
        <w:tc>
          <w:tcPr>
            <w:tcW w:type="dxa" w:w="4283"/>
          </w:tcPr>
          <w:p>
            <w:pPr>
              <w:spacing w:after="0"/>
            </w:pPr>
            <w:r>
              <w:rPr>
                <w:color w:val="1D1D1D"/>
                <w:sz w:val="16"/>
              </w:rPr>
              <w:t>Six étapes d'une durée totale de 72 mois, qui s'achèvent au bouclage financier</w:t>
            </w:r>
          </w:p>
        </w:tc>
      </w:tr>
      <w:tr>
        <w:tc>
          <w:tcPr>
            <w:tcW w:type="dxa" w:w="4283"/>
            <w:shd w:val="clear" w:color="auto" w:fill="FAF8F2"/>
          </w:tcPr>
          <w:p>
            <w:pPr>
              <w:spacing w:after="0"/>
            </w:pPr>
            <w:r>
              <w:rPr>
                <w:color w:val="1D1D1D"/>
                <w:sz w:val="16"/>
              </w:rPr>
              <w:t>Bouclage financier, début du modèle (t = 1)</w:t>
            </w:r>
          </w:p>
        </w:tc>
        <w:tc>
          <w:tcPr>
            <w:tcW w:type="dxa" w:w="1071"/>
            <w:shd w:val="clear" w:color="auto" w:fill="FAF8F2"/>
          </w:tcPr>
          <w:p>
            <w:pPr>
              <w:spacing w:after="0"/>
            </w:pPr>
            <w:r>
              <w:rPr>
                <w:color w:val="1D1D1D"/>
                <w:sz w:val="16"/>
              </w:rPr>
              <w:t>2027</w:t>
            </w:r>
          </w:p>
        </w:tc>
        <w:tc>
          <w:tcPr>
            <w:tcW w:type="dxa" w:w="4283"/>
            <w:shd w:val="clear" w:color="auto" w:fill="FAF8F2"/>
          </w:tcPr>
          <w:p>
            <w:pPr>
              <w:spacing w:after="0"/>
            </w:pPr>
            <w:r>
              <w:rPr>
                <w:rFonts w:ascii="Courier New" w:hAnsi="Courier New"/>
                <w:color w:val="1D1D1D"/>
                <w:sz w:val="16"/>
              </w:rPr>
              <w:t>start_year</w:t>
            </w:r>
            <w:r>
              <w:rPr>
                <w:color w:val="1D1D1D"/>
                <w:sz w:val="16"/>
              </w:rPr>
              <w:t xml:space="preserve"> sur </w:t>
            </w:r>
            <w:r>
              <w:rPr>
                <w:i/>
                <w:color w:val="1D1D1D"/>
                <w:sz w:val="16"/>
              </w:rPr>
              <w:t>02_PROJECT_INPUTS</w:t>
            </w:r>
          </w:p>
        </w:tc>
      </w:tr>
      <w:tr>
        <w:tc>
          <w:tcPr>
            <w:tcW w:type="dxa" w:w="4283"/>
          </w:tcPr>
          <w:p>
            <w:pPr>
              <w:spacing w:after="0"/>
            </w:pPr>
            <w:r>
              <w:rPr>
                <w:color w:val="1D1D1D"/>
                <w:sz w:val="16"/>
              </w:rPr>
              <w:t>Construction</w:t>
            </w:r>
          </w:p>
        </w:tc>
        <w:tc>
          <w:tcPr>
            <w:tcW w:type="dxa" w:w="1071"/>
          </w:tcPr>
          <w:p>
            <w:pPr>
              <w:spacing w:after="0"/>
            </w:pPr>
            <w:r>
              <w:rPr>
                <w:color w:val="1D1D1D"/>
                <w:sz w:val="16"/>
              </w:rPr>
              <w:t>2027 à 2029</w:t>
            </w:r>
          </w:p>
        </w:tc>
        <w:tc>
          <w:tcPr>
            <w:tcW w:type="dxa" w:w="4283"/>
          </w:tcPr>
          <w:p>
            <w:pPr>
              <w:spacing w:after="0"/>
            </w:pPr>
            <w:r>
              <w:rPr>
                <w:rFonts w:ascii="Courier New" w:hAnsi="Courier New"/>
                <w:color w:val="1D1D1D"/>
                <w:sz w:val="16"/>
              </w:rPr>
              <w:t>cons_years</w:t>
            </w:r>
            <w:r>
              <w:rPr>
                <w:color w:val="1D1D1D"/>
                <w:sz w:val="16"/>
              </w:rPr>
              <w:t xml:space="preserve"> = 3</w:t>
            </w:r>
          </w:p>
        </w:tc>
      </w:tr>
      <w:tr>
        <w:tc>
          <w:tcPr>
            <w:tcW w:type="dxa" w:w="4283"/>
            <w:shd w:val="clear" w:color="auto" w:fill="FAF8F2"/>
          </w:tcPr>
          <w:p>
            <w:pPr>
              <w:spacing w:after="0"/>
            </w:pPr>
            <w:r>
              <w:rPr>
                <w:color w:val="1D1D1D"/>
                <w:sz w:val="16"/>
              </w:rPr>
              <w:t>Mise en service commerciale (première année d'exploitation complète)</w:t>
            </w:r>
          </w:p>
        </w:tc>
        <w:tc>
          <w:tcPr>
            <w:tcW w:type="dxa" w:w="1071"/>
            <w:shd w:val="clear" w:color="auto" w:fill="FAF8F2"/>
          </w:tcPr>
          <w:p>
            <w:pPr>
              <w:spacing w:after="0"/>
            </w:pPr>
            <w:r>
              <w:rPr>
                <w:color w:val="1D1D1D"/>
                <w:sz w:val="16"/>
              </w:rPr>
              <w:t>2030</w:t>
            </w:r>
          </w:p>
        </w:tc>
        <w:tc>
          <w:tcPr>
            <w:tcW w:type="dxa" w:w="4283"/>
            <w:shd w:val="clear" w:color="auto" w:fill="FAF8F2"/>
          </w:tcPr>
          <w:p>
            <w:pPr>
              <w:spacing w:after="0"/>
            </w:pPr>
            <w:r>
              <w:rPr>
                <w:rFonts w:ascii="Courier New" w:hAnsi="Courier New"/>
                <w:color w:val="1D1D1D"/>
                <w:sz w:val="16"/>
              </w:rPr>
              <w:t>cod_year</w:t>
            </w:r>
          </w:p>
        </w:tc>
      </w:tr>
      <w:tr>
        <w:tc>
          <w:tcPr>
            <w:tcW w:type="dxa" w:w="4283"/>
          </w:tcPr>
          <w:p>
            <w:pPr>
              <w:spacing w:after="0"/>
            </w:pPr>
            <w:r>
              <w:rPr>
                <w:color w:val="1D1D1D"/>
                <w:sz w:val="16"/>
              </w:rPr>
              <w:t>Fin de la durée de 25 ans du CAE</w:t>
            </w:r>
          </w:p>
        </w:tc>
        <w:tc>
          <w:tcPr>
            <w:tcW w:type="dxa" w:w="1071"/>
          </w:tcPr>
          <w:p>
            <w:pPr>
              <w:spacing w:after="0"/>
            </w:pPr>
            <w:r>
              <w:rPr>
                <w:color w:val="1D1D1D"/>
                <w:sz w:val="16"/>
              </w:rPr>
              <w:t>2054</w:t>
            </w:r>
          </w:p>
        </w:tc>
        <w:tc>
          <w:tcPr>
            <w:tcW w:type="dxa" w:w="4283"/>
          </w:tcPr>
          <w:p>
            <w:pPr>
              <w:spacing w:after="0"/>
            </w:pPr>
            <w:r>
              <w:rPr>
                <w:rFonts w:ascii="Courier New" w:hAnsi="Courier New"/>
                <w:color w:val="1D1D1D"/>
                <w:sz w:val="16"/>
              </w:rPr>
              <w:t>ops_years</w:t>
            </w:r>
            <w:r>
              <w:rPr>
                <w:color w:val="1D1D1D"/>
                <w:sz w:val="16"/>
              </w:rPr>
              <w:t xml:space="preserve"> = 25</w:t>
            </w:r>
          </w:p>
        </w:tc>
      </w:tr>
      <w:tr>
        <w:tc>
          <w:tcPr>
            <w:tcW w:type="dxa" w:w="4283"/>
            <w:shd w:val="clear" w:color="auto" w:fill="FAF8F2"/>
          </w:tcPr>
          <w:p>
            <w:pPr>
              <w:spacing w:after="0"/>
            </w:pPr>
            <w:r>
              <w:rPr>
                <w:color w:val="1D1D1D"/>
                <w:sz w:val="16"/>
              </w:rPr>
              <w:t>Fin de l'horizon du modèle</w:t>
            </w:r>
          </w:p>
        </w:tc>
        <w:tc>
          <w:tcPr>
            <w:tcW w:type="dxa" w:w="1071"/>
            <w:shd w:val="clear" w:color="auto" w:fill="FAF8F2"/>
          </w:tcPr>
          <w:p>
            <w:pPr>
              <w:spacing w:after="0"/>
            </w:pPr>
            <w:r>
              <w:rPr>
                <w:color w:val="1D1D1D"/>
                <w:sz w:val="16"/>
              </w:rPr>
              <w:t>2066</w:t>
            </w:r>
          </w:p>
        </w:tc>
        <w:tc>
          <w:tcPr>
            <w:tcW w:type="dxa" w:w="4283"/>
            <w:shd w:val="clear" w:color="auto" w:fill="FAF8F2"/>
          </w:tcPr>
          <w:p>
            <w:pPr>
              <w:spacing w:after="0"/>
            </w:pPr>
            <w:r>
              <w:rPr>
                <w:color w:val="1D1D1D"/>
                <w:sz w:val="16"/>
              </w:rPr>
              <w:t>t = 40</w:t>
            </w:r>
          </w:p>
        </w:tc>
      </w:tr>
      <w:tr>
        <w:tc>
          <w:tcPr>
            <w:tcW w:type="dxa" w:w="4283"/>
          </w:tcPr>
          <w:p>
            <w:pPr>
              <w:spacing w:after="0"/>
            </w:pPr>
            <w:r>
              <w:rPr>
                <w:color w:val="1D1D1D"/>
                <w:sz w:val="16"/>
              </w:rPr>
              <w:t>Année de base des prix pour les données d'entrée réelles</w:t>
            </w:r>
          </w:p>
        </w:tc>
        <w:tc>
          <w:tcPr>
            <w:tcW w:type="dxa" w:w="1071"/>
          </w:tcPr>
          <w:p>
            <w:pPr>
              <w:spacing w:after="0"/>
            </w:pPr>
            <w:r>
              <w:rPr>
                <w:color w:val="1D1D1D"/>
                <w:sz w:val="16"/>
              </w:rPr>
              <w:t>2026</w:t>
            </w:r>
          </w:p>
        </w:tc>
        <w:tc>
          <w:tcPr>
            <w:tcW w:type="dxa" w:w="4283"/>
          </w:tcPr>
          <w:p>
            <w:pPr>
              <w:spacing w:after="0"/>
            </w:pPr>
            <w:r>
              <w:rPr>
                <w:rFonts w:ascii="Courier New" w:hAnsi="Courier New"/>
                <w:color w:val="1D1D1D"/>
                <w:sz w:val="16"/>
              </w:rPr>
              <w:t>base_year</w:t>
            </w:r>
          </w:p>
        </w:tc>
      </w:tr>
    </w:tbl>
    <w:p>
      <w:pPr>
        <w:spacing w:after="40"/>
      </w:pPr>
    </w:p>
    <w:p>
      <w:pPr>
        <w:jc w:val="both"/>
      </w:pPr>
      <w:r>
        <w:rPr/>
        <w:t xml:space="preserve">Quand le Livre 7 indique que Tamarind est « au début de la phase des permis », il désigne l'étape atteinte (étape 4 sur </w:t>
      </w:r>
      <w:r>
        <w:rPr>
          <w:i/>
        </w:rPr>
        <w:t>01A_DEVELOPMENT</w:t>
      </w:r>
      <w:r>
        <w:rPr/>
        <w:t>), et non une date calendaire.</w:t>
      </w:r>
    </w:p>
    <w:p>
      <w:r>
        <w:br w:type="page"/>
      </w:r>
    </w:p>
    <w:p>
      <w:pPr>
        <w:pStyle w:val="Heading1"/>
        <w:pBdr>
          <w:bottom w:val="single" w:sz="12" w:space="4" w:color="B07C0F"/>
        </w:pBdr>
      </w:pPr>
      <w:r>
        <w:t>3. Carte des feuilles</w:t>
      </w:r>
    </w:p>
    <w:p>
      <w:pPr>
        <w:jc w:val="both"/>
      </w:pPr>
      <w:r>
        <w:rPr/>
        <w:t xml:space="preserve">Les 41 feuilles : la feuille de couverture, puis les 40 feuilles de travail, regroupées comme sur </w:t>
      </w:r>
      <w:r>
        <w:rPr>
          <w:i/>
        </w:rPr>
        <w:t>00_README</w:t>
      </w:r>
      <w:r>
        <w:rPr/>
        <w:t>.</w:t>
      </w:r>
    </w:p>
    <w:p>
      <w:pPr>
        <w:jc w:val="both"/>
      </w:pPr>
      <w:r>
        <w:rPr>
          <w:b/>
        </w:rPr>
        <w:t>Orientation et pilotage</w:t>
      </w:r>
    </w:p>
    <w:tbl>
      <w:tblPr>
        <w:tblStyle w:val="TableGrid"/>
        <w:tblW w:type="auto" w:w="0"/>
        <w:jc w:val="center"/>
        <w:tblLook w:firstColumn="1" w:firstRow="1" w:lastColumn="0" w:lastRow="0" w:noHBand="0" w:noVBand="1" w:val="04A0"/>
      </w:tblPr>
      <w:tblGrid>
        <w:gridCol w:w="4819"/>
        <w:gridCol w:w="4819"/>
      </w:tblGrid>
      <w:tr>
        <w:tc>
          <w:tcPr>
            <w:tcW w:type="dxa" w:w="2029"/>
            <w:shd w:val="clear" w:color="auto" w:fill="0B3020"/>
          </w:tcPr>
          <w:p>
            <w:pPr>
              <w:spacing w:after="0"/>
            </w:pPr>
            <w:r>
              <w:rPr>
                <w:b/>
                <w:color w:val="FFFFFF"/>
                <w:sz w:val="16"/>
              </w:rPr>
              <w:t>Feuille</w:t>
            </w:r>
          </w:p>
        </w:tc>
        <w:tc>
          <w:tcPr>
            <w:tcW w:type="dxa" w:w="7609"/>
            <w:shd w:val="clear" w:color="auto" w:fill="0B3020"/>
          </w:tcPr>
          <w:p>
            <w:pPr>
              <w:spacing w:after="0"/>
            </w:pPr>
            <w:r>
              <w:rPr>
                <w:b/>
                <w:color w:val="FFFFFF"/>
                <w:sz w:val="16"/>
              </w:rPr>
              <w:t>Objet</w:t>
            </w:r>
          </w:p>
        </w:tc>
      </w:tr>
      <w:tr>
        <w:tc>
          <w:tcPr>
            <w:tcW w:type="dxa" w:w="2029"/>
          </w:tcPr>
          <w:p>
            <w:pPr>
              <w:spacing w:after="0"/>
            </w:pPr>
            <w:r>
              <w:rPr>
                <w:color w:val="1D1D1D"/>
                <w:sz w:val="16"/>
              </w:rPr>
              <w:t>COVER</w:t>
            </w:r>
          </w:p>
        </w:tc>
        <w:tc>
          <w:tcPr>
            <w:tcW w:type="dxa" w:w="7609"/>
          </w:tcPr>
          <w:p>
            <w:pPr>
              <w:spacing w:after="0"/>
            </w:pPr>
            <w:r>
              <w:rPr>
                <w:color w:val="1D1D1D"/>
                <w:sz w:val="16"/>
              </w:rPr>
              <w:t>Titre, version, statut en temps réel (décision de bouclage, portes franchies, filtre à neuf portes, filtre budgétaire, contrôles, contrôle de cohérence avec le livre) et liens vers les principales feuilles</w:t>
            </w:r>
          </w:p>
        </w:tc>
      </w:tr>
      <w:tr>
        <w:tc>
          <w:tcPr>
            <w:tcW w:type="dxa" w:w="2029"/>
            <w:shd w:val="clear" w:color="auto" w:fill="FAF8F2"/>
          </w:tcPr>
          <w:p>
            <w:pPr>
              <w:spacing w:after="0"/>
            </w:pPr>
            <w:r>
              <w:rPr>
                <w:color w:val="1D1D1D"/>
                <w:sz w:val="16"/>
              </w:rPr>
              <w:t>00_README</w:t>
            </w:r>
          </w:p>
        </w:tc>
        <w:tc>
          <w:tcPr>
            <w:tcW w:type="dxa" w:w="7609"/>
            <w:shd w:val="clear" w:color="auto" w:fill="FAF8F2"/>
          </w:tcPr>
          <w:p>
            <w:pPr>
              <w:spacing w:after="0"/>
            </w:pPr>
            <w:r>
              <w:rPr>
                <w:color w:val="1D1D1D"/>
                <w:sz w:val="16"/>
              </w:rPr>
              <w:t>Objet, philosophie, utilisateurs, code couleur, unités, circularité, versions, limites, carte des feuilles</w:t>
            </w:r>
          </w:p>
        </w:tc>
      </w:tr>
      <w:tr>
        <w:tc>
          <w:tcPr>
            <w:tcW w:type="dxa" w:w="2029"/>
          </w:tcPr>
          <w:p>
            <w:pPr>
              <w:spacing w:after="0"/>
            </w:pPr>
            <w:r>
              <w:rPr>
                <w:color w:val="1D1D1D"/>
                <w:sz w:val="16"/>
              </w:rPr>
              <w:t>01_CONTROL_PANEL</w:t>
            </w:r>
          </w:p>
        </w:tc>
        <w:tc>
          <w:tcPr>
            <w:tcW w:type="dxa" w:w="7609"/>
          </w:tcPr>
          <w:p>
            <w:pPr>
              <w:spacing w:after="0"/>
            </w:pPr>
            <w:r>
              <w:rPr>
                <w:color w:val="1D1D1D"/>
                <w:sz w:val="16"/>
              </w:rPr>
              <w:t>Cas, cas de production, cas des prêteurs, structure, mode de la dette, garantie budgétaire, neuf commutateurs de stress, cinq variations de sensibilité (flexes) et un affichage du scénario actif</w:t>
            </w:r>
          </w:p>
        </w:tc>
      </w:tr>
      <w:tr>
        <w:tc>
          <w:tcPr>
            <w:tcW w:type="dxa" w:w="2029"/>
            <w:shd w:val="clear" w:color="auto" w:fill="FAF8F2"/>
          </w:tcPr>
          <w:p>
            <w:pPr>
              <w:spacing w:after="0"/>
            </w:pPr>
            <w:r>
              <w:rPr>
                <w:color w:val="1D1D1D"/>
                <w:sz w:val="16"/>
              </w:rPr>
              <w:t>01A_DEVELOPMENT</w:t>
            </w:r>
          </w:p>
        </w:tc>
        <w:tc>
          <w:tcPr>
            <w:tcW w:type="dxa" w:w="7609"/>
            <w:shd w:val="clear" w:color="auto" w:fill="FAF8F2"/>
          </w:tcPr>
          <w:p>
            <w:pPr>
              <w:spacing w:after="0"/>
            </w:pPr>
            <w:r>
              <w:rPr>
                <w:color w:val="1D1D1D"/>
                <w:sz w:val="16"/>
              </w:rPr>
              <w:t>Six étapes de développement, budget, attrition, VAN du développeur pondérée par le risque, prime au point mort, valeur par étape, revalorisations, cession partielle (sell-down), TRI du développeur</w:t>
            </w:r>
          </w:p>
        </w:tc>
      </w:tr>
    </w:tbl>
    <w:p>
      <w:pPr>
        <w:spacing w:after="40"/>
      </w:pPr>
    </w:p>
    <w:p>
      <w:pPr>
        <w:jc w:val="both"/>
      </w:pPr>
      <w:r>
        <w:rPr>
          <w:b/>
        </w:rPr>
        <w:t>Projet (02 à 07, avec 05A)</w:t>
      </w:r>
    </w:p>
    <w:tbl>
      <w:tblPr>
        <w:tblStyle w:val="TableGrid"/>
        <w:tblW w:type="auto" w:w="0"/>
        <w:jc w:val="center"/>
        <w:tblLook w:firstColumn="1" w:firstRow="1" w:lastColumn="0" w:lastRow="0" w:noHBand="0" w:noVBand="1" w:val="04A0"/>
      </w:tblPr>
      <w:tblGrid>
        <w:gridCol w:w="4819"/>
        <w:gridCol w:w="4819"/>
      </w:tblGrid>
      <w:tr>
        <w:tc>
          <w:tcPr>
            <w:tcW w:type="dxa" w:w="2128"/>
            <w:shd w:val="clear" w:color="auto" w:fill="0B3020"/>
          </w:tcPr>
          <w:p>
            <w:pPr>
              <w:spacing w:after="0"/>
            </w:pPr>
            <w:r>
              <w:rPr>
                <w:b/>
                <w:color w:val="FFFFFF"/>
                <w:sz w:val="16"/>
              </w:rPr>
              <w:t>Feuille</w:t>
            </w:r>
          </w:p>
        </w:tc>
        <w:tc>
          <w:tcPr>
            <w:tcW w:type="dxa" w:w="7510"/>
            <w:shd w:val="clear" w:color="auto" w:fill="0B3020"/>
          </w:tcPr>
          <w:p>
            <w:pPr>
              <w:spacing w:after="0"/>
            </w:pPr>
            <w:r>
              <w:rPr>
                <w:b/>
                <w:color w:val="FFFFFF"/>
                <w:sz w:val="16"/>
              </w:rPr>
              <w:t>Objet</w:t>
            </w:r>
          </w:p>
        </w:tc>
      </w:tr>
      <w:tr>
        <w:tc>
          <w:tcPr>
            <w:tcW w:type="dxa" w:w="2128"/>
          </w:tcPr>
          <w:p>
            <w:pPr>
              <w:spacing w:after="0"/>
            </w:pPr>
            <w:r>
              <w:rPr>
                <w:color w:val="1D1D1D"/>
                <w:sz w:val="16"/>
              </w:rPr>
              <w:t>02_PROJECT_INPUTS</w:t>
            </w:r>
          </w:p>
        </w:tc>
        <w:tc>
          <w:tcPr>
            <w:tcW w:type="dxa" w:w="7510"/>
          </w:tcPr>
          <w:p>
            <w:pPr>
              <w:spacing w:after="0"/>
            </w:pPr>
            <w:r>
              <w:rPr>
                <w:color w:val="1D1D1D"/>
                <w:sz w:val="16"/>
              </w:rPr>
              <w:t>Identité du projet, calendrier, taille de la centrale, hypothèses macroéconomiques et taux d'actualisation</w:t>
            </w:r>
          </w:p>
        </w:tc>
      </w:tr>
      <w:tr>
        <w:tc>
          <w:tcPr>
            <w:tcW w:type="dxa" w:w="2128"/>
            <w:shd w:val="clear" w:color="auto" w:fill="FAF8F2"/>
          </w:tcPr>
          <w:p>
            <w:pPr>
              <w:spacing w:after="0"/>
            </w:pPr>
            <w:r>
              <w:rPr>
                <w:color w:val="1D1D1D"/>
                <w:sz w:val="16"/>
              </w:rPr>
              <w:t>03_HYDROLOGY</w:t>
            </w:r>
          </w:p>
        </w:tc>
        <w:tc>
          <w:tcPr>
            <w:tcW w:type="dxa" w:w="7510"/>
            <w:shd w:val="clear" w:color="auto" w:fill="FAF8F2"/>
          </w:tcPr>
          <w:p>
            <w:pPr>
              <w:spacing w:after="0"/>
            </w:pPr>
            <w:r>
              <w:rPr>
                <w:color w:val="1D1D1D"/>
                <w:sz w:val="16"/>
              </w:rPr>
              <w:t>Hydraulique de la centrale, passage des débits mensuels à la puissance et à l'énergie mensuelles, P50, P75, P90 à un an et P90 à dix ans</w:t>
            </w:r>
          </w:p>
        </w:tc>
      </w:tr>
      <w:tr>
        <w:tc>
          <w:tcPr>
            <w:tcW w:type="dxa" w:w="2128"/>
          </w:tcPr>
          <w:p>
            <w:pPr>
              <w:spacing w:after="0"/>
            </w:pPr>
            <w:r>
              <w:rPr>
                <w:color w:val="1D1D1D"/>
                <w:sz w:val="16"/>
              </w:rPr>
              <w:t>04_GENERATION</w:t>
            </w:r>
          </w:p>
        </w:tc>
        <w:tc>
          <w:tcPr>
            <w:tcW w:type="dxa" w:w="7510"/>
          </w:tcPr>
          <w:p>
            <w:pPr>
              <w:spacing w:after="0"/>
            </w:pPr>
            <w:r>
              <w:rPr>
                <w:color w:val="1D1D1D"/>
                <w:sz w:val="16"/>
              </w:rPr>
              <w:t>Énergie installée, disponible, produite, évacuable, livrée et contractée ; production du cas des prêteurs</w:t>
            </w:r>
          </w:p>
        </w:tc>
      </w:tr>
      <w:tr>
        <w:tc>
          <w:tcPr>
            <w:tcW w:type="dxa" w:w="2128"/>
            <w:shd w:val="clear" w:color="auto" w:fill="FAF8F2"/>
          </w:tcPr>
          <w:p>
            <w:pPr>
              <w:spacing w:after="0"/>
            </w:pPr>
            <w:r>
              <w:rPr>
                <w:color w:val="1D1D1D"/>
                <w:sz w:val="16"/>
              </w:rPr>
              <w:t>05_PLANT_CAPEX</w:t>
            </w:r>
          </w:p>
        </w:tc>
        <w:tc>
          <w:tcPr>
            <w:tcW w:type="dxa" w:w="7510"/>
            <w:shd w:val="clear" w:color="auto" w:fill="FAF8F2"/>
          </w:tcPr>
          <w:p>
            <w:pPr>
              <w:spacing w:after="0"/>
            </w:pPr>
            <w:r>
              <w:rPr>
                <w:color w:val="1D1D1D"/>
                <w:sz w:val="16"/>
              </w:rPr>
              <w:t>Décomposition des coûts, y compris coûts de développement, prime de l'entrepreneur et provisions pour aléas ; comparaison avec les références</w:t>
            </w:r>
          </w:p>
        </w:tc>
      </w:tr>
      <w:tr>
        <w:tc>
          <w:tcPr>
            <w:tcW w:type="dxa" w:w="2128"/>
          </w:tcPr>
          <w:p>
            <w:pPr>
              <w:spacing w:after="0"/>
            </w:pPr>
            <w:r>
              <w:rPr>
                <w:color w:val="1D1D1D"/>
                <w:sz w:val="16"/>
              </w:rPr>
              <w:t>05A_CONTRACTING</w:t>
            </w:r>
          </w:p>
        </w:tc>
        <w:tc>
          <w:tcPr>
            <w:tcW w:type="dxa" w:w="7510"/>
          </w:tcPr>
          <w:p>
            <w:pPr>
              <w:spacing w:after="0"/>
            </w:pPr>
            <w:r>
              <w:rPr>
                <w:color w:val="1D1D1D"/>
                <w:sz w:val="16"/>
              </w:rPr>
              <w:t>Structure clés en main, en lots séparés ou multicontrats : prime de l'entrepreneur et part des dépassements et des retards supportée par le maître d'ouvrage</w:t>
            </w:r>
          </w:p>
        </w:tc>
      </w:tr>
      <w:tr>
        <w:tc>
          <w:tcPr>
            <w:tcW w:type="dxa" w:w="2128"/>
            <w:shd w:val="clear" w:color="auto" w:fill="FAF8F2"/>
          </w:tcPr>
          <w:p>
            <w:pPr>
              <w:spacing w:after="0"/>
            </w:pPr>
            <w:r>
              <w:rPr>
                <w:color w:val="1D1D1D"/>
                <w:sz w:val="16"/>
              </w:rPr>
              <w:t>06_CONSTRUCTION</w:t>
            </w:r>
          </w:p>
        </w:tc>
        <w:tc>
          <w:tcPr>
            <w:tcW w:type="dxa" w:w="7510"/>
            <w:shd w:val="clear" w:color="auto" w:fill="FAF8F2"/>
          </w:tcPr>
          <w:p>
            <w:pPr>
              <w:spacing w:after="0"/>
            </w:pPr>
            <w:r>
              <w:rPr>
                <w:color w:val="1D1D1D"/>
                <w:sz w:val="16"/>
              </w:rPr>
              <w:t>Feuille maîtresse du calendrier, indices IPC et de change, indexation, phasage en courbe en S du coût de la centrale</w:t>
            </w:r>
          </w:p>
        </w:tc>
      </w:tr>
      <w:tr>
        <w:tc>
          <w:tcPr>
            <w:tcW w:type="dxa" w:w="2128"/>
          </w:tcPr>
          <w:p>
            <w:pPr>
              <w:spacing w:after="0"/>
            </w:pPr>
            <w:r>
              <w:rPr>
                <w:color w:val="1D1D1D"/>
                <w:sz w:val="16"/>
              </w:rPr>
              <w:t>07_OPEX</w:t>
            </w:r>
          </w:p>
        </w:tc>
        <w:tc>
          <w:tcPr>
            <w:tcW w:type="dxa" w:w="7510"/>
          </w:tcPr>
          <w:p>
            <w:pPr>
              <w:spacing w:after="0"/>
            </w:pPr>
            <w:r>
              <w:rPr>
                <w:color w:val="1D1D1D"/>
                <w:sz w:val="16"/>
              </w:rPr>
              <w:t>O&amp;M, assurance, réserve de gros entretien, frais généraux et administratifs (G&amp;A), O&amp;M de la ligne de transport du projet, redevance sur l'eau</w:t>
            </w:r>
          </w:p>
        </w:tc>
      </w:tr>
    </w:tbl>
    <w:p>
      <w:pPr>
        <w:spacing w:after="40"/>
      </w:pPr>
    </w:p>
    <w:p>
      <w:pPr>
        <w:jc w:val="both"/>
      </w:pPr>
      <w:r>
        <w:rPr>
          <w:b/>
        </w:rPr>
        <w:t>Système électrique (08 à 10)</w:t>
      </w:r>
    </w:p>
    <w:tbl>
      <w:tblPr>
        <w:tblStyle w:val="TableGrid"/>
        <w:tblW w:type="auto" w:w="0"/>
        <w:jc w:val="center"/>
        <w:tblLook w:firstColumn="1" w:firstRow="1" w:lastColumn="0" w:lastRow="0" w:noHBand="0" w:noVBand="1" w:val="04A0"/>
      </w:tblPr>
      <w:tblGrid>
        <w:gridCol w:w="4819"/>
        <w:gridCol w:w="4819"/>
      </w:tblGrid>
      <w:tr>
        <w:tc>
          <w:tcPr>
            <w:tcW w:type="dxa" w:w="1928"/>
            <w:shd w:val="clear" w:color="auto" w:fill="0B3020"/>
          </w:tcPr>
          <w:p>
            <w:pPr>
              <w:spacing w:after="0"/>
            </w:pPr>
            <w:r>
              <w:rPr>
                <w:b/>
                <w:color w:val="FFFFFF"/>
                <w:sz w:val="16"/>
              </w:rPr>
              <w:t>Feuille</w:t>
            </w:r>
          </w:p>
        </w:tc>
        <w:tc>
          <w:tcPr>
            <w:tcW w:type="dxa" w:w="7710"/>
            <w:shd w:val="clear" w:color="auto" w:fill="0B3020"/>
          </w:tcPr>
          <w:p>
            <w:pPr>
              <w:spacing w:after="0"/>
            </w:pPr>
            <w:r>
              <w:rPr>
                <w:b/>
                <w:color w:val="FFFFFF"/>
                <w:sz w:val="16"/>
              </w:rPr>
              <w:t>Objet</w:t>
            </w:r>
          </w:p>
        </w:tc>
      </w:tr>
      <w:tr>
        <w:tc>
          <w:tcPr>
            <w:tcW w:type="dxa" w:w="1928"/>
          </w:tcPr>
          <w:p>
            <w:pPr>
              <w:spacing w:after="0"/>
            </w:pPr>
            <w:r>
              <w:rPr>
                <w:color w:val="1D1D1D"/>
                <w:sz w:val="16"/>
              </w:rPr>
              <w:t>08_TRANSMISSION</w:t>
            </w:r>
          </w:p>
        </w:tc>
        <w:tc>
          <w:tcPr>
            <w:tcW w:type="dxa" w:w="7710"/>
          </w:tcPr>
          <w:p>
            <w:pPr>
              <w:spacing w:after="0"/>
            </w:pPr>
            <w:r>
              <w:rPr>
                <w:color w:val="1D1D1D"/>
                <w:sz w:val="16"/>
              </w:rPr>
              <w:t>Coût de la ligne, du poste et des renforcements, maîtrise d'ouvrage, mise en service du transport, écart de maturité</w:t>
            </w:r>
          </w:p>
        </w:tc>
      </w:tr>
      <w:tr>
        <w:tc>
          <w:tcPr>
            <w:tcW w:type="dxa" w:w="1928"/>
            <w:shd w:val="clear" w:color="auto" w:fill="FAF8F2"/>
          </w:tcPr>
          <w:p>
            <w:pPr>
              <w:spacing w:after="0"/>
            </w:pPr>
            <w:r>
              <w:rPr>
                <w:color w:val="1D1D1D"/>
                <w:sz w:val="16"/>
              </w:rPr>
              <w:t>09_GRID</w:t>
            </w:r>
          </w:p>
        </w:tc>
        <w:tc>
          <w:tcPr>
            <w:tcW w:type="dxa" w:w="7710"/>
            <w:shd w:val="clear" w:color="auto" w:fill="FAF8F2"/>
          </w:tcPr>
          <w:p>
            <w:pPr>
              <w:spacing w:after="0"/>
            </w:pPr>
            <w:r>
              <w:rPr>
                <w:color w:val="1D1D1D"/>
                <w:sz w:val="16"/>
              </w:rPr>
              <w:t>Pointe du système, limite d'absorption à la charge minimale, capacité d'évacuation, part de la pointe</w:t>
            </w:r>
          </w:p>
        </w:tc>
      </w:tr>
      <w:tr>
        <w:tc>
          <w:tcPr>
            <w:tcW w:type="dxa" w:w="1928"/>
          </w:tcPr>
          <w:p>
            <w:pPr>
              <w:spacing w:after="0"/>
            </w:pPr>
            <w:r>
              <w:rPr>
                <w:color w:val="1D1D1D"/>
                <w:sz w:val="16"/>
              </w:rPr>
              <w:t>10_DEMAND</w:t>
            </w:r>
          </w:p>
        </w:tc>
        <w:tc>
          <w:tcPr>
            <w:tcW w:type="dxa" w:w="7710"/>
          </w:tcPr>
          <w:p>
            <w:pPr>
              <w:spacing w:after="0"/>
            </w:pPr>
            <w:r>
              <w:rPr>
                <w:color w:val="1D1D1D"/>
                <w:sz w:val="16"/>
              </w:rPr>
              <w:t>Demande par segment, demande potentielle, commerciale, contractée et bancable</w:t>
            </w:r>
          </w:p>
        </w:tc>
      </w:tr>
    </w:tbl>
    <w:p>
      <w:pPr>
        <w:spacing w:after="40"/>
      </w:pPr>
    </w:p>
    <w:p>
      <w:pPr>
        <w:jc w:val="both"/>
      </w:pPr>
      <w:r>
        <w:rPr>
          <w:b/>
        </w:rPr>
        <w:t>Acheteur et compagnie d'électricité (11, 12)</w:t>
      </w:r>
    </w:p>
    <w:tbl>
      <w:tblPr>
        <w:tblStyle w:val="TableGrid"/>
        <w:tblW w:type="auto" w:w="0"/>
        <w:jc w:val="center"/>
        <w:tblLook w:firstColumn="1" w:firstRow="1" w:lastColumn="0" w:lastRow="0" w:noHBand="0" w:noVBand="1" w:val="04A0"/>
      </w:tblPr>
      <w:tblGrid>
        <w:gridCol w:w="4819"/>
        <w:gridCol w:w="4819"/>
      </w:tblGrid>
      <w:tr>
        <w:tc>
          <w:tcPr>
            <w:tcW w:type="dxa" w:w="1493"/>
            <w:shd w:val="clear" w:color="auto" w:fill="0B3020"/>
          </w:tcPr>
          <w:p>
            <w:pPr>
              <w:spacing w:after="0"/>
            </w:pPr>
            <w:r>
              <w:rPr>
                <w:b/>
                <w:color w:val="FFFFFF"/>
                <w:sz w:val="16"/>
              </w:rPr>
              <w:t>Feuille</w:t>
            </w:r>
          </w:p>
        </w:tc>
        <w:tc>
          <w:tcPr>
            <w:tcW w:type="dxa" w:w="8145"/>
            <w:shd w:val="clear" w:color="auto" w:fill="0B3020"/>
          </w:tcPr>
          <w:p>
            <w:pPr>
              <w:spacing w:after="0"/>
            </w:pPr>
            <w:r>
              <w:rPr>
                <w:b/>
                <w:color w:val="FFFFFF"/>
                <w:sz w:val="16"/>
              </w:rPr>
              <w:t>Objet</w:t>
            </w:r>
          </w:p>
        </w:tc>
      </w:tr>
      <w:tr>
        <w:tc>
          <w:tcPr>
            <w:tcW w:type="dxa" w:w="1493"/>
          </w:tcPr>
          <w:p>
            <w:pPr>
              <w:spacing w:after="0"/>
            </w:pPr>
            <w:r>
              <w:rPr>
                <w:color w:val="1D1D1D"/>
                <w:sz w:val="16"/>
              </w:rPr>
              <w:t>11_OFFTAKER</w:t>
            </w:r>
          </w:p>
        </w:tc>
        <w:tc>
          <w:tcPr>
            <w:tcW w:type="dxa" w:w="8145"/>
          </w:tcPr>
          <w:p>
            <w:pPr>
              <w:spacing w:after="0"/>
            </w:pPr>
            <w:r>
              <w:rPr>
                <w:color w:val="1D1D1D"/>
                <w:sz w:val="16"/>
              </w:rPr>
              <w:t>Répartition des achats, garantie de paiement en mois de facturation</w:t>
            </w:r>
          </w:p>
        </w:tc>
      </w:tr>
      <w:tr>
        <w:tc>
          <w:tcPr>
            <w:tcW w:type="dxa" w:w="1493"/>
            <w:shd w:val="clear" w:color="auto" w:fill="FAF8F2"/>
          </w:tcPr>
          <w:p>
            <w:pPr>
              <w:spacing w:after="0"/>
            </w:pPr>
            <w:r>
              <w:rPr>
                <w:color w:val="1D1D1D"/>
                <w:sz w:val="16"/>
              </w:rPr>
              <w:t>12_UTILITY</w:t>
            </w:r>
          </w:p>
        </w:tc>
        <w:tc>
          <w:tcPr>
            <w:tcW w:type="dxa" w:w="8145"/>
            <w:shd w:val="clear" w:color="auto" w:fill="FAF8F2"/>
          </w:tcPr>
          <w:p>
            <w:pPr>
              <w:spacing w:after="0"/>
            </w:pPr>
            <w:r>
              <w:rPr>
                <w:color w:val="1D1D1D"/>
                <w:sz w:val="16"/>
              </w:rPr>
              <w:t>Modèle de trésorerie simplifié de la compagnie d'électricité, paiement maximal soutenable au titre du CAE, écart de paiement, scénario contrefactuel sans projet</w:t>
            </w:r>
          </w:p>
        </w:tc>
      </w:tr>
    </w:tbl>
    <w:p>
      <w:pPr>
        <w:spacing w:after="40"/>
      </w:pPr>
    </w:p>
    <w:p>
      <w:pPr>
        <w:jc w:val="both"/>
      </w:pPr>
      <w:r>
        <w:rPr>
          <w:b/>
        </w:rPr>
        <w:t>Régulation, CAE, tarif et recettes (13 à 16)</w:t>
      </w:r>
    </w:p>
    <w:tbl>
      <w:tblPr>
        <w:tblStyle w:val="TableGrid"/>
        <w:tblW w:type="auto" w:w="0"/>
        <w:jc w:val="center"/>
        <w:tblLook w:firstColumn="1" w:firstRow="1" w:lastColumn="0" w:lastRow="0" w:noHBand="0" w:noVBand="1" w:val="04A0"/>
      </w:tblPr>
      <w:tblGrid>
        <w:gridCol w:w="4819"/>
        <w:gridCol w:w="4819"/>
      </w:tblGrid>
      <w:tr>
        <w:tc>
          <w:tcPr>
            <w:tcW w:type="dxa" w:w="1716"/>
            <w:shd w:val="clear" w:color="auto" w:fill="0B3020"/>
          </w:tcPr>
          <w:p>
            <w:pPr>
              <w:spacing w:after="0"/>
            </w:pPr>
            <w:r>
              <w:rPr>
                <w:b/>
                <w:color w:val="FFFFFF"/>
                <w:sz w:val="16"/>
              </w:rPr>
              <w:t>Feuille</w:t>
            </w:r>
          </w:p>
        </w:tc>
        <w:tc>
          <w:tcPr>
            <w:tcW w:type="dxa" w:w="7921"/>
            <w:shd w:val="clear" w:color="auto" w:fill="0B3020"/>
          </w:tcPr>
          <w:p>
            <w:pPr>
              <w:spacing w:after="0"/>
            </w:pPr>
            <w:r>
              <w:rPr>
                <w:b/>
                <w:color w:val="FFFFFF"/>
                <w:sz w:val="16"/>
              </w:rPr>
              <w:t>Objet</w:t>
            </w:r>
          </w:p>
        </w:tc>
      </w:tr>
      <w:tr>
        <w:tc>
          <w:tcPr>
            <w:tcW w:type="dxa" w:w="1716"/>
          </w:tcPr>
          <w:p>
            <w:pPr>
              <w:spacing w:after="0"/>
            </w:pPr>
            <w:r>
              <w:rPr>
                <w:color w:val="1D1D1D"/>
                <w:sz w:val="16"/>
              </w:rPr>
              <w:t>13_REGULATION</w:t>
            </w:r>
          </w:p>
        </w:tc>
        <w:tc>
          <w:tcPr>
            <w:tcW w:type="dxa" w:w="7921"/>
          </w:tcPr>
          <w:p>
            <w:pPr>
              <w:spacing w:after="0"/>
            </w:pPr>
            <w:r>
              <w:rPr>
                <w:color w:val="1D1D1D"/>
                <w:sz w:val="16"/>
              </w:rPr>
              <w:t>Matrice de maturité réglementaire (16 éléments) et données d'entrée de maturité environnementale et sociale (E&amp;S)</w:t>
            </w:r>
          </w:p>
        </w:tc>
      </w:tr>
      <w:tr>
        <w:tc>
          <w:tcPr>
            <w:tcW w:type="dxa" w:w="1716"/>
            <w:shd w:val="clear" w:color="auto" w:fill="FAF8F2"/>
          </w:tcPr>
          <w:p>
            <w:pPr>
              <w:spacing w:after="0"/>
            </w:pPr>
            <w:r>
              <w:rPr>
                <w:color w:val="1D1D1D"/>
                <w:sz w:val="16"/>
              </w:rPr>
              <w:t>14_PPA</w:t>
            </w:r>
          </w:p>
        </w:tc>
        <w:tc>
          <w:tcPr>
            <w:tcW w:type="dxa" w:w="7921"/>
            <w:shd w:val="clear" w:color="auto" w:fill="FAF8F2"/>
          </w:tcPr>
          <w:p>
            <w:pPr>
              <w:spacing w:after="0"/>
            </w:pPr>
            <w:r>
              <w:rPr>
                <w:color w:val="1D1D1D"/>
                <w:sz w:val="16"/>
              </w:rPr>
              <w:t>Redevances de capacité et d'énergie, indexation, part en devises, énergie réputée livrée, take-or-pay, prime de résiliation</w:t>
            </w:r>
          </w:p>
        </w:tc>
      </w:tr>
      <w:tr>
        <w:tc>
          <w:tcPr>
            <w:tcW w:type="dxa" w:w="1716"/>
          </w:tcPr>
          <w:p>
            <w:pPr>
              <w:spacing w:after="0"/>
            </w:pPr>
            <w:r>
              <w:rPr>
                <w:color w:val="1D1D1D"/>
                <w:sz w:val="16"/>
              </w:rPr>
              <w:t>15_TARIFF</w:t>
            </w:r>
          </w:p>
        </w:tc>
        <w:tc>
          <w:tcPr>
            <w:tcW w:type="dxa" w:w="7921"/>
          </w:tcPr>
          <w:p>
            <w:pPr>
              <w:spacing w:after="0"/>
            </w:pPr>
            <w:r>
              <w:rPr>
                <w:color w:val="1D1D1D"/>
                <w:sz w:val="16"/>
              </w:rPr>
              <w:t>Tarif indexé, tarif moyen pondéré, ligne du LCOE, marge d'accessibilité tarifaire</w:t>
            </w:r>
          </w:p>
        </w:tc>
      </w:tr>
      <w:tr>
        <w:tc>
          <w:tcPr>
            <w:tcW w:type="dxa" w:w="1716"/>
            <w:shd w:val="clear" w:color="auto" w:fill="FAF8F2"/>
          </w:tcPr>
          <w:p>
            <w:pPr>
              <w:spacing w:after="0"/>
            </w:pPr>
            <w:r>
              <w:rPr>
                <w:color w:val="1D1D1D"/>
                <w:sz w:val="16"/>
              </w:rPr>
              <w:t>16_REVENUE</w:t>
            </w:r>
          </w:p>
        </w:tc>
        <w:tc>
          <w:tcPr>
            <w:tcW w:type="dxa" w:w="7921"/>
            <w:shd w:val="clear" w:color="auto" w:fill="FAF8F2"/>
          </w:tcPr>
          <w:p>
            <w:pPr>
              <w:spacing w:after="0"/>
            </w:pPr>
            <w:r>
              <w:rPr>
                <w:color w:val="1D1D1D"/>
                <w:sz w:val="16"/>
              </w:rPr>
              <w:t>Énergie payée, recettes facturées, affectation du déficit de la compagnie d'électricité, recettes encaissées, recettes du cas des prêteurs, qualité des recettes</w:t>
            </w:r>
          </w:p>
        </w:tc>
      </w:tr>
    </w:tbl>
    <w:p>
      <w:pPr>
        <w:spacing w:after="40"/>
      </w:pPr>
    </w:p>
    <w:p>
      <w:pPr>
        <w:jc w:val="both"/>
      </w:pPr>
      <w:r>
        <w:rPr>
          <w:b/>
        </w:rPr>
        <w:t>Financement (17 à 21, avec 17A)</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0B3020"/>
          </w:tcPr>
          <w:p>
            <w:pPr>
              <w:spacing w:after="0"/>
            </w:pPr>
            <w:r>
              <w:rPr>
                <w:b/>
                <w:color w:val="FFFFFF"/>
                <w:sz w:val="16"/>
              </w:rPr>
              <w:t>Feuille</w:t>
            </w:r>
          </w:p>
        </w:tc>
        <w:tc>
          <w:tcPr>
            <w:tcW w:type="dxa" w:w="7414"/>
            <w:shd w:val="clear" w:color="auto" w:fill="0B3020"/>
          </w:tcPr>
          <w:p>
            <w:pPr>
              <w:spacing w:after="0"/>
            </w:pPr>
            <w:r>
              <w:rPr>
                <w:b/>
                <w:color w:val="FFFFFF"/>
                <w:sz w:val="16"/>
              </w:rPr>
              <w:t>Objet</w:t>
            </w:r>
          </w:p>
        </w:tc>
      </w:tr>
      <w:tr>
        <w:tc>
          <w:tcPr>
            <w:tcW w:type="dxa" w:w="2224"/>
          </w:tcPr>
          <w:p>
            <w:pPr>
              <w:spacing w:after="0"/>
            </w:pPr>
            <w:r>
              <w:rPr>
                <w:color w:val="1D1D1D"/>
                <w:sz w:val="16"/>
              </w:rPr>
              <w:t>17_PROJECT_FINANCE</w:t>
            </w:r>
          </w:p>
        </w:tc>
        <w:tc>
          <w:tcPr>
            <w:tcW w:type="dxa" w:w="7414"/>
          </w:tcPr>
          <w:p>
            <w:pPr>
              <w:spacing w:after="0"/>
            </w:pPr>
            <w:r>
              <w:rPr>
                <w:color w:val="1D1D1D"/>
                <w:sz w:val="16"/>
              </w:rPr>
              <w:t>Base de financement, ressources et emplois, capacité d'endettement, besoin de financement non couvert, principaux résultats</w:t>
            </w:r>
          </w:p>
        </w:tc>
      </w:tr>
      <w:tr>
        <w:tc>
          <w:tcPr>
            <w:tcW w:type="dxa" w:w="2224"/>
            <w:shd w:val="clear" w:color="auto" w:fill="FAF8F2"/>
          </w:tcPr>
          <w:p>
            <w:pPr>
              <w:spacing w:after="0"/>
            </w:pPr>
            <w:r>
              <w:rPr>
                <w:color w:val="1D1D1D"/>
                <w:sz w:val="16"/>
              </w:rPr>
              <w:t>17A_STRUCTURES</w:t>
            </w:r>
          </w:p>
        </w:tc>
        <w:tc>
          <w:tcPr>
            <w:tcW w:type="dxa" w:w="7414"/>
            <w:shd w:val="clear" w:color="auto" w:fill="FAF8F2"/>
          </w:tcPr>
          <w:p>
            <w:pPr>
              <w:spacing w:after="0"/>
            </w:pPr>
            <w:r>
              <w:rPr>
                <w:color w:val="1D1D1D"/>
                <w:sz w:val="16"/>
              </w:rPr>
              <w:t>Cinq structures pour le même projet, comparaison en temps réel par formules fermées, instantané du moteur complet</w:t>
            </w:r>
          </w:p>
        </w:tc>
      </w:tr>
      <w:tr>
        <w:tc>
          <w:tcPr>
            <w:tcW w:type="dxa" w:w="2224"/>
          </w:tcPr>
          <w:p>
            <w:pPr>
              <w:spacing w:after="0"/>
            </w:pPr>
            <w:r>
              <w:rPr>
                <w:color w:val="1D1D1D"/>
                <w:sz w:val="16"/>
              </w:rPr>
              <w:t>18_DEBT</w:t>
            </w:r>
          </w:p>
        </w:tc>
        <w:tc>
          <w:tcPr>
            <w:tcW w:type="dxa" w:w="7414"/>
          </w:tcPr>
          <w:p>
            <w:pPr>
              <w:spacing w:after="0"/>
            </w:pPr>
            <w:r>
              <w:rPr>
                <w:color w:val="1D1D1D"/>
                <w:sz w:val="16"/>
              </w:rPr>
              <w:t>Données d'entrée du mode figé, facteurs d'intérêts intercalaires (IDC) en formule fermée, flux de trésorerie disponibles pour le service de la dette (CFADS) du cas des prêteurs, sculptage, deux tranches, cible du DSRA</w:t>
            </w:r>
          </w:p>
        </w:tc>
      </w:tr>
      <w:tr>
        <w:tc>
          <w:tcPr>
            <w:tcW w:type="dxa" w:w="2224"/>
            <w:shd w:val="clear" w:color="auto" w:fill="FAF8F2"/>
          </w:tcPr>
          <w:p>
            <w:pPr>
              <w:spacing w:after="0"/>
            </w:pPr>
            <w:r>
              <w:rPr>
                <w:color w:val="1D1D1D"/>
                <w:sz w:val="16"/>
              </w:rPr>
              <w:t>19_EQUITY</w:t>
            </w:r>
          </w:p>
        </w:tc>
        <w:tc>
          <w:tcPr>
            <w:tcW w:type="dxa" w:w="7414"/>
            <w:shd w:val="clear" w:color="auto" w:fill="FAF8F2"/>
          </w:tcPr>
          <w:p>
            <w:pPr>
              <w:spacing w:after="0"/>
            </w:pPr>
            <w:r>
              <w:rPr>
                <w:color w:val="1D1D1D"/>
                <w:sz w:val="16"/>
              </w:rPr>
              <w:t>Totaux des fonds propres, rendements par détenteur, valeur terminale des fonds propres privés</w:t>
            </w:r>
          </w:p>
        </w:tc>
      </w:tr>
      <w:tr>
        <w:tc>
          <w:tcPr>
            <w:tcW w:type="dxa" w:w="2224"/>
          </w:tcPr>
          <w:p>
            <w:pPr>
              <w:spacing w:after="0"/>
            </w:pPr>
            <w:r>
              <w:rPr>
                <w:color w:val="1D1D1D"/>
                <w:sz w:val="16"/>
              </w:rPr>
              <w:t>20_CASH_FLOW</w:t>
            </w:r>
          </w:p>
        </w:tc>
        <w:tc>
          <w:tcPr>
            <w:tcW w:type="dxa" w:w="7414"/>
          </w:tcPr>
          <w:p>
            <w:pPr>
              <w:spacing w:after="0"/>
            </w:pPr>
            <w:r>
              <w:rPr>
                <w:color w:val="1D1D1D"/>
                <w:sz w:val="16"/>
              </w:rPr>
              <w:t>Financement de la construction, cascade des flux d'exploitation, mouvements du DSRA, distributions, flux de trésorerie des fonds propres, séries du LCOE</w:t>
            </w:r>
          </w:p>
        </w:tc>
      </w:tr>
      <w:tr>
        <w:tc>
          <w:tcPr>
            <w:tcW w:type="dxa" w:w="2224"/>
            <w:shd w:val="clear" w:color="auto" w:fill="FAF8F2"/>
          </w:tcPr>
          <w:p>
            <w:pPr>
              <w:spacing w:after="0"/>
            </w:pPr>
            <w:r>
              <w:rPr>
                <w:color w:val="1D1D1D"/>
                <w:sz w:val="16"/>
              </w:rPr>
              <w:t>21_TAX</w:t>
            </w:r>
          </w:p>
        </w:tc>
        <w:tc>
          <w:tcPr>
            <w:tcW w:type="dxa" w:w="7414"/>
            <w:shd w:val="clear" w:color="auto" w:fill="FAF8F2"/>
          </w:tcPr>
          <w:p>
            <w:pPr>
              <w:spacing w:after="0"/>
            </w:pPr>
            <w:r>
              <w:rPr>
                <w:color w:val="1D1D1D"/>
                <w:sz w:val="16"/>
              </w:rPr>
              <w:t>Amortissements, report des déficits, exonération fiscale temporaire, impôt hors effet de levier</w:t>
            </w:r>
          </w:p>
        </w:tc>
      </w:tr>
    </w:tbl>
    <w:p>
      <w:pPr>
        <w:spacing w:after="40"/>
      </w:pPr>
    </w:p>
    <w:p>
      <w:pPr>
        <w:jc w:val="both"/>
      </w:pPr>
      <w:r>
        <w:rPr>
          <w:b/>
        </w:rPr>
        <w:t>Finances publiques (22 à 26)</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0B3020"/>
          </w:tcPr>
          <w:p>
            <w:pPr>
              <w:spacing w:after="0"/>
            </w:pPr>
            <w:r>
              <w:rPr>
                <w:b/>
                <w:color w:val="FFFFFF"/>
                <w:sz w:val="16"/>
              </w:rPr>
              <w:t>Feuille</w:t>
            </w:r>
          </w:p>
        </w:tc>
        <w:tc>
          <w:tcPr>
            <w:tcW w:type="dxa" w:w="6803"/>
            <w:shd w:val="clear" w:color="auto" w:fill="0B3020"/>
          </w:tcPr>
          <w:p>
            <w:pPr>
              <w:spacing w:after="0"/>
            </w:pPr>
            <w:r>
              <w:rPr>
                <w:b/>
                <w:color w:val="FFFFFF"/>
                <w:sz w:val="16"/>
              </w:rPr>
              <w:t>Objet</w:t>
            </w:r>
          </w:p>
        </w:tc>
      </w:tr>
      <w:tr>
        <w:tc>
          <w:tcPr>
            <w:tcW w:type="dxa" w:w="2835"/>
          </w:tcPr>
          <w:p>
            <w:pPr>
              <w:spacing w:after="0"/>
            </w:pPr>
            <w:r>
              <w:rPr>
                <w:color w:val="1D1D1D"/>
                <w:sz w:val="16"/>
              </w:rPr>
              <w:t>22_GOVERNMENT_SUPPORT</w:t>
            </w:r>
          </w:p>
        </w:tc>
        <w:tc>
          <w:tcPr>
            <w:tcW w:type="dxa" w:w="6803"/>
          </w:tcPr>
          <w:p>
            <w:pPr>
              <w:spacing w:after="0"/>
            </w:pPr>
            <w:r>
              <w:rPr>
                <w:color w:val="1D1D1D"/>
                <w:sz w:val="16"/>
              </w:rPr>
              <w:t>Exposition directe de l'État en trésorerie</w:t>
            </w:r>
          </w:p>
        </w:tc>
      </w:tr>
      <w:tr>
        <w:tc>
          <w:tcPr>
            <w:tcW w:type="dxa" w:w="2835"/>
            <w:shd w:val="clear" w:color="auto" w:fill="FAF8F2"/>
          </w:tcPr>
          <w:p>
            <w:pPr>
              <w:spacing w:after="0"/>
            </w:pPr>
            <w:r>
              <w:rPr>
                <w:color w:val="1D1D1D"/>
                <w:sz w:val="16"/>
              </w:rPr>
              <w:t>23_GUARANTEES</w:t>
            </w:r>
          </w:p>
        </w:tc>
        <w:tc>
          <w:tcPr>
            <w:tcW w:type="dxa" w:w="6803"/>
            <w:shd w:val="clear" w:color="auto" w:fill="FAF8F2"/>
          </w:tcPr>
          <w:p>
            <w:pPr>
              <w:spacing w:after="0"/>
            </w:pPr>
            <w:r>
              <w:rPr>
                <w:color w:val="1D1D1D"/>
                <w:sz w:val="16"/>
              </w:rPr>
              <w:t>Exposition par instrument, année par année</w:t>
            </w:r>
          </w:p>
        </w:tc>
      </w:tr>
      <w:tr>
        <w:tc>
          <w:tcPr>
            <w:tcW w:type="dxa" w:w="2835"/>
          </w:tcPr>
          <w:p>
            <w:pPr>
              <w:spacing w:after="0"/>
            </w:pPr>
            <w:r>
              <w:rPr>
                <w:color w:val="1D1D1D"/>
                <w:sz w:val="16"/>
              </w:rPr>
              <w:t>24_CONTINGENT_LIABILITIES</w:t>
            </w:r>
          </w:p>
        </w:tc>
        <w:tc>
          <w:tcPr>
            <w:tcW w:type="dxa" w:w="6803"/>
          </w:tcPr>
          <w:p>
            <w:pPr>
              <w:spacing w:after="0"/>
            </w:pPr>
            <w:r>
              <w:rPr>
                <w:color w:val="1D1D1D"/>
                <w:sz w:val="16"/>
              </w:rPr>
              <w:t>Exposition simultanée maximale, appels déterministes, perte attendue</w:t>
            </w:r>
          </w:p>
        </w:tc>
      </w:tr>
      <w:tr>
        <w:tc>
          <w:tcPr>
            <w:tcW w:type="dxa" w:w="2835"/>
            <w:shd w:val="clear" w:color="auto" w:fill="FAF8F2"/>
          </w:tcPr>
          <w:p>
            <w:pPr>
              <w:spacing w:after="0"/>
            </w:pPr>
            <w:r>
              <w:rPr>
                <w:color w:val="1D1D1D"/>
                <w:sz w:val="16"/>
              </w:rPr>
              <w:t>25_FISCAL_IMPACT</w:t>
            </w:r>
          </w:p>
        </w:tc>
        <w:tc>
          <w:tcPr>
            <w:tcW w:type="dxa" w:w="6803"/>
            <w:shd w:val="clear" w:color="auto" w:fill="FAF8F2"/>
          </w:tcPr>
          <w:p>
            <w:pPr>
              <w:spacing w:after="0"/>
            </w:pPr>
            <w:r>
              <w:rPr>
                <w:color w:val="1D1D1D"/>
                <w:sz w:val="16"/>
              </w:rPr>
              <w:t>Flux budgétaire net, VAN budgétaire centrale et consolidée</w:t>
            </w:r>
          </w:p>
        </w:tc>
      </w:tr>
      <w:tr>
        <w:tc>
          <w:tcPr>
            <w:tcW w:type="dxa" w:w="2835"/>
          </w:tcPr>
          <w:p>
            <w:pPr>
              <w:spacing w:after="0"/>
            </w:pPr>
            <w:r>
              <w:rPr>
                <w:color w:val="1D1D1D"/>
                <w:sz w:val="16"/>
              </w:rPr>
              <w:t>26_DEBT_SUSTAINABILITY</w:t>
            </w:r>
          </w:p>
        </w:tc>
        <w:tc>
          <w:tcPr>
            <w:tcW w:type="dxa" w:w="6803"/>
          </w:tcPr>
          <w:p>
            <w:pPr>
              <w:spacing w:after="0"/>
            </w:pPr>
            <w:r>
              <w:rPr>
                <w:color w:val="1D1D1D"/>
                <w:sz w:val="16"/>
              </w:rPr>
              <w:t>Filtre de l'exposition budgétaire au niveau du projet (pas une analyse de soutenabilité de la dette)</w:t>
            </w:r>
          </w:p>
        </w:tc>
      </w:tr>
    </w:tbl>
    <w:p>
      <w:pPr>
        <w:spacing w:after="40"/>
      </w:pPr>
    </w:p>
    <w:p>
      <w:pPr>
        <w:jc w:val="both"/>
      </w:pPr>
      <w:r>
        <w:rPr>
          <w:b/>
        </w:rPr>
        <w:t>Scénarios et risques (27 à 29)</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0B3020"/>
          </w:tcPr>
          <w:p>
            <w:pPr>
              <w:spacing w:after="0"/>
            </w:pPr>
            <w:r>
              <w:rPr>
                <w:b/>
                <w:color w:val="FFFFFF"/>
                <w:sz w:val="16"/>
              </w:rPr>
              <w:t>Feuille</w:t>
            </w:r>
          </w:p>
        </w:tc>
        <w:tc>
          <w:tcPr>
            <w:tcW w:type="dxa" w:w="7414"/>
            <w:shd w:val="clear" w:color="auto" w:fill="0B3020"/>
          </w:tcPr>
          <w:p>
            <w:pPr>
              <w:spacing w:after="0"/>
            </w:pPr>
            <w:r>
              <w:rPr>
                <w:b/>
                <w:color w:val="FFFFFF"/>
                <w:sz w:val="16"/>
              </w:rPr>
              <w:t>Objet</w:t>
            </w:r>
          </w:p>
        </w:tc>
      </w:tr>
      <w:tr>
        <w:tc>
          <w:tcPr>
            <w:tcW w:type="dxa" w:w="2224"/>
          </w:tcPr>
          <w:p>
            <w:pPr>
              <w:spacing w:after="0"/>
            </w:pPr>
            <w:r>
              <w:rPr>
                <w:color w:val="1D1D1D"/>
                <w:sz w:val="16"/>
              </w:rPr>
              <w:t>27_SCENARIOS</w:t>
            </w:r>
          </w:p>
        </w:tc>
        <w:tc>
          <w:tcPr>
            <w:tcW w:type="dxa" w:w="7414"/>
          </w:tcPr>
          <w:p>
            <w:pPr>
              <w:spacing w:after="0"/>
            </w:pPr>
            <w:r>
              <w:rPr>
                <w:color w:val="1D1D1D"/>
                <w:sz w:val="16"/>
              </w:rPr>
              <w:t>Tableau des cas, paramètres de stress, leviers effectifs, instantané des scénarios sur le moteur complet</w:t>
            </w:r>
          </w:p>
        </w:tc>
      </w:tr>
      <w:tr>
        <w:tc>
          <w:tcPr>
            <w:tcW w:type="dxa" w:w="2224"/>
            <w:shd w:val="clear" w:color="auto" w:fill="FAF8F2"/>
          </w:tcPr>
          <w:p>
            <w:pPr>
              <w:spacing w:after="0"/>
            </w:pPr>
            <w:r>
              <w:rPr>
                <w:color w:val="1D1D1D"/>
                <w:sz w:val="16"/>
              </w:rPr>
              <w:t>28_SENSITIVITY</w:t>
            </w:r>
          </w:p>
        </w:tc>
        <w:tc>
          <w:tcPr>
            <w:tcW w:type="dxa" w:w="7414"/>
            <w:shd w:val="clear" w:color="auto" w:fill="FAF8F2"/>
          </w:tcPr>
          <w:p>
            <w:pPr>
              <w:spacing w:after="0"/>
            </w:pPr>
            <w:r>
              <w:rPr>
                <w:color w:val="1D1D1D"/>
                <w:sz w:val="16"/>
              </w:rPr>
              <w:t>Diagramme en tornade du LCOE en temps réel par formules fermées, instantané des sensibilités sur le moteur complet</w:t>
            </w:r>
          </w:p>
        </w:tc>
      </w:tr>
      <w:tr>
        <w:tc>
          <w:tcPr>
            <w:tcW w:type="dxa" w:w="2224"/>
          </w:tcPr>
          <w:p>
            <w:pPr>
              <w:spacing w:after="0"/>
            </w:pPr>
            <w:r>
              <w:rPr>
                <w:color w:val="1D1D1D"/>
                <w:sz w:val="16"/>
              </w:rPr>
              <w:t>29_RISK_ALLOCATION</w:t>
            </w:r>
          </w:p>
        </w:tc>
        <w:tc>
          <w:tcPr>
            <w:tcW w:type="dxa" w:w="7414"/>
          </w:tcPr>
          <w:p>
            <w:pPr>
              <w:spacing w:after="0"/>
            </w:pPr>
            <w:r>
              <w:rPr>
                <w:color w:val="1D1D1D"/>
                <w:sz w:val="16"/>
              </w:rPr>
              <w:t>16 risques face à 8 parties, possibilité d'atténuation et instruments</w:t>
            </w:r>
          </w:p>
        </w:tc>
      </w:tr>
    </w:tbl>
    <w:p>
      <w:pPr>
        <w:spacing w:after="40"/>
      </w:pPr>
    </w:p>
    <w:p>
      <w:pPr>
        <w:jc w:val="both"/>
      </w:pPr>
      <w:r>
        <w:rPr>
          <w:b/>
        </w:rPr>
        <w:t>Portes, résultats et assurance qualité (30 à 35)</w:t>
      </w:r>
    </w:p>
    <w:tbl>
      <w:tblPr>
        <w:tblStyle w:val="TableGrid"/>
        <w:tblW w:type="auto" w:w="0"/>
        <w:jc w:val="center"/>
        <w:tblLook w:firstColumn="1" w:firstRow="1" w:lastColumn="0" w:lastRow="0" w:noHBand="0" w:noVBand="1" w:val="04A0"/>
      </w:tblPr>
      <w:tblGrid>
        <w:gridCol w:w="4819"/>
        <w:gridCol w:w="4819"/>
      </w:tblGrid>
      <w:tr>
        <w:tc>
          <w:tcPr>
            <w:tcW w:type="dxa" w:w="2318"/>
            <w:shd w:val="clear" w:color="auto" w:fill="0B3020"/>
          </w:tcPr>
          <w:p>
            <w:pPr>
              <w:spacing w:after="0"/>
            </w:pPr>
            <w:r>
              <w:rPr>
                <w:b/>
                <w:color w:val="FFFFFF"/>
                <w:sz w:val="16"/>
              </w:rPr>
              <w:t>Feuille</w:t>
            </w:r>
          </w:p>
        </w:tc>
        <w:tc>
          <w:tcPr>
            <w:tcW w:type="dxa" w:w="7320"/>
            <w:shd w:val="clear" w:color="auto" w:fill="0B3020"/>
          </w:tcPr>
          <w:p>
            <w:pPr>
              <w:spacing w:after="0"/>
            </w:pPr>
            <w:r>
              <w:rPr>
                <w:b/>
                <w:color w:val="FFFFFF"/>
                <w:sz w:val="16"/>
              </w:rPr>
              <w:t>Objet</w:t>
            </w:r>
          </w:p>
        </w:tc>
      </w:tr>
      <w:tr>
        <w:tc>
          <w:tcPr>
            <w:tcW w:type="dxa" w:w="2318"/>
          </w:tcPr>
          <w:p>
            <w:pPr>
              <w:spacing w:after="0"/>
            </w:pPr>
            <w:r>
              <w:rPr>
                <w:color w:val="1D1D1D"/>
                <w:sz w:val="16"/>
              </w:rPr>
              <w:t>30_BANKABILITY</w:t>
            </w:r>
          </w:p>
        </w:tc>
        <w:tc>
          <w:tcPr>
            <w:tcW w:type="dxa" w:w="7320"/>
          </w:tcPr>
          <w:p>
            <w:pPr>
              <w:spacing w:after="0"/>
            </w:pPr>
            <w:r>
              <w:rPr>
                <w:color w:val="1D1D1D"/>
                <w:sz w:val="16"/>
              </w:rPr>
              <w:t>Filtre de bancabilité à neuf portes pour la phase de développement, notation selon le maillon le plus faible, actions classées par priorité</w:t>
            </w:r>
          </w:p>
        </w:tc>
      </w:tr>
      <w:tr>
        <w:tc>
          <w:tcPr>
            <w:tcW w:type="dxa" w:w="2318"/>
            <w:shd w:val="clear" w:color="auto" w:fill="FAF8F2"/>
          </w:tcPr>
          <w:p>
            <w:pPr>
              <w:spacing w:after="0"/>
            </w:pPr>
            <w:r>
              <w:rPr>
                <w:color w:val="1D1D1D"/>
                <w:sz w:val="16"/>
              </w:rPr>
              <w:t>30A_CLOSE_READINESS</w:t>
            </w:r>
          </w:p>
        </w:tc>
        <w:tc>
          <w:tcPr>
            <w:tcW w:type="dxa" w:w="7320"/>
            <w:shd w:val="clear" w:color="auto" w:fill="FAF8F2"/>
          </w:tcPr>
          <w:p>
            <w:pPr>
              <w:spacing w:after="0"/>
            </w:pPr>
            <w:r>
              <w:rPr>
                <w:color w:val="1D1D1D"/>
                <w:sz w:val="16"/>
              </w:rPr>
              <w:t>23 portes de bouclage financier, la preuve d'abord ; échelle de décision ; synthèse par question du cadre</w:t>
            </w:r>
          </w:p>
        </w:tc>
      </w:tr>
      <w:tr>
        <w:tc>
          <w:tcPr>
            <w:tcW w:type="dxa" w:w="2318"/>
          </w:tcPr>
          <w:p>
            <w:pPr>
              <w:spacing w:after="0"/>
            </w:pPr>
            <w:r>
              <w:rPr>
                <w:color w:val="1D1D1D"/>
                <w:sz w:val="16"/>
              </w:rPr>
              <w:t>31_CASE_STUDY</w:t>
            </w:r>
          </w:p>
        </w:tc>
        <w:tc>
          <w:tcPr>
            <w:tcW w:type="dxa" w:w="7320"/>
          </w:tcPr>
          <w:p>
            <w:pPr>
              <w:spacing w:after="0"/>
            </w:pPr>
            <w:r>
              <w:rPr>
                <w:color w:val="1D1D1D"/>
                <w:sz w:val="16"/>
              </w:rPr>
              <w:t>Kasiri comparé à 15 cas de référence publics (coût unitaire tel que publié, sans ajustement)</w:t>
            </w:r>
          </w:p>
        </w:tc>
      </w:tr>
      <w:tr>
        <w:tc>
          <w:tcPr>
            <w:tcW w:type="dxa" w:w="2318"/>
            <w:shd w:val="clear" w:color="auto" w:fill="FAF8F2"/>
          </w:tcPr>
          <w:p>
            <w:pPr>
              <w:spacing w:after="0"/>
            </w:pPr>
            <w:r>
              <w:rPr>
                <w:color w:val="1D1D1D"/>
                <w:sz w:val="16"/>
              </w:rPr>
              <w:t>32_DASHBOARD</w:t>
            </w:r>
          </w:p>
        </w:tc>
        <w:tc>
          <w:tcPr>
            <w:tcW w:type="dxa" w:w="7320"/>
            <w:shd w:val="clear" w:color="auto" w:fill="FAF8F2"/>
          </w:tcPr>
          <w:p>
            <w:pPr>
              <w:spacing w:after="0"/>
            </w:pPr>
            <w:r>
              <w:rPr>
                <w:color w:val="1D1D1D"/>
                <w:sz w:val="16"/>
              </w:rPr>
              <w:t>Résultats principaux pour le projet, le financement, le développeur, le système électrique, la compagnie d'électricité et les finances publiques ; les deux niveaux de portes ; les cinq principaux écarts et actions ; quatre graphiques</w:t>
            </w:r>
          </w:p>
        </w:tc>
      </w:tr>
      <w:tr>
        <w:tc>
          <w:tcPr>
            <w:tcW w:type="dxa" w:w="2318"/>
          </w:tcPr>
          <w:p>
            <w:pPr>
              <w:spacing w:after="0"/>
            </w:pPr>
            <w:r>
              <w:rPr>
                <w:color w:val="1D1D1D"/>
                <w:sz w:val="16"/>
              </w:rPr>
              <w:t>33_CHECKS</w:t>
            </w:r>
          </w:p>
        </w:tc>
        <w:tc>
          <w:tcPr>
            <w:tcW w:type="dxa" w:w="7320"/>
          </w:tcPr>
          <w:p>
            <w:pPr>
              <w:spacing w:after="0"/>
            </w:pPr>
            <w:r>
              <w:rPr>
                <w:color w:val="1D1D1D"/>
                <w:sz w:val="16"/>
              </w:rPr>
              <w:t>14 contrôles d'intégrité</w:t>
            </w:r>
          </w:p>
        </w:tc>
      </w:tr>
      <w:tr>
        <w:tc>
          <w:tcPr>
            <w:tcW w:type="dxa" w:w="2318"/>
            <w:shd w:val="clear" w:color="auto" w:fill="FAF8F2"/>
          </w:tcPr>
          <w:p>
            <w:pPr>
              <w:spacing w:after="0"/>
            </w:pPr>
            <w:r>
              <w:rPr>
                <w:color w:val="1D1D1D"/>
                <w:sz w:val="16"/>
              </w:rPr>
              <w:t>34_FRAMEWORK_MAP</w:t>
            </w:r>
          </w:p>
        </w:tc>
        <w:tc>
          <w:tcPr>
            <w:tcW w:type="dxa" w:w="7320"/>
            <w:shd w:val="clear" w:color="auto" w:fill="FAF8F2"/>
          </w:tcPr>
          <w:p>
            <w:pPr>
              <w:spacing w:after="0"/>
            </w:pPr>
            <w:r>
              <w:rPr>
                <w:color w:val="1D1D1D"/>
                <w:sz w:val="16"/>
              </w:rPr>
              <w:t>Chacune des 23 portes rattachée à sa question, à la partie qui l'accepte, à la feuille du modèle, à l'indicateur et aux chapitres du livre ; le filtre à neuf portes rattaché aux questions</w:t>
            </w:r>
          </w:p>
        </w:tc>
      </w:tr>
      <w:tr>
        <w:tc>
          <w:tcPr>
            <w:tcW w:type="dxa" w:w="2318"/>
          </w:tcPr>
          <w:p>
            <w:pPr>
              <w:spacing w:after="0"/>
            </w:pPr>
            <w:r>
              <w:rPr>
                <w:color w:val="1D1D1D"/>
                <w:sz w:val="16"/>
              </w:rPr>
              <w:t>35_BOOK_CHECK</w:t>
            </w:r>
          </w:p>
        </w:tc>
        <w:tc>
          <w:tcPr>
            <w:tcW w:type="dxa" w:w="7320"/>
          </w:tcPr>
          <w:p>
            <w:pPr>
              <w:spacing w:after="0"/>
            </w:pPr>
            <w:r>
              <w:rPr>
                <w:color w:val="1D1D1D"/>
                <w:sz w:val="16"/>
              </w:rPr>
              <w:t>Modèle en temps réel comparé aux chiffres du cas Kasiri imprimés dans le Livre 7</w:t>
            </w:r>
          </w:p>
        </w:tc>
      </w:tr>
    </w:tbl>
    <w:p>
      <w:pPr>
        <w:spacing w:after="40"/>
      </w:pPr>
    </w:p>
    <w:p>
      <w:r>
        <w:br w:type="page"/>
      </w:r>
    </w:p>
    <w:p>
      <w:pPr>
        <w:pStyle w:val="Heading1"/>
        <w:pBdr>
          <w:bottom w:val="single" w:sz="12" w:space="4" w:color="B07C0F"/>
        </w:pBdr>
      </w:pPr>
      <w:r>
        <w:t>4. Prise en main rapide (15 minutes) sur le cas Kasiri</w:t>
      </w:r>
    </w:p>
    <w:p>
      <w:pPr>
        <w:jc w:val="both"/>
      </w:pPr>
      <w:r>
        <w:rPr/>
        <w:t xml:space="preserve">Ouvrez le classeur avec les données d'entrée par défaut. S'il a été enregistré en dernier par LibreOffice, exécutez </w:t>
      </w:r>
      <w:r>
        <w:rPr>
          <w:rFonts w:ascii="Courier New" w:hAnsi="Courier New"/>
        </w:rPr>
        <w:t>tools/model/excel_quote_fix.py</w:t>
      </w:r>
      <w:r>
        <w:rPr/>
        <w:t xml:space="preserve"> sur ce fichier avant de l'ouvrir dans Excel (section 7.6).</w:t>
      </w:r>
    </w:p>
    <w:p>
      <w:pPr>
        <w:jc w:val="both"/>
      </w:pPr>
      <w:r>
        <w:rPr>
          <w:b/>
        </w:rPr>
        <w:t>Étape 1. Vérifier les valeurs par défaut (2 minutes).</w:t>
      </w:r>
      <w:r>
        <w:rPr/>
        <w:t xml:space="preserve"> Sur </w:t>
      </w:r>
      <w:r>
        <w:rPr>
          <w:i/>
        </w:rPr>
        <w:t>01_CONTROL_PANEL</w:t>
      </w:r>
      <w:r>
        <w:rPr/>
        <w:t xml:space="preserve"> :</w:t>
      </w:r>
    </w:p>
    <w:tbl>
      <w:tblPr>
        <w:tblStyle w:val="TableGrid"/>
        <w:tblW w:type="auto" w:w="0"/>
        <w:jc w:val="center"/>
        <w:tblLook w:firstColumn="1" w:firstRow="1" w:lastColumn="0" w:lastRow="0" w:noHBand="0" w:noVBand="1" w:val="04A0"/>
      </w:tblPr>
      <w:tblGrid>
        <w:gridCol w:w="3213"/>
        <w:gridCol w:w="3213"/>
        <w:gridCol w:w="3213"/>
      </w:tblGrid>
      <w:tr>
        <w:tc>
          <w:tcPr>
            <w:tcW w:type="dxa" w:w="2702"/>
            <w:shd w:val="clear" w:color="auto" w:fill="0B3020"/>
          </w:tcPr>
          <w:p>
            <w:pPr>
              <w:spacing w:after="0"/>
            </w:pPr>
            <w:r>
              <w:rPr>
                <w:b/>
                <w:color w:val="FFFFFF"/>
                <w:sz w:val="16"/>
              </w:rPr>
              <w:t>Donnée d'entrée</w:t>
            </w:r>
          </w:p>
        </w:tc>
        <w:tc>
          <w:tcPr>
            <w:tcW w:type="dxa" w:w="1531"/>
            <w:shd w:val="clear" w:color="auto" w:fill="0B3020"/>
          </w:tcPr>
          <w:p>
            <w:pPr>
              <w:spacing w:after="0"/>
            </w:pPr>
            <w:r>
              <w:rPr>
                <w:b/>
                <w:color w:val="FFFFFF"/>
                <w:sz w:val="16"/>
              </w:rPr>
              <w:t>Valeur par défaut</w:t>
            </w:r>
          </w:p>
        </w:tc>
        <w:tc>
          <w:tcPr>
            <w:tcW w:type="dxa" w:w="5404"/>
            <w:shd w:val="clear" w:color="auto" w:fill="0B3020"/>
          </w:tcPr>
          <w:p>
            <w:pPr>
              <w:spacing w:after="0"/>
            </w:pPr>
            <w:r>
              <w:rPr>
                <w:b/>
                <w:color w:val="FFFFFF"/>
                <w:sz w:val="16"/>
              </w:rPr>
              <w:t>Signification</w:t>
            </w:r>
          </w:p>
        </w:tc>
      </w:tr>
      <w:tr>
        <w:tc>
          <w:tcPr>
            <w:tcW w:type="dxa" w:w="2702"/>
          </w:tcPr>
          <w:p>
            <w:pPr>
              <w:spacing w:after="0"/>
            </w:pPr>
            <w:r>
              <w:rPr>
                <w:rFonts w:ascii="Courier New" w:hAnsi="Courier New"/>
                <w:color w:val="1D1D1D"/>
                <w:sz w:val="16"/>
              </w:rPr>
              <w:t>case</w:t>
            </w:r>
          </w:p>
        </w:tc>
        <w:tc>
          <w:tcPr>
            <w:tcW w:type="dxa" w:w="1531"/>
          </w:tcPr>
          <w:p>
            <w:pPr>
              <w:spacing w:after="0"/>
            </w:pPr>
            <w:r>
              <w:rPr>
                <w:color w:val="1D1D1D"/>
                <w:sz w:val="16"/>
              </w:rPr>
              <w:t>1</w:t>
            </w:r>
          </w:p>
        </w:tc>
        <w:tc>
          <w:tcPr>
            <w:tcW w:type="dxa" w:w="5404"/>
          </w:tcPr>
          <w:p>
            <w:pPr>
              <w:spacing w:after="0"/>
            </w:pPr>
            <w:r>
              <w:rPr>
                <w:color w:val="1D1D1D"/>
                <w:sz w:val="16"/>
              </w:rPr>
              <w:t>Cas de base</w:t>
            </w:r>
          </w:p>
        </w:tc>
      </w:tr>
      <w:tr>
        <w:tc>
          <w:tcPr>
            <w:tcW w:type="dxa" w:w="2702"/>
            <w:shd w:val="clear" w:color="auto" w:fill="FAF8F2"/>
          </w:tcPr>
          <w:p>
            <w:pPr>
              <w:spacing w:after="0"/>
            </w:pPr>
            <w:r>
              <w:rPr>
                <w:rFonts w:ascii="Courier New" w:hAnsi="Courier New"/>
                <w:color w:val="1D1D1D"/>
                <w:sz w:val="16"/>
              </w:rPr>
              <w:t>gen_case</w:t>
            </w:r>
          </w:p>
        </w:tc>
        <w:tc>
          <w:tcPr>
            <w:tcW w:type="dxa" w:w="1531"/>
            <w:shd w:val="clear" w:color="auto" w:fill="FAF8F2"/>
          </w:tcPr>
          <w:p>
            <w:pPr>
              <w:spacing w:after="0"/>
            </w:pPr>
            <w:r>
              <w:rPr>
                <w:color w:val="1D1D1D"/>
                <w:sz w:val="16"/>
              </w:rPr>
              <w:t>1</w:t>
            </w:r>
          </w:p>
        </w:tc>
        <w:tc>
          <w:tcPr>
            <w:tcW w:type="dxa" w:w="5404"/>
            <w:shd w:val="clear" w:color="auto" w:fill="FAF8F2"/>
          </w:tcPr>
          <w:p>
            <w:pPr>
              <w:spacing w:after="0"/>
            </w:pPr>
            <w:r>
              <w:rPr>
                <w:color w:val="1D1D1D"/>
                <w:sz w:val="16"/>
              </w:rPr>
              <w:t>P50 dans les flux de trésorerie</w:t>
            </w:r>
          </w:p>
        </w:tc>
      </w:tr>
      <w:tr>
        <w:tc>
          <w:tcPr>
            <w:tcW w:type="dxa" w:w="2702"/>
          </w:tcPr>
          <w:p>
            <w:pPr>
              <w:spacing w:after="0"/>
            </w:pPr>
            <w:r>
              <w:rPr>
                <w:rFonts w:ascii="Courier New" w:hAnsi="Courier New"/>
                <w:color w:val="1D1D1D"/>
                <w:sz w:val="16"/>
              </w:rPr>
              <w:t>lender_case</w:t>
            </w:r>
          </w:p>
        </w:tc>
        <w:tc>
          <w:tcPr>
            <w:tcW w:type="dxa" w:w="1531"/>
          </w:tcPr>
          <w:p>
            <w:pPr>
              <w:spacing w:after="0"/>
            </w:pPr>
            <w:r>
              <w:rPr>
                <w:color w:val="1D1D1D"/>
                <w:sz w:val="16"/>
              </w:rPr>
              <w:t>4</w:t>
            </w:r>
          </w:p>
        </w:tc>
        <w:tc>
          <w:tcPr>
            <w:tcW w:type="dxa" w:w="5404"/>
          </w:tcPr>
          <w:p>
            <w:pPr>
              <w:spacing w:after="0"/>
            </w:pPr>
            <w:r>
              <w:rPr>
                <w:color w:val="1D1D1D"/>
                <w:sz w:val="16"/>
              </w:rPr>
              <w:t>Dette dimensionnée sur le P90 à dix ans</w:t>
            </w:r>
          </w:p>
        </w:tc>
      </w:tr>
      <w:tr>
        <w:tc>
          <w:tcPr>
            <w:tcW w:type="dxa" w:w="2702"/>
            <w:shd w:val="clear" w:color="auto" w:fill="FAF8F2"/>
          </w:tcPr>
          <w:p>
            <w:pPr>
              <w:spacing w:after="0"/>
            </w:pPr>
            <w:r>
              <w:rPr>
                <w:rFonts w:ascii="Courier New" w:hAnsi="Courier New"/>
                <w:color w:val="1D1D1D"/>
                <w:sz w:val="16"/>
              </w:rPr>
              <w:t>structure</w:t>
            </w:r>
          </w:p>
        </w:tc>
        <w:tc>
          <w:tcPr>
            <w:tcW w:type="dxa" w:w="1531"/>
            <w:shd w:val="clear" w:color="auto" w:fill="FAF8F2"/>
          </w:tcPr>
          <w:p>
            <w:pPr>
              <w:spacing w:after="0"/>
            </w:pPr>
            <w:r>
              <w:rPr>
                <w:color w:val="1D1D1D"/>
                <w:sz w:val="16"/>
              </w:rPr>
              <w:t>2</w:t>
            </w:r>
          </w:p>
        </w:tc>
        <w:tc>
          <w:tcPr>
            <w:tcW w:type="dxa" w:w="5404"/>
            <w:shd w:val="clear" w:color="auto" w:fill="FAF8F2"/>
          </w:tcPr>
          <w:p>
            <w:pPr>
              <w:spacing w:after="0"/>
            </w:pPr>
            <w:r>
              <w:rPr>
                <w:color w:val="1D1D1D"/>
                <w:sz w:val="16"/>
              </w:rPr>
              <w:t>PIE (IPP, BOOT privé)</w:t>
            </w:r>
          </w:p>
        </w:tc>
      </w:tr>
      <w:tr>
        <w:tc>
          <w:tcPr>
            <w:tcW w:type="dxa" w:w="2702"/>
          </w:tcPr>
          <w:p>
            <w:pPr>
              <w:spacing w:after="0"/>
            </w:pPr>
            <w:r>
              <w:rPr>
                <w:rFonts w:ascii="Courier New" w:hAnsi="Courier New"/>
                <w:color w:val="1D1D1D"/>
                <w:sz w:val="16"/>
              </w:rPr>
              <w:t>debt_mode</w:t>
            </w:r>
          </w:p>
        </w:tc>
        <w:tc>
          <w:tcPr>
            <w:tcW w:type="dxa" w:w="1531"/>
          </w:tcPr>
          <w:p>
            <w:pPr>
              <w:spacing w:after="0"/>
            </w:pPr>
            <w:r>
              <w:rPr>
                <w:color w:val="1D1D1D"/>
                <w:sz w:val="16"/>
              </w:rPr>
              <w:t>1</w:t>
            </w:r>
          </w:p>
        </w:tc>
        <w:tc>
          <w:tcPr>
            <w:tcW w:type="dxa" w:w="5404"/>
          </w:tcPr>
          <w:p>
            <w:pPr>
              <w:spacing w:after="0"/>
            </w:pPr>
            <w:r>
              <w:rPr>
                <w:color w:val="1D1D1D"/>
                <w:sz w:val="16"/>
              </w:rPr>
              <w:t>Dette sculptée dans le modèle</w:t>
            </w:r>
          </w:p>
        </w:tc>
      </w:tr>
      <w:tr>
        <w:tc>
          <w:tcPr>
            <w:tcW w:type="dxa" w:w="2702"/>
            <w:shd w:val="clear" w:color="auto" w:fill="FAF8F2"/>
          </w:tcPr>
          <w:p>
            <w:pPr>
              <w:spacing w:after="0"/>
            </w:pPr>
            <w:r>
              <w:rPr>
                <w:rFonts w:ascii="Courier New" w:hAnsi="Courier New"/>
                <w:color w:val="1D1D1D"/>
                <w:sz w:val="16"/>
              </w:rPr>
              <w:t>backstop</w:t>
            </w:r>
          </w:p>
        </w:tc>
        <w:tc>
          <w:tcPr>
            <w:tcW w:type="dxa" w:w="1531"/>
            <w:shd w:val="clear" w:color="auto" w:fill="FAF8F2"/>
          </w:tcPr>
          <w:p>
            <w:pPr>
              <w:spacing w:after="0"/>
            </w:pPr>
            <w:r>
              <w:rPr>
                <w:color w:val="1D1D1D"/>
                <w:sz w:val="16"/>
              </w:rPr>
              <w:t>1</w:t>
            </w:r>
          </w:p>
        </w:tc>
        <w:tc>
          <w:tcPr>
            <w:tcW w:type="dxa" w:w="5404"/>
            <w:shd w:val="clear" w:color="auto" w:fill="FAF8F2"/>
          </w:tcPr>
          <w:p>
            <w:pPr>
              <w:spacing w:after="0"/>
            </w:pPr>
            <w:r>
              <w:rPr>
                <w:color w:val="1D1D1D"/>
                <w:sz w:val="16"/>
              </w:rPr>
              <w:t>Le budget couvre tout déficit de la compagnie d'électricité au titre du CAE</w:t>
            </w:r>
          </w:p>
        </w:tc>
      </w:tr>
      <w:tr>
        <w:tc>
          <w:tcPr>
            <w:tcW w:type="dxa" w:w="2702"/>
          </w:tcPr>
          <w:p>
            <w:pPr>
              <w:spacing w:after="0"/>
            </w:pPr>
            <w:r>
              <w:rPr>
                <w:rFonts w:ascii="Courier New" w:hAnsi="Courier New"/>
                <w:color w:val="1D1D1D"/>
                <w:sz w:val="16"/>
              </w:rPr>
              <w:t>bs_share</w:t>
            </w:r>
          </w:p>
        </w:tc>
        <w:tc>
          <w:tcPr>
            <w:tcW w:type="dxa" w:w="1531"/>
          </w:tcPr>
          <w:p>
            <w:pPr>
              <w:spacing w:after="0"/>
            </w:pPr>
            <w:r>
              <w:rPr>
                <w:color w:val="1D1D1D"/>
                <w:sz w:val="16"/>
              </w:rPr>
              <w:t>100 %</w:t>
            </w:r>
          </w:p>
        </w:tc>
        <w:tc>
          <w:tcPr>
            <w:tcW w:type="dxa" w:w="5404"/>
          </w:tcPr>
          <w:p>
            <w:pPr>
              <w:spacing w:after="0"/>
            </w:pPr>
            <w:r>
              <w:rPr>
                <w:color w:val="1D1D1D"/>
                <w:sz w:val="16"/>
              </w:rPr>
              <w:t>Part du déficit couverte par le budget</w:t>
            </w:r>
          </w:p>
        </w:tc>
      </w:tr>
      <w:tr>
        <w:tc>
          <w:tcPr>
            <w:tcW w:type="dxa" w:w="2702"/>
            <w:shd w:val="clear" w:color="auto" w:fill="FAF8F2"/>
          </w:tcPr>
          <w:p>
            <w:pPr>
              <w:spacing w:after="0"/>
            </w:pPr>
            <w:r>
              <w:rPr>
                <w:color w:val="1D1D1D"/>
                <w:sz w:val="16"/>
              </w:rPr>
              <w:t>Neuf commutateurs de stress</w:t>
            </w:r>
          </w:p>
        </w:tc>
        <w:tc>
          <w:tcPr>
            <w:tcW w:type="dxa" w:w="1531"/>
            <w:shd w:val="clear" w:color="auto" w:fill="FAF8F2"/>
          </w:tcPr>
          <w:p>
            <w:pPr>
              <w:spacing w:after="0"/>
            </w:pPr>
            <w:r>
              <w:rPr>
                <w:color w:val="1D1D1D"/>
                <w:sz w:val="16"/>
              </w:rPr>
              <w:t>0</w:t>
            </w:r>
          </w:p>
        </w:tc>
        <w:tc>
          <w:tcPr>
            <w:tcW w:type="dxa" w:w="5404"/>
            <w:shd w:val="clear" w:color="auto" w:fill="FAF8F2"/>
          </w:tcPr>
          <w:p>
            <w:pPr>
              <w:spacing w:after="0"/>
            </w:pPr>
            <w:r>
              <w:rPr>
                <w:color w:val="1D1D1D"/>
                <w:sz w:val="16"/>
              </w:rPr>
              <w:t>Aucun stress</w:t>
            </w:r>
          </w:p>
        </w:tc>
      </w:tr>
      <w:tr>
        <w:tc>
          <w:tcPr>
            <w:tcW w:type="dxa" w:w="2702"/>
          </w:tcPr>
          <w:p>
            <w:pPr>
              <w:spacing w:after="0"/>
            </w:pPr>
            <w:r>
              <w:rPr>
                <w:color w:val="1D1D1D"/>
                <w:sz w:val="16"/>
              </w:rPr>
              <w:t>Cinq variations de sensibilité</w:t>
            </w:r>
          </w:p>
        </w:tc>
        <w:tc>
          <w:tcPr>
            <w:tcW w:type="dxa" w:w="1531"/>
          </w:tcPr>
          <w:p>
            <w:pPr>
              <w:spacing w:after="0"/>
            </w:pPr>
            <w:r>
              <w:rPr>
                <w:color w:val="1D1D1D"/>
                <w:sz w:val="16"/>
              </w:rPr>
              <w:t>0 %</w:t>
            </w:r>
          </w:p>
        </w:tc>
        <w:tc>
          <w:tcPr>
            <w:tcW w:type="dxa" w:w="5404"/>
          </w:tcPr>
          <w:p>
            <w:pPr>
              <w:spacing w:after="0"/>
            </w:pPr>
            <w:r>
              <w:rPr>
                <w:color w:val="1D1D1D"/>
                <w:sz w:val="16"/>
              </w:rPr>
              <w:t>Aucune sensibilité</w:t>
            </w:r>
          </w:p>
        </w:tc>
      </w:tr>
    </w:tbl>
    <w:p>
      <w:pPr>
        <w:spacing w:after="40"/>
      </w:pPr>
    </w:p>
    <w:p>
      <w:pPr>
        <w:jc w:val="both"/>
      </w:pPr>
      <w:r>
        <w:rPr/>
        <w:t xml:space="preserve">Sur </w:t>
      </w:r>
      <w:r>
        <w:rPr>
          <w:i/>
        </w:rPr>
        <w:t>05A_CONTRACTING</w:t>
      </w:r>
      <w:r>
        <w:rPr/>
        <w:t xml:space="preserve">, </w:t>
      </w:r>
      <w:r>
        <w:rPr>
          <w:rFonts w:ascii="Courier New" w:hAnsi="Courier New"/>
        </w:rPr>
        <w:t>epc_struct</w:t>
      </w:r>
      <w:r>
        <w:rPr/>
        <w:t xml:space="preserve"> = 2 (lots séparés de génie civil et d'équipements électromécaniques).</w:t>
      </w:r>
    </w:p>
    <w:p>
      <w:pPr>
        <w:jc w:val="both"/>
      </w:pPr>
      <w:r>
        <w:rPr>
          <w:b/>
        </w:rPr>
        <w:t>Étape 2. Confirmer l'intégrité (1 minute).</w:t>
      </w:r>
      <w:r>
        <w:rPr/>
        <w:t xml:space="preserve"> </w:t>
      </w:r>
      <w:r>
        <w:rPr>
          <w:i/>
        </w:rPr>
        <w:t>33_CHECKS</w:t>
      </w:r>
      <w:r>
        <w:rPr/>
        <w:t xml:space="preserve"> doit afficher ALL OK (tous les contrôles corrects) et </w:t>
      </w:r>
      <w:r>
        <w:rPr>
          <w:i/>
        </w:rPr>
        <w:t>35_BOOK_CHECK</w:t>
      </w:r>
      <w:r>
        <w:rPr/>
        <w:t xml:space="preserve"> ALL PASS (tous les contrôles réussis). Ne lisez aucun résultat tant que ces deux conditions ne sont pas réunies.</w:t>
      </w:r>
    </w:p>
    <w:p>
      <w:pPr>
        <w:jc w:val="both"/>
      </w:pPr>
      <w:r>
        <w:rPr>
          <w:b/>
        </w:rPr>
        <w:t>Étape 3. Lire le tableau de bord (4 minutes).</w:t>
      </w:r>
      <w:r>
        <w:rPr/>
        <w:t xml:space="preserve"> La ligne 4 de </w:t>
      </w:r>
      <w:r>
        <w:rPr>
          <w:i/>
        </w:rPr>
        <w:t>32_DASHBOARD</w:t>
      </w:r>
      <w:r>
        <w:rPr/>
        <w:t xml:space="preserve"> donne les trois verdicts : le filtre à neuf portes affiche NOT BANKABLE (non bancable : un écart critique doit être comblé), la maturité pour le bouclage selon les 23 portes affiche </w:t>
      </w:r>
      <w:r>
        <w:rPr>
          <w:i/>
        </w:rPr>
        <w:t>"STOP: a critical gate is not met"</w:t>
      </w:r>
      <w:r>
        <w:rPr/>
        <w:t xml:space="preserve"> (arrêt : une porte critique n'est pas franchie) et le filtre budgétaire affiche </w:t>
      </w:r>
      <w:r>
        <w:rPr>
          <w:i/>
        </w:rPr>
        <w:t>"LOW additional fiscal pressure"</w:t>
      </w:r>
      <w:r>
        <w:rPr/>
        <w:t xml:space="preserve"> (pression budgétaire supplémentaire faible). Les blocs situés en dessous présentent :</w:t>
      </w:r>
    </w:p>
    <w:tbl>
      <w:tblPr>
        <w:tblStyle w:val="TableGrid"/>
        <w:tblW w:type="auto" w:w="0"/>
        <w:jc w:val="center"/>
        <w:tblLook w:firstColumn="1" w:firstRow="1" w:lastColumn="0" w:lastRow="0" w:noHBand="0" w:noVBand="1" w:val="04A0"/>
      </w:tblPr>
      <w:tblGrid>
        <w:gridCol w:w="4819"/>
        <w:gridCol w:w="4819"/>
      </w:tblGrid>
      <w:tr>
        <w:tc>
          <w:tcPr>
            <w:tcW w:type="dxa" w:w="2671"/>
            <w:shd w:val="clear" w:color="auto" w:fill="0B3020"/>
          </w:tcPr>
          <w:p>
            <w:pPr>
              <w:spacing w:after="0"/>
            </w:pPr>
            <w:r>
              <w:rPr>
                <w:b/>
                <w:color w:val="FFFFFF"/>
                <w:sz w:val="16"/>
              </w:rPr>
              <w:t>Bloc</w:t>
            </w:r>
          </w:p>
        </w:tc>
        <w:tc>
          <w:tcPr>
            <w:tcW w:type="dxa" w:w="6967"/>
            <w:shd w:val="clear" w:color="auto" w:fill="0B3020"/>
          </w:tcPr>
          <w:p>
            <w:pPr>
              <w:spacing w:after="0"/>
            </w:pPr>
            <w:r>
              <w:rPr>
                <w:b/>
                <w:color w:val="FFFFFF"/>
                <w:sz w:val="16"/>
              </w:rPr>
              <w:t>Valeurs du cas de base</w:t>
            </w:r>
          </w:p>
        </w:tc>
      </w:tr>
      <w:tr>
        <w:tc>
          <w:tcPr>
            <w:tcW w:type="dxa" w:w="2671"/>
          </w:tcPr>
          <w:p>
            <w:pPr>
              <w:spacing w:after="0"/>
            </w:pPr>
            <w:r>
              <w:rPr>
                <w:color w:val="1D1D1D"/>
                <w:sz w:val="16"/>
              </w:rPr>
              <w:t>Projet</w:t>
            </w:r>
          </w:p>
        </w:tc>
        <w:tc>
          <w:tcPr>
            <w:tcW w:type="dxa" w:w="6967"/>
          </w:tcPr>
          <w:p>
            <w:pPr>
              <w:spacing w:after="0"/>
            </w:pPr>
            <w:r>
              <w:rPr>
                <w:color w:val="1D1D1D"/>
                <w:sz w:val="16"/>
              </w:rPr>
              <w:t>60 MW ; P50 292 GWh ; facteur de charge 55,6 % ; coût de la centrale 156,9 M USD en termes réels ; 2 614 USD/kW ; mise en service commerciale 2030 ; tarif moyen pondéré en 2e année d'exploitation 117,8 USD/MWh ; LCOE de la centrale 105,9 USD/MWh ; LCOE du système livré 108,1 USD/MWh</w:t>
            </w:r>
          </w:p>
        </w:tc>
      </w:tr>
      <w:tr>
        <w:tc>
          <w:tcPr>
            <w:tcW w:type="dxa" w:w="2671"/>
            <w:shd w:val="clear" w:color="auto" w:fill="FAF8F2"/>
          </w:tcPr>
          <w:p>
            <w:pPr>
              <w:spacing w:after="0"/>
            </w:pPr>
            <w:r>
              <w:rPr>
                <w:color w:val="1D1D1D"/>
                <w:sz w:val="16"/>
              </w:rPr>
              <w:t>Financement</w:t>
            </w:r>
          </w:p>
        </w:tc>
        <w:tc>
          <w:tcPr>
            <w:tcW w:type="dxa" w:w="6967"/>
            <w:shd w:val="clear" w:color="auto" w:fill="FAF8F2"/>
          </w:tcPr>
          <w:p>
            <w:pPr>
              <w:spacing w:after="0"/>
            </w:pPr>
            <w:r>
              <w:rPr>
                <w:color w:val="1D1D1D"/>
                <w:sz w:val="16"/>
              </w:rPr>
              <w:t>TRI du projet 11,2 % ; TRI des fonds propres privés 13,8 % (cible 15,0 %) ; VAN du projet 16,3 M USD ; DSCR minimum 1,53x ; DSCR moyen 1,60x ; LLCR 1,59x ; capacité d'endettement 147,8 M USD ; dette levée 145,4 M USD ; besoin de financement non couvert 4,1 M USD</w:t>
            </w:r>
          </w:p>
        </w:tc>
      </w:tr>
      <w:tr>
        <w:tc>
          <w:tcPr>
            <w:tcW w:type="dxa" w:w="2671"/>
          </w:tcPr>
          <w:p>
            <w:pPr>
              <w:spacing w:after="0"/>
            </w:pPr>
            <w:r>
              <w:rPr>
                <w:color w:val="1D1D1D"/>
                <w:sz w:val="16"/>
              </w:rPr>
              <w:t>Développeur</w:t>
            </w:r>
          </w:p>
        </w:tc>
        <w:tc>
          <w:tcPr>
            <w:tcW w:type="dxa" w:w="6967"/>
          </w:tcPr>
          <w:p>
            <w:pPr>
              <w:spacing w:after="0"/>
            </w:pPr>
            <w:r>
              <w:rPr>
                <w:color w:val="1D1D1D"/>
                <w:sz w:val="16"/>
              </w:rPr>
              <w:t>Budget 9,0 M USD en termes réels sur 6,0 ans ; probabilité de bouclage 14,6 % ; VAN pondérée par le risque -0,95 M USD ; TRI sur le scénario de succès 16,0 % ; multiple de trésorerie 4,97x ; prime au point mort 18,9 % du coût de la centrale ; revalorisation des fonds propres entre le bouclage et la mise en service commerciale 18,3 M USD</w:t>
            </w:r>
          </w:p>
        </w:tc>
      </w:tr>
      <w:tr>
        <w:tc>
          <w:tcPr>
            <w:tcW w:type="dxa" w:w="2671"/>
            <w:shd w:val="clear" w:color="auto" w:fill="FAF8F2"/>
          </w:tcPr>
          <w:p>
            <w:pPr>
              <w:spacing w:after="0"/>
            </w:pPr>
            <w:r>
              <w:rPr>
                <w:color w:val="1D1D1D"/>
                <w:sz w:val="16"/>
              </w:rPr>
              <w:t>Système électrique</w:t>
            </w:r>
          </w:p>
        </w:tc>
        <w:tc>
          <w:tcPr>
            <w:tcW w:type="dxa" w:w="6967"/>
            <w:shd w:val="clear" w:color="auto" w:fill="FAF8F2"/>
          </w:tcPr>
          <w:p>
            <w:pPr>
              <w:spacing w:after="0"/>
            </w:pPr>
            <w:r>
              <w:rPr>
                <w:color w:val="1D1D1D"/>
                <w:sz w:val="16"/>
              </w:rPr>
              <w:t>Aucun écart sur le transport ; capacité d'évacuation de 120 MW à la mise en service commerciale ; 3,3 % de la pointe du système ; aucun écrêtement</w:t>
            </w:r>
          </w:p>
        </w:tc>
      </w:tr>
      <w:tr>
        <w:tc>
          <w:tcPr>
            <w:tcW w:type="dxa" w:w="2671"/>
          </w:tcPr>
          <w:p>
            <w:pPr>
              <w:spacing w:after="0"/>
            </w:pPr>
            <w:r>
              <w:rPr>
                <w:color w:val="1D1D1D"/>
                <w:sz w:val="16"/>
              </w:rPr>
              <w:t>Compagnie d'électricité</w:t>
            </w:r>
          </w:p>
        </w:tc>
        <w:tc>
          <w:tcPr>
            <w:tcW w:type="dxa" w:w="6967"/>
          </w:tcPr>
          <w:p>
            <w:pPr>
              <w:spacing w:after="0"/>
            </w:pPr>
            <w:r>
              <w:rPr>
                <w:color w:val="1D1D1D"/>
                <w:sz w:val="16"/>
              </w:rPr>
              <w:t>Taux de recouvrement 88 % ; délai de recouvrement des créances d'environ 120 jours ; capacité de paiement égale à 5,96 fois la facture du CAE la plus défavorable des dix premières années ; aucun écart de paiement</w:t>
            </w:r>
          </w:p>
        </w:tc>
      </w:tr>
      <w:tr>
        <w:tc>
          <w:tcPr>
            <w:tcW w:type="dxa" w:w="2671"/>
            <w:shd w:val="clear" w:color="auto" w:fill="FAF8F2"/>
          </w:tcPr>
          <w:p>
            <w:pPr>
              <w:spacing w:after="0"/>
            </w:pPr>
            <w:r>
              <w:rPr>
                <w:color w:val="1D1D1D"/>
                <w:sz w:val="16"/>
              </w:rPr>
              <w:t>Finances publiques</w:t>
            </w:r>
          </w:p>
        </w:tc>
        <w:tc>
          <w:tcPr>
            <w:tcW w:type="dxa" w:w="6967"/>
            <w:shd w:val="clear" w:color="auto" w:fill="FAF8F2"/>
          </w:tcPr>
          <w:p>
            <w:pPr>
              <w:spacing w:after="0"/>
            </w:pPr>
            <w:r>
              <w:rPr>
                <w:color w:val="1D1D1D"/>
                <w:sz w:val="16"/>
              </w:rPr>
              <w:t>Aucune contribution initiale ; exposition éventuelle maximale 225,4 M USD (0,56 % du PIB) ; valeur actuelle de la perte attendue 20,4 M USD ; VAN budgétaire de 34,8 M USD (centrale) et de -27,6 M USD (consolidée)</w:t>
            </w:r>
          </w:p>
        </w:tc>
      </w:tr>
      <w:tr>
        <w:tc>
          <w:tcPr>
            <w:tcW w:type="dxa" w:w="2671"/>
          </w:tcPr>
          <w:p>
            <w:pPr>
              <w:spacing w:after="0"/>
            </w:pPr>
            <w:r>
              <w:rPr>
                <w:color w:val="1D1D1D"/>
                <w:sz w:val="16"/>
              </w:rPr>
              <w:t>23 portes</w:t>
            </w:r>
          </w:p>
        </w:tc>
        <w:tc>
          <w:tcPr>
            <w:tcW w:type="dxa" w:w="6967"/>
          </w:tcPr>
          <w:p>
            <w:pPr>
              <w:spacing w:after="0"/>
            </w:pPr>
            <w:r>
              <w:rPr>
                <w:color w:val="1D1D1D"/>
                <w:sz w:val="16"/>
              </w:rPr>
              <w:t>6 portes franchies sur 23 ; 7 portes critiques non franchies</w:t>
            </w:r>
          </w:p>
        </w:tc>
      </w:tr>
    </w:tbl>
    <w:p>
      <w:pPr>
        <w:spacing w:after="40"/>
      </w:pPr>
    </w:p>
    <w:p>
      <w:pPr>
        <w:jc w:val="both"/>
      </w:pPr>
      <w:r>
        <w:rPr/>
        <w:t>Les listes des cinq premiers classent les neuf portes du filtre par score : porte 6 (écart critique), portes 1 et 5 (écarts de développement), puis portes 3 et 7.</w:t>
      </w:r>
    </w:p>
    <w:p>
      <w:pPr>
        <w:jc w:val="both"/>
      </w:pPr>
      <w:r>
        <w:rPr>
          <w:b/>
        </w:rPr>
        <w:t>Étape 4. Comprendre pourquoi la décision de bouclage est STOP (2 minutes).</w:t>
      </w:r>
      <w:r>
        <w:rPr/>
        <w:t xml:space="preserve"> Sur </w:t>
      </w:r>
      <w:r>
        <w:rPr>
          <w:i/>
        </w:rPr>
        <w:t>30A_CLOSE_READINESS</w:t>
      </w:r>
      <w:r>
        <w:rPr/>
        <w:t>, les sept portes critiques non franchies sont les portes 1 (série de débits et revue), 3 (validation de l'étude de faisabilité bancable), 5 (EIES conforme aux normes des prêteurs), 8 (droits fonciers), 15 (six mois de garantie de paiement), 17 (plan de financement engagé) et 19 (TRI des fonds propres à la cible). La synthèse par question en bas de la feuille, reprise sur le tableau de bord, montre quelle partie attend quoi.</w:t>
      </w:r>
    </w:p>
    <w:p>
      <w:pPr>
        <w:jc w:val="both"/>
      </w:pPr>
      <w:r>
        <w:rPr>
          <w:b/>
        </w:rPr>
        <w:t>Étape 5. Stresser la rivière (2 minutes).</w:t>
      </w:r>
      <w:r>
        <w:rPr/>
        <w:t xml:space="preserve"> Mettez </w:t>
      </w:r>
      <w:r>
        <w:rPr>
          <w:rFonts w:ascii="Courier New" w:hAnsi="Courier New"/>
        </w:rPr>
        <w:t>st_drought</w:t>
      </w:r>
      <w:r>
        <w:rPr/>
        <w:t xml:space="preserve"> à 1. Le dimensionnement de la dette ne change pas, car le cas des prêteurs exclut par construction la fenêtre de sécheresse (section 6.9). Le DSCR minimum passe sous 1,0 (instantané : 0,69x, avec tirage sur le DSRA) et le déficit des années de sécheresse apparaît sur </w:t>
      </w:r>
      <w:r>
        <w:rPr>
          <w:i/>
        </w:rPr>
        <w:t>20_CASH_FLOW</w:t>
      </w:r>
      <w:r>
        <w:rPr/>
        <w:t>. Remettez-le à 0.</w:t>
      </w:r>
    </w:p>
    <w:p>
      <w:pPr>
        <w:jc w:val="both"/>
      </w:pPr>
      <w:r>
        <w:rPr>
          <w:b/>
        </w:rPr>
        <w:t>Étape 6. Stresser l'acheteur (2 minutes).</w:t>
      </w:r>
      <w:r>
        <w:rPr/>
        <w:t xml:space="preserve"> Mettez </w:t>
      </w:r>
      <w:r>
        <w:rPr>
          <w:rFonts w:ascii="Courier New" w:hAnsi="Courier New"/>
        </w:rPr>
        <w:t>st_offtaker</w:t>
      </w:r>
      <w:r>
        <w:rPr/>
        <w:t xml:space="preserve"> à 1. La capacité de paiement tombe à zéro en moins de dix ans ; avec la garantie budgétaire activée, le projet est payé intégralement et le coût est transféré au budget (instantané : VAN budgétaire consolidée d'environ -125 millions USD). Mettez ensuite </w:t>
      </w:r>
      <w:r>
        <w:rPr>
          <w:rFonts w:ascii="Courier New" w:hAnsi="Courier New"/>
        </w:rPr>
        <w:t>backstop</w:t>
      </w:r>
      <w:r>
        <w:rPr/>
        <w:t xml:space="preserve"> à 0 : la garantie du CAE de douze mois est épuisée, le reste devient des arriérés dus au projet et le DSCR minimum devient négatif (instantané : -0,53x). Remettez les deux paramètres à leurs valeurs par défaut.</w:t>
      </w:r>
    </w:p>
    <w:p>
      <w:pPr>
        <w:jc w:val="both"/>
      </w:pPr>
      <w:r>
        <w:rPr>
          <w:b/>
        </w:rPr>
        <w:t>Étape 7. Comparer les structures (2 minutes).</w:t>
      </w:r>
      <w:r>
        <w:rPr/>
        <w:t xml:space="preserve"> Mettez successivement </w:t>
      </w:r>
      <w:r>
        <w:rPr>
          <w:rFonts w:ascii="Courier New" w:hAnsi="Courier New"/>
        </w:rPr>
        <w:t>structure</w:t>
      </w:r>
      <w:r>
        <w:rPr/>
        <w:t xml:space="preserve"> à 1, 3, 4 et 5 et lisez </w:t>
      </w:r>
      <w:r>
        <w:rPr>
          <w:i/>
        </w:rPr>
        <w:t>17A_STRUCTURES</w:t>
      </w:r>
      <w:r>
        <w:rPr/>
        <w:t xml:space="preserve">, le tableau de bord et </w:t>
      </w:r>
      <w:r>
        <w:rPr>
          <w:i/>
        </w:rPr>
        <w:t>30A_CLOSE_READINESS</w:t>
      </w:r>
      <w:r>
        <w:rPr/>
        <w:t xml:space="preserve">. Remettez-la à 2. Dès qu'une valeur s'écarte des valeurs par défaut, </w:t>
      </w:r>
      <w:r>
        <w:rPr>
          <w:i/>
        </w:rPr>
        <w:t>35_BOOK_CHECK</w:t>
      </w:r>
      <w:r>
        <w:rPr/>
        <w:t xml:space="preserve"> affiche des lignes CHECK (à vérifier) ; c'est normal.</w:t>
      </w:r>
    </w:p>
    <w:p>
      <w:r>
        <w:br w:type="page"/>
      </w:r>
    </w:p>
    <w:p>
      <w:pPr>
        <w:pStyle w:val="Heading1"/>
        <w:pBdr>
          <w:bottom w:val="single" w:sz="12" w:space="4" w:color="B07C0F"/>
        </w:pBdr>
      </w:pPr>
      <w:r>
        <w:t>5. Parcours par utilisateur</w:t>
      </w:r>
    </w:p>
    <w:p>
      <w:pPr>
        <w:jc w:val="both"/>
      </w:pPr>
      <w:r>
        <w:rPr/>
        <w:t xml:space="preserve">Chaque parcours part de la question du cadre à laquelle l'utilisateur doit répondre et désigne les feuilles qui y répondent. Tous les utilisateurs doivent terminer sur </w:t>
      </w:r>
      <w:r>
        <w:rPr>
          <w:i/>
        </w:rPr>
        <w:t>33_CHECKS</w:t>
      </w:r>
      <w:r>
        <w:rPr/>
        <w:t xml:space="preserve"> (ALL OK) et consigner les données d'entrée qu'ils ont modifiées.</w:t>
      </w:r>
    </w:p>
    <w:p>
      <w:pPr>
        <w:pStyle w:val="Heading2"/>
      </w:pPr>
      <w:r>
        <w:t>5.1 Développeur (Q1, Q2, Q4, avec Q6)</w:t>
      </w:r>
    </w:p>
    <w:p>
      <w:pPr>
        <w:spacing w:after="60"/>
        <w:ind w:left="397" w:hanging="397"/>
      </w:pPr>
      <w:r>
        <w:rPr/>
        <w:t>1.</w:t>
        <w:tab/>
        <w:t xml:space="preserve">Remplacez l'hydrologie sur </w:t>
      </w:r>
      <w:r>
        <w:rPr>
          <w:i/>
        </w:rPr>
        <w:t>03_HYDROLOGY</w:t>
      </w:r>
      <w:r>
        <w:rPr/>
        <w:t xml:space="preserve"> (débits mensuels, hauteur de chute, débit d'équipement, rendements, débit réservé, disponibilité, coefficient de variation (CV), longueur de la série, maturité de l'étude). Q1 dépend de </w:t>
      </w:r>
      <w:r>
        <w:rPr>
          <w:rFonts w:ascii="Courier New" w:hAnsi="Courier New"/>
        </w:rPr>
        <w:t>rec_years</w:t>
      </w:r>
      <w:r>
        <w:rPr/>
        <w:t xml:space="preserve"> et de </w:t>
      </w:r>
      <w:r>
        <w:rPr>
          <w:rFonts w:ascii="Courier New" w:hAnsi="Courier New"/>
        </w:rPr>
        <w:t>hyd_study</w:t>
      </w:r>
      <w:r>
        <w:rPr/>
        <w:t>.</w:t>
      </w:r>
    </w:p>
    <w:p>
      <w:pPr>
        <w:spacing w:after="60"/>
        <w:ind w:left="397" w:hanging="397"/>
      </w:pPr>
      <w:r>
        <w:rPr/>
        <w:t>2.</w:t>
        <w:tab/>
        <w:t xml:space="preserve">Remplacez la décomposition des coûts sur </w:t>
      </w:r>
      <w:r>
        <w:rPr>
          <w:i/>
        </w:rPr>
        <w:t>05_PLANT_CAPEX</w:t>
      </w:r>
      <w:r>
        <w:rPr/>
        <w:t xml:space="preserve"> et choisissez la structure contractuelle sur </w:t>
      </w:r>
      <w:r>
        <w:rPr>
          <w:i/>
        </w:rPr>
        <w:t>05A_CONTRACTING</w:t>
      </w:r>
      <w:r>
        <w:rPr/>
        <w:t>.</w:t>
      </w:r>
    </w:p>
    <w:p>
      <w:pPr>
        <w:spacing w:after="60"/>
        <w:ind w:left="397" w:hanging="397"/>
      </w:pPr>
      <w:r>
        <w:rPr/>
        <w:t>3.</w:t>
        <w:tab/>
        <w:t xml:space="preserve">Saisissez les six étapes sur </w:t>
      </w:r>
      <w:r>
        <w:rPr>
          <w:i/>
        </w:rPr>
        <w:t>01A_DEVELOPMENT</w:t>
      </w:r>
      <w:r>
        <w:rPr/>
        <w:t xml:space="preserve"> (durée, budget réel, probabilité de succès) et les conditions du développeur (prime, participation, taux d'actualisation, part cédée).</w:t>
      </w:r>
    </w:p>
    <w:p>
      <w:pPr>
        <w:spacing w:after="60"/>
        <w:ind w:left="397" w:hanging="397"/>
      </w:pPr>
      <w:r>
        <w:rPr/>
        <w:t>4.</w:t>
        <w:tab/>
        <w:t xml:space="preserve">Lisez la section D : la VAN pondérée par le risque indique s'il faut se lancer ; la VAN sur le scénario de succès indique si le projet crée de la valeur, même s'il atteint le bouclage ; la prime et la probabilité au point mort indiquent ce qui justifierait de se lancer. Si la VAN sur le scénario de succès est négative, la probabilité au point mort affiche </w:t>
      </w:r>
      <w:r>
        <w:rPr>
          <w:i/>
        </w:rPr>
        <w:t>"n/a: negative on the success path"</w:t>
      </w:r>
      <w:r>
        <w:rPr/>
        <w:t xml:space="preserve"> (sans objet : négative sur le scénario de succès) ; corrigez la valeur au bouclage (tarif, prime, coût) avant de dépenser pour améliorer les probabilités.</w:t>
      </w:r>
    </w:p>
    <w:p>
      <w:pPr>
        <w:spacing w:after="60"/>
        <w:ind w:left="397" w:hanging="397"/>
      </w:pPr>
      <w:r>
        <w:rPr/>
        <w:t>5.</w:t>
        <w:tab/>
        <w:t>Lisez la section F : TRI sur le scénario de succès, multiple de trésorerie et pic de trésorerie à risque.</w:t>
      </w:r>
    </w:p>
    <w:p>
      <w:pPr>
        <w:spacing w:after="60"/>
        <w:ind w:left="397" w:hanging="397"/>
      </w:pPr>
      <w:r>
        <w:rPr/>
        <w:t>6.</w:t>
        <w:tab/>
        <w:t xml:space="preserve">Utilisez </w:t>
      </w:r>
      <w:r>
        <w:rPr>
          <w:rFonts w:ascii="Courier New" w:hAnsi="Courier New"/>
        </w:rPr>
        <w:t>fx_tariff</w:t>
      </w:r>
      <w:r>
        <w:rPr/>
        <w:t xml:space="preserve"> sur </w:t>
      </w:r>
      <w:r>
        <w:rPr>
          <w:i/>
        </w:rPr>
        <w:t>01_CONTROL_PANEL</w:t>
      </w:r>
      <w:r>
        <w:rPr/>
        <w:t xml:space="preserve"> pour trouver le tarif qui porte le TRI des fonds propres à la cible de </w:t>
      </w:r>
      <w:r>
        <w:rPr>
          <w:i/>
        </w:rPr>
        <w:t>17A_STRUCTURES</w:t>
      </w:r>
      <w:r>
        <w:rPr/>
        <w:t xml:space="preserve"> (</w:t>
      </w:r>
      <w:r>
        <w:rPr>
          <w:rFonts w:ascii="Courier New" w:hAnsi="Courier New"/>
        </w:rPr>
        <w:t>str_hurdle</w:t>
      </w:r>
      <w:r>
        <w:rPr/>
        <w:t>) et comble le besoin de financement non couvert. Vérifiez l'effet sur la compagnie d'électricité (</w:t>
      </w:r>
      <w:r>
        <w:rPr>
          <w:i/>
        </w:rPr>
        <w:t>12_UTILITY</w:t>
      </w:r>
      <w:r>
        <w:rPr/>
        <w:t>) et sur la VAN budgétaire consolidée (</w:t>
      </w:r>
      <w:r>
        <w:rPr>
          <w:i/>
        </w:rPr>
        <w:t>25_FISCAL_IMPACT</w:t>
      </w:r>
      <w:r>
        <w:rPr/>
        <w:t>).</w:t>
      </w:r>
    </w:p>
    <w:p>
      <w:pPr>
        <w:spacing w:after="60"/>
        <w:ind w:left="397" w:hanging="397"/>
      </w:pPr>
      <w:r>
        <w:rPr/>
        <w:t>7.</w:t>
        <w:tab/>
        <w:t xml:space="preserve">Saisissez sur </w:t>
      </w:r>
      <w:r>
        <w:rPr>
          <w:i/>
        </w:rPr>
        <w:t>30A_CLOSE_READINESS</w:t>
      </w:r>
      <w:r>
        <w:rPr/>
        <w:t xml:space="preserve"> les statuts de preuve des portes sans test automatique et conservez la référence du document en colonne G.</w:t>
      </w:r>
    </w:p>
    <w:p>
      <w:pPr>
        <w:pStyle w:val="Heading2"/>
      </w:pPr>
      <w:r>
        <w:t>5.2 Co-développeur (Q4, Q2)</w:t>
      </w:r>
    </w:p>
    <w:p>
      <w:pPr>
        <w:spacing w:after="60"/>
        <w:ind w:left="397" w:hanging="397"/>
      </w:pPr>
      <w:r>
        <w:rPr/>
        <w:t>1.</w:t>
        <w:tab/>
        <w:t xml:space="preserve">Identifiez l'étape à laquelle vous entreriez. La section D2 de </w:t>
      </w:r>
      <w:r>
        <w:rPr>
          <w:i/>
        </w:rPr>
        <w:t>01A_DEVELOPMENT</w:t>
      </w:r>
      <w:r>
        <w:rPr/>
        <w:t xml:space="preserve"> donne, pour chaque étape sur le point de commencer, la probabilité de bouclage à partir de ce point (colonne B), la valeur actuelle de la valeur au bouclage (C), la valeur actuelle des dépenses restantes (D) et la valeur pondérée par le risque de l'ensemble de la position (E).</w:t>
      </w:r>
    </w:p>
    <w:p>
      <w:pPr>
        <w:spacing w:after="60"/>
        <w:ind w:left="397" w:hanging="397"/>
      </w:pPr>
      <w:r>
        <w:rPr/>
        <w:t>2.</w:t>
        <w:tab/>
        <w:t>Fixez le prix d'entrée à partir de la colonne E à votre étape, jamais à partir des coûts irrécupérables du développeur. Pour Kasiri au début de la phase des permis (étape 4) : probabilité de bouclage 57,8 %, valeur actuelle de la valeur au bouclage 3,34 millions USD, valeur actuelle des dépenses restantes 2,06 millions USD, valeur de la position 1,28 million USD.</w:t>
      </w:r>
    </w:p>
    <w:p>
      <w:pPr>
        <w:spacing w:after="60"/>
        <w:ind w:left="397" w:hanging="397"/>
      </w:pPr>
      <w:r>
        <w:rPr/>
        <w:t>3.</w:t>
        <w:tab/>
        <w:t>Le Livre 7 (chapitre 18) calcule la part équitable d'un co-développeur qui finance toutes les dépenses restantes comme la colonne D divisée par la colonne C à l'étape d'entrée, soit environ 62 % pour Kasiri à l'étape 4. Relancez le calcul avec votre propre taux d'actualisation (</w:t>
      </w:r>
      <w:r>
        <w:rPr>
          <w:rFonts w:ascii="Courier New" w:hAnsi="Courier New"/>
        </w:rPr>
        <w:t>dev_rate</w:t>
      </w:r>
      <w:r>
        <w:rPr/>
        <w:t>) et vos propres probabilités.</w:t>
      </w:r>
    </w:p>
    <w:p>
      <w:pPr>
        <w:spacing w:after="60"/>
        <w:ind w:left="397" w:hanging="397"/>
      </w:pPr>
      <w:r>
        <w:rPr/>
        <w:t>4.</w:t>
        <w:tab/>
        <w:t xml:space="preserve">Testez les leviers utilisés par le livre (exécutions de l'instantané </w:t>
      </w:r>
      <w:r>
        <w:rPr>
          <w:i/>
        </w:rPr>
        <w:t>"Dev: ..."</w:t>
      </w:r>
      <w:r>
        <w:rPr/>
        <w:t>) : taux d'actualisation du développement, prime, probabilités par étape, subvention pour l'étape de faisabilité, tarif.</w:t>
      </w:r>
    </w:p>
    <w:p>
      <w:pPr>
        <w:pStyle w:val="Heading2"/>
      </w:pPr>
      <w:r>
        <w:t>5.3 Prêteur ou IFD (Q5, avec Q1 et Q6)</w:t>
      </w:r>
    </w:p>
    <w:p>
      <w:pPr>
        <w:spacing w:after="60"/>
        <w:ind w:left="397" w:hanging="397"/>
      </w:pPr>
      <w:r>
        <w:rPr/>
        <w:t>1.</w:t>
        <w:tab/>
        <w:t xml:space="preserve">Choisissez le cas des prêteurs sur </w:t>
      </w:r>
      <w:r>
        <w:rPr>
          <w:i/>
        </w:rPr>
        <w:t>01_CONTROL_PANEL</w:t>
      </w:r>
      <w:r>
        <w:rPr/>
        <w:t xml:space="preserve"> : </w:t>
      </w:r>
      <w:r>
        <w:rPr>
          <w:rFonts w:ascii="Courier New" w:hAnsi="Courier New"/>
        </w:rPr>
        <w:t>lender_case</w:t>
      </w:r>
      <w:r>
        <w:rPr/>
        <w:t xml:space="preserve"> 1 (P50), 2 (P75), 3 (P90 à un an) ou 4 (P90 à dix ans, valeur par défaut). Conservez </w:t>
      </w:r>
      <w:r>
        <w:rPr>
          <w:rFonts w:ascii="Courier New" w:hAnsi="Courier New"/>
        </w:rPr>
        <w:t>gen_case</w:t>
      </w:r>
      <w:r>
        <w:rPr/>
        <w:t xml:space="preserve"> = 1 pour la vision du promoteur, ou mettez-le à 3 pour voir le P90 dans chaque année des flux de trésorerie.</w:t>
      </w:r>
    </w:p>
    <w:p>
      <w:pPr>
        <w:spacing w:after="60"/>
        <w:ind w:left="397" w:hanging="397"/>
      </w:pPr>
      <w:r>
        <w:rPr/>
        <w:t>2.</w:t>
        <w:tab/>
        <w:t xml:space="preserve">Lisez </w:t>
      </w:r>
      <w:r>
        <w:rPr>
          <w:i/>
        </w:rPr>
        <w:t>18_DEBT</w:t>
      </w:r>
      <w:r>
        <w:rPr/>
        <w:t xml:space="preserve"> (CFADS du cas des prêteurs, sculptage, tranches) et </w:t>
      </w:r>
      <w:r>
        <w:rPr>
          <w:i/>
        </w:rPr>
        <w:t>17_PROJECT_FINANCE</w:t>
      </w:r>
      <w:r>
        <w:rPr/>
        <w:t xml:space="preserve"> (capacité d'endettement, contrainte déterminante, taux d'endettement (gearing), ratios). Pour Kasiri, c'est le plafond du taux d'endettement qui est déterminant : dette de 145,4 millions USD pour une capacité sculptée de 147,8 millions USD.</w:t>
      </w:r>
    </w:p>
    <w:p>
      <w:pPr>
        <w:spacing w:after="60"/>
        <w:ind w:left="397" w:hanging="397"/>
      </w:pPr>
      <w:r>
        <w:rPr/>
        <w:t>3.</w:t>
        <w:tab/>
        <w:t xml:space="preserve">Figez le montage avant de le stresser. Mettez </w:t>
      </w:r>
      <w:r>
        <w:rPr>
          <w:rFonts w:ascii="Courier New" w:hAnsi="Courier New"/>
        </w:rPr>
        <w:t>debt_mode</w:t>
      </w:r>
      <w:r>
        <w:rPr/>
        <w:t xml:space="preserve"> = 2 après avoir saisi les valeurs du cas de base de </w:t>
      </w:r>
      <w:r>
        <w:rPr>
          <w:rFonts w:ascii="Courier New" w:hAnsi="Courier New"/>
        </w:rPr>
        <w:t>debt_m</w:t>
      </w:r>
      <w:r>
        <w:rPr/>
        <w:t xml:space="preserve">, </w:t>
      </w:r>
      <w:r>
        <w:rPr>
          <w:rFonts w:ascii="Courier New" w:hAnsi="Courier New"/>
        </w:rPr>
        <w:t>debt_c</w:t>
      </w:r>
      <w:r>
        <w:rPr/>
        <w:t xml:space="preserve">, </w:t>
      </w:r>
      <w:r>
        <w:rPr>
          <w:rFonts w:ascii="Courier New" w:hAnsi="Courier New"/>
        </w:rPr>
        <w:t>s_grant</w:t>
      </w:r>
      <w:r>
        <w:rPr/>
        <w:t xml:space="preserve"> et </w:t>
      </w:r>
      <w:r>
        <w:rPr>
          <w:rFonts w:ascii="Courier New" w:hAnsi="Courier New"/>
        </w:rPr>
        <w:t>s_goveq</w:t>
      </w:r>
      <w:r>
        <w:rPr/>
        <w:t xml:space="preserve"> dans les cellules C6 à C9 de </w:t>
      </w:r>
      <w:r>
        <w:rPr>
          <w:i/>
        </w:rPr>
        <w:t>18_DEBT</w:t>
      </w:r>
      <w:r>
        <w:rPr/>
        <w:t xml:space="preserve">, ainsi que le principal commercial du cas de base par année d'exploitation à la ligne 12 (colonne E = année d'exploitation 1). Les valeurs livrées dans ces cellules (90 millions USD et un échéancier nul) sont des valeurs provisoires, et non le cas de base ; avec un échéancier nul, la dette commerciale est remboursée en une seule échéance in fine (balloon) et le contrôle de l'échéance in fine sur </w:t>
      </w:r>
      <w:r>
        <w:rPr>
          <w:i/>
        </w:rPr>
        <w:t>33_CHECKS</w:t>
      </w:r>
      <w:r>
        <w:rPr/>
        <w:t xml:space="preserve"> affiche WARNING (avertissement). L'exécuteur de l'instantané remplit automatiquement ces données d'entrée dans ses propres copies.</w:t>
      </w:r>
    </w:p>
    <w:p>
      <w:pPr>
        <w:spacing w:after="60"/>
        <w:ind w:left="397" w:hanging="397"/>
      </w:pPr>
      <w:r>
        <w:rPr/>
        <w:t>4.</w:t>
        <w:tab/>
        <w:t>Lancez les stress un par un, puis combinés (section 7). Lisez le DSCR minimum, le LLCR, le déficit cumulé de service de la dette (</w:t>
      </w:r>
      <w:r>
        <w:rPr>
          <w:rFonts w:ascii="Courier New" w:hAnsi="Courier New"/>
        </w:rPr>
        <w:t>kpi_short</w:t>
      </w:r>
      <w:r>
        <w:rPr/>
        <w:t xml:space="preserve">), les mouvements du DSRA sur </w:t>
      </w:r>
      <w:r>
        <w:rPr>
          <w:i/>
        </w:rPr>
        <w:t>20_CASH_FLOW</w:t>
      </w:r>
      <w:r>
        <w:rPr/>
        <w:t xml:space="preserve"> et le besoin de financement non couvert.</w:t>
      </w:r>
    </w:p>
    <w:p>
      <w:pPr>
        <w:spacing w:after="60"/>
        <w:ind w:left="397" w:hanging="397"/>
      </w:pPr>
      <w:r>
        <w:rPr/>
        <w:t>5.</w:t>
        <w:tab/>
        <w:t xml:space="preserve">Vérifiez les portes 17, 18, 20 et 23 sur </w:t>
      </w:r>
      <w:r>
        <w:rPr>
          <w:i/>
        </w:rPr>
        <w:t>30A_CLOSE_READINESS</w:t>
      </w:r>
      <w:r>
        <w:rPr/>
        <w:t xml:space="preserve"> et les portes 1, 4, 5 et 7 du filtre sur </w:t>
      </w:r>
      <w:r>
        <w:rPr>
          <w:i/>
        </w:rPr>
        <w:t>30_BANKABILITY</w:t>
      </w:r>
      <w:r>
        <w:rPr/>
        <w:t>.</w:t>
      </w:r>
    </w:p>
    <w:p>
      <w:pPr>
        <w:pStyle w:val="Heading2"/>
      </w:pPr>
      <w:r>
        <w:t>5.4 Ministère des Finances ou cellule PPP (Q7, avec Q3)</w:t>
      </w:r>
    </w:p>
    <w:p>
      <w:pPr>
        <w:spacing w:after="60"/>
        <w:ind w:left="397" w:hanging="397"/>
      </w:pPr>
      <w:r>
        <w:rPr/>
        <w:t>1.</w:t>
        <w:tab/>
        <w:t xml:space="preserve">Remplacez les données pays sur </w:t>
      </w:r>
      <w:r>
        <w:rPr>
          <w:i/>
        </w:rPr>
        <w:t>26_DEBT_SUSTAINABILITY</w:t>
      </w:r>
      <w:r>
        <w:rPr/>
        <w:t xml:space="preserve"> par les dernières données publiées des analyses de soutenabilité de la dette (DSA) du FMI et de la Banque mondiale, et fixez les quatre seuils du filtre selon votre politique de gestion des risques budgétaires.</w:t>
      </w:r>
    </w:p>
    <w:p>
      <w:pPr>
        <w:spacing w:after="60"/>
        <w:ind w:left="397" w:hanging="397"/>
      </w:pPr>
      <w:r>
        <w:rPr/>
        <w:t>2.</w:t>
        <w:tab/>
        <w:t xml:space="preserve">Saisissez vos propres probabilités d'appel et pertes en cas d'appel sur </w:t>
      </w:r>
      <w:r>
        <w:rPr>
          <w:i/>
        </w:rPr>
        <w:t>24_CONTINGENT_LIABILITIES</w:t>
      </w:r>
      <w:r>
        <w:rPr/>
        <w:t>. Ce sont des jugements, pas des prévisions.</w:t>
      </w:r>
    </w:p>
    <w:p>
      <w:pPr>
        <w:spacing w:after="60"/>
        <w:ind w:left="397" w:hanging="397"/>
      </w:pPr>
      <w:r>
        <w:rPr/>
        <w:t>3.</w:t>
        <w:tab/>
        <w:t xml:space="preserve">Choisissez la structure sur </w:t>
      </w:r>
      <w:r>
        <w:rPr>
          <w:i/>
        </w:rPr>
        <w:t>01_CONTROL_PANEL</w:t>
      </w:r>
      <w:r>
        <w:rPr/>
        <w:t xml:space="preserve"> et lisez </w:t>
      </w:r>
      <w:r>
        <w:rPr>
          <w:i/>
        </w:rPr>
        <w:t>22_GOVERNMENT_SUPPORT</w:t>
      </w:r>
      <w:r>
        <w:rPr/>
        <w:t xml:space="preserve"> (trésorerie directe), </w:t>
      </w:r>
      <w:r>
        <w:rPr>
          <w:i/>
        </w:rPr>
        <w:t>23_GUARANTEES</w:t>
      </w:r>
      <w:r>
        <w:rPr/>
        <w:t xml:space="preserve"> (exposition par instrument), </w:t>
      </w:r>
      <w:r>
        <w:rPr>
          <w:i/>
        </w:rPr>
        <w:t>24_CONTINGENT_LIABILITIES</w:t>
      </w:r>
      <w:r>
        <w:rPr/>
        <w:t xml:space="preserve"> (exposition simultanée maximale, appels, perte attendue), </w:t>
      </w:r>
      <w:r>
        <w:rPr>
          <w:i/>
        </w:rPr>
        <w:t>25_FISCAL_IMPACT</w:t>
      </w:r>
      <w:r>
        <w:rPr/>
        <w:t xml:space="preserve"> (VAN budgétaire centrale et consolidée, besoin de trésorerie maximal) et </w:t>
      </w:r>
      <w:r>
        <w:rPr>
          <w:i/>
        </w:rPr>
        <w:t>26_DEBT_SUSTAINABILITY</w:t>
      </w:r>
      <w:r>
        <w:rPr/>
        <w:t xml:space="preserve"> (filtre).</w:t>
      </w:r>
    </w:p>
    <w:p>
      <w:pPr>
        <w:spacing w:after="60"/>
        <w:ind w:left="397" w:hanging="397"/>
      </w:pPr>
      <w:r>
        <w:rPr/>
        <w:t>4.</w:t>
        <w:tab/>
        <w:t xml:space="preserve">Testez l'affectation d'un déficit avec </w:t>
      </w:r>
      <w:r>
        <w:rPr>
          <w:rFonts w:ascii="Courier New" w:hAnsi="Courier New"/>
        </w:rPr>
        <w:t>st_offtaker</w:t>
      </w:r>
      <w:r>
        <w:rPr/>
        <w:t xml:space="preserve">, </w:t>
      </w:r>
      <w:r>
        <w:rPr>
          <w:rFonts w:ascii="Courier New" w:hAnsi="Courier New"/>
        </w:rPr>
        <w:t>backstop</w:t>
      </w:r>
      <w:r>
        <w:rPr/>
        <w:t xml:space="preserve"> et </w:t>
      </w:r>
      <w:r>
        <w:rPr>
          <w:rFonts w:ascii="Courier New" w:hAnsi="Courier New"/>
        </w:rPr>
        <w:t>bs_share</w:t>
      </w:r>
      <w:r>
        <w:rPr/>
        <w:t xml:space="preserve">, et le montant de la garantie du CAE avec </w:t>
      </w:r>
      <w:r>
        <w:rPr>
          <w:rFonts w:ascii="Courier New" w:hAnsi="Courier New"/>
        </w:rPr>
        <w:t>ppag_months</w:t>
      </w:r>
      <w:r>
        <w:rPr/>
        <w:t xml:space="preserve"> sur </w:t>
      </w:r>
      <w:r>
        <w:rPr>
          <w:i/>
        </w:rPr>
        <w:t>23_GUARANTEES</w:t>
      </w:r>
      <w:r>
        <w:rPr/>
        <w:t>.</w:t>
      </w:r>
    </w:p>
    <w:p>
      <w:pPr>
        <w:spacing w:after="60"/>
        <w:ind w:left="397" w:hanging="397"/>
      </w:pPr>
      <w:r>
        <w:rPr/>
        <w:t>5.</w:t>
        <w:tab/>
        <w:t>Utilisez la VAN budgétaire consolidée comme indicateur principal pour le secteur public : elle intègre la compagnie publique d'électricité au moyen du scénario contrefactuel sans projet.</w:t>
      </w:r>
    </w:p>
    <w:p>
      <w:pPr>
        <w:spacing w:after="60"/>
        <w:ind w:left="397" w:hanging="397"/>
      </w:pPr>
      <w:r>
        <w:rPr/>
        <w:t>6.</w:t>
        <w:tab/>
        <w:t xml:space="preserve">La porte 21 de </w:t>
      </w:r>
      <w:r>
        <w:rPr>
          <w:i/>
        </w:rPr>
        <w:t>30A_CLOSE_READINESS</w:t>
      </w:r>
      <w:r>
        <w:rPr/>
        <w:t xml:space="preserve"> est franchie quand le filtre n'affiche pas HIGH (élevé) ; l'approbation du ministère elle-même est une preuve à consigner en dehors du modèle.</w:t>
      </w:r>
    </w:p>
    <w:p>
      <w:pPr>
        <w:pStyle w:val="Heading2"/>
      </w:pPr>
      <w:r>
        <w:t>5.5 Compagnie d'électricité (Q7, Q3)</w:t>
      </w:r>
    </w:p>
    <w:p>
      <w:pPr>
        <w:spacing w:after="60"/>
        <w:ind w:left="397" w:hanging="397"/>
      </w:pPr>
      <w:r>
        <w:rPr/>
        <w:t>1.</w:t>
        <w:tab/>
        <w:t xml:space="preserve">Remplacez les données d'entrée de </w:t>
      </w:r>
      <w:r>
        <w:rPr>
          <w:i/>
        </w:rPr>
        <w:t>12_UTILITY</w:t>
      </w:r>
      <w:r>
        <w:rPr/>
        <w:t xml:space="preserve"> par des chiffres audités : clients, tarif, répercussion des coûts, pertes techniques et commerciales, recouvrement, coût des autres sources d'approvisionnement et sa part en USD, coûts d'exploitation, transferts, service de la dette existante, créances.</w:t>
      </w:r>
    </w:p>
    <w:p>
      <w:pPr>
        <w:spacing w:after="60"/>
        <w:ind w:left="397" w:hanging="397"/>
      </w:pPr>
      <w:r>
        <w:rPr/>
        <w:t>2.</w:t>
        <w:tab/>
        <w:t xml:space="preserve">Remplacez la demande par segment et les autres sources d'approvisionnement sur </w:t>
      </w:r>
      <w:r>
        <w:rPr>
          <w:i/>
        </w:rPr>
        <w:t>10_DEMAND</w:t>
      </w:r>
      <w:r>
        <w:rPr/>
        <w:t xml:space="preserve">, ainsi que les données du système sur </w:t>
      </w:r>
      <w:r>
        <w:rPr>
          <w:i/>
        </w:rPr>
        <w:t>09_GRID</w:t>
      </w:r>
      <w:r>
        <w:rPr/>
        <w:t>.</w:t>
      </w:r>
    </w:p>
    <w:p>
      <w:pPr>
        <w:spacing w:after="60"/>
        <w:ind w:left="397" w:hanging="397"/>
      </w:pPr>
      <w:r>
        <w:rPr/>
        <w:t>3.</w:t>
        <w:tab/>
        <w:t>Lisez le paiement maximal soutenable au titre du CAE comparé à la facture du CAE, le ratio de capacité de paiement, la demande non satisfaite, le DSCR de la compagnie sur sa dette existante, le délai de recouvrement des créances et la trésorerie supplémentaire générée par le projet (</w:t>
      </w:r>
      <w:r>
        <w:rPr>
          <w:rFonts w:ascii="Courier New" w:hAnsi="Courier New"/>
        </w:rPr>
        <w:t>f_soe</w:t>
      </w:r>
      <w:r>
        <w:rPr/>
        <w:t>).</w:t>
      </w:r>
    </w:p>
    <w:p>
      <w:pPr>
        <w:spacing w:after="60"/>
        <w:ind w:left="397" w:hanging="397"/>
      </w:pPr>
      <w:r>
        <w:rPr/>
        <w:t>4.</w:t>
        <w:tab/>
        <w:t xml:space="preserve">Sur </w:t>
      </w:r>
      <w:r>
        <w:rPr>
          <w:i/>
        </w:rPr>
        <w:t>15_TARIFF</w:t>
      </w:r>
      <w:r>
        <w:rPr/>
        <w:t>, comparez le tarif moyen pondéré du CAE avec les recettes encaissées par MWh injecté. Une marge négative signifie que chaque MWh acheté coûte de la trésorerie à la compagnie.</w:t>
      </w:r>
    </w:p>
    <w:p>
      <w:pPr>
        <w:pStyle w:val="Heading2"/>
      </w:pPr>
      <w:r>
        <w:t>5.6 Conseiller en transaction (Q8)</w:t>
      </w:r>
    </w:p>
    <w:p>
      <w:pPr>
        <w:spacing w:after="60"/>
        <w:ind w:left="397" w:hanging="397"/>
      </w:pPr>
      <w:r>
        <w:rPr/>
        <w:t>1.</w:t>
        <w:tab/>
        <w:t>Parcourez la chaîne dans l'ordre du livre et tenez un journal de chaque donnée d'entrée modifiée et de sa source.</w:t>
      </w:r>
    </w:p>
    <w:p>
      <w:pPr>
        <w:spacing w:after="60"/>
        <w:ind w:left="397" w:hanging="397"/>
      </w:pPr>
      <w:r>
        <w:rPr/>
        <w:t>2.</w:t>
        <w:tab/>
        <w:t xml:space="preserve">Exécutez le moteur complet avec </w:t>
      </w:r>
      <w:r>
        <w:rPr>
          <w:rFonts w:ascii="Courier New" w:hAnsi="Courier New"/>
        </w:rPr>
        <w:t>tools/run_snapshots.py</w:t>
      </w:r>
      <w:r>
        <w:rPr/>
        <w:t xml:space="preserve"> (section 7.5) pour obtenir les tableaux des scénarios, des structures, des sensibilités, des structures contractuelles et du développeur, le tarif requis par structure et le débit au point mort.</w:t>
      </w:r>
    </w:p>
    <w:p>
      <w:pPr>
        <w:spacing w:after="60"/>
        <w:ind w:left="397" w:hanging="397"/>
      </w:pPr>
      <w:r>
        <w:rPr/>
        <w:t>3.</w:t>
        <w:tab/>
        <w:t xml:space="preserve">Utilisez </w:t>
      </w:r>
      <w:r>
        <w:rPr>
          <w:i/>
        </w:rPr>
        <w:t>29_RISK_ALLOCATION</w:t>
      </w:r>
      <w:r>
        <w:rPr/>
        <w:t xml:space="preserve"> pour convenir de qui porte quoi, </w:t>
      </w:r>
      <w:r>
        <w:rPr>
          <w:i/>
        </w:rPr>
        <w:t>30_BANKABILITY</w:t>
      </w:r>
      <w:r>
        <w:rPr/>
        <w:t xml:space="preserve"> pour la liste d'actions de la phase de développement, et </w:t>
      </w:r>
      <w:r>
        <w:rPr>
          <w:i/>
        </w:rPr>
        <w:t>30A_CLOSE_READINESS</w:t>
      </w:r>
      <w:r>
        <w:rPr/>
        <w:t xml:space="preserve"> avec </w:t>
      </w:r>
      <w:r>
        <w:rPr>
          <w:i/>
        </w:rPr>
        <w:t>34_FRAMEWORK_MAP</w:t>
      </w:r>
      <w:r>
        <w:rPr/>
        <w:t xml:space="preserve"> pour transformer les portes ouvertes en un programme de travail par partie.</w:t>
      </w:r>
    </w:p>
    <w:p>
      <w:pPr>
        <w:spacing w:after="60"/>
        <w:ind w:left="397" w:hanging="397"/>
      </w:pPr>
      <w:r>
        <w:rPr/>
        <w:t>4.</w:t>
        <w:tab/>
        <w:t xml:space="preserve">Avant toute note destinée à un comité, confirmez que </w:t>
      </w:r>
      <w:r>
        <w:rPr>
          <w:i/>
        </w:rPr>
        <w:t>33_CHECKS</w:t>
      </w:r>
      <w:r>
        <w:rPr/>
        <w:t xml:space="preserve"> affiche ALL OK et consignez l'horodatage de l'instantané.</w:t>
      </w:r>
    </w:p>
    <w:p>
      <w:r>
        <w:br w:type="page"/>
      </w:r>
    </w:p>
    <w:p>
      <w:pPr>
        <w:pStyle w:val="Heading1"/>
        <w:pBdr>
          <w:bottom w:val="single" w:sz="12" w:space="4" w:color="B07C0F"/>
        </w:pBdr>
      </w:pPr>
      <w:r>
        <w:t>6. Méthodologie et formules clés</w:t>
      </w:r>
    </w:p>
    <w:p>
      <w:pPr>
        <w:jc w:val="both"/>
      </w:pPr>
      <w:r>
        <w:rPr/>
        <w:t xml:space="preserve">Les formules sont reprises de </w:t>
      </w:r>
      <w:r>
        <w:rPr>
          <w:rFonts w:ascii="Courier New" w:hAnsi="Courier New"/>
        </w:rPr>
        <w:t>model/build_model.py</w:t>
      </w:r>
      <w:r>
        <w:rPr/>
        <w:t xml:space="preserve">, en remplaçant les références du gabarit par les noms de cellules simples du modèle. Un nom tel que </w:t>
      </w:r>
      <w:r>
        <w:rPr>
          <w:rFonts w:ascii="Courier New" w:hAnsi="Courier New"/>
        </w:rPr>
        <w:t>p50</w:t>
      </w:r>
      <w:r>
        <w:rPr/>
        <w:t xml:space="preserve"> est celui utilisé dans </w:t>
      </w:r>
      <w:r>
        <w:rPr>
          <w:rFonts w:ascii="Courier New" w:hAnsi="Courier New"/>
        </w:rPr>
        <w:t>model/model_map.json</w:t>
      </w:r>
      <w:r>
        <w:rPr/>
        <w:t>. Dans une formule de série chronologique, « ligne » désigne la valeur de la même année.</w:t>
      </w:r>
    </w:p>
    <w:p>
      <w:pPr>
        <w:pStyle w:val="Heading2"/>
      </w:pPr>
      <w:r>
        <w:t>6.1 Hydrologie et valeurs P (03_HYDROLOGY)</w:t>
      </w:r>
    </w:p>
    <w:p>
      <w:pPr>
        <w:jc w:val="both"/>
      </w:pPr>
      <w:r>
        <w:rPr/>
        <w:t>Débits moyens mensuels de long terme (janvier à décembre, m³/s) : 24, 20, 28, 52, 70, 58, 40, 28, 22, 30, 46, 36. Février compte 28,25 jours, l'année compte donc 365,25 jours. Pour chaque mois :</w:t>
      </w:r>
    </w:p>
    <w:p>
      <w:pPr>
        <w:spacing w:after="0"/>
        <w:ind w:left="283"/>
      </w:pPr>
      <w:r>
        <w:rPr>
          <w:rFonts w:ascii="Courier New" w:hAnsi="Courier New"/>
          <w:sz w:val="17"/>
        </w:rPr>
        <w:t>usable flow = MIN(MAX(flow-eflow,0),q_design)</w:t>
      </w:r>
    </w:p>
    <w:p>
      <w:pPr>
        <w:spacing w:after="0"/>
        <w:ind w:left="283"/>
      </w:pPr>
      <w:r>
        <w:rPr>
          <w:rFonts w:ascii="Courier New" w:hAnsi="Courier New"/>
          <w:sz w:val="17"/>
        </w:rPr>
        <w:t>power (MW)  = MIN(rho*grav*usable*head*eta_t*eta_g/1000000,inst_mw)</w:t>
      </w:r>
    </w:p>
    <w:p>
      <w:pPr>
        <w:spacing w:after="0"/>
        <w:ind w:left="283"/>
      </w:pPr>
      <w:r>
        <w:rPr>
          <w:rFonts w:ascii="Courier New" w:hAnsi="Courier New"/>
          <w:sz w:val="17"/>
        </w:rPr>
        <w:t>energy gross= power*days*24/1000</w:t>
      </w:r>
    </w:p>
    <w:p>
      <w:pPr>
        <w:spacing w:after="0"/>
        <w:ind w:left="283"/>
      </w:pPr>
      <w:r>
        <w:rPr>
          <w:rFonts w:ascii="Courier New" w:hAnsi="Courier New"/>
          <w:sz w:val="17"/>
        </w:rPr>
        <w:t>energy net  = energy gross*avail</w:t>
      </w:r>
    </w:p>
    <w:p>
      <w:pPr>
        <w:spacing w:after="0"/>
        <w:ind w:left="283"/>
      </w:pPr>
      <w:r>
        <w:rPr>
          <w:rFonts w:ascii="Courier New" w:hAnsi="Courier New"/>
          <w:sz w:val="17"/>
        </w:rPr>
        <w:t>spill       = MAX(flow-eflow-q_design,0)</w:t>
      </w:r>
    </w:p>
    <w:p>
      <w:pPr>
        <w:spacing w:after="40"/>
      </w:pPr>
    </w:p>
    <w:p>
      <w:pPr>
        <w:jc w:val="both"/>
      </w:pPr>
      <w:r>
        <w:rPr/>
        <w:t>Statistiques annuelles :</w:t>
      </w:r>
    </w:p>
    <w:p>
      <w:pPr>
        <w:spacing w:after="0"/>
        <w:ind w:left="283"/>
      </w:pPr>
      <w:r>
        <w:rPr>
          <w:rFonts w:ascii="Courier New" w:hAnsi="Courier New"/>
          <w:sz w:val="17"/>
        </w:rPr>
        <w:t>p50    = sum of monthly net energy</w:t>
      </w:r>
    </w:p>
    <w:p>
      <w:pPr>
        <w:spacing w:after="0"/>
        <w:ind w:left="283"/>
      </w:pPr>
      <w:r>
        <w:rPr>
          <w:rFonts w:ascii="Courier New" w:hAnsi="Courier New"/>
          <w:sz w:val="17"/>
        </w:rPr>
        <w:t>p75    = p50*(1-z75*cv)                 z75 = 0.6745</w:t>
      </w:r>
    </w:p>
    <w:p>
      <w:pPr>
        <w:spacing w:after="0"/>
        <w:ind w:left="283"/>
      </w:pPr>
      <w:r>
        <w:rPr>
          <w:rFonts w:ascii="Courier New" w:hAnsi="Courier New"/>
          <w:sz w:val="17"/>
        </w:rPr>
        <w:t>p90    = p50*(1-z90*cv)                 z90 = 1.2816 (one-year P90)</w:t>
      </w:r>
    </w:p>
    <w:p>
      <w:pPr>
        <w:spacing w:after="0"/>
        <w:ind w:left="283"/>
      </w:pPr>
      <w:r>
        <w:rPr>
          <w:rFonts w:ascii="Courier New" w:hAnsi="Courier New"/>
          <w:sz w:val="17"/>
        </w:rPr>
        <w:t>p90_10 = p50*(1-z90*cv*SQRT((1+rho1)/(1-rho1)/10))</w:t>
      </w:r>
    </w:p>
    <w:p>
      <w:pPr>
        <w:spacing w:after="0"/>
        <w:ind w:left="283"/>
      </w:pPr>
      <w:r>
        <w:rPr>
          <w:rFonts w:ascii="Courier New" w:hAnsi="Courier New"/>
          <w:sz w:val="17"/>
        </w:rPr>
        <w:t>cf     = p50/(inst_mw*8.76)</w:t>
      </w:r>
    </w:p>
    <w:p>
      <w:pPr>
        <w:spacing w:after="0"/>
        <w:ind w:left="283"/>
      </w:pPr>
      <w:r>
        <w:rPr>
          <w:rFonts w:ascii="Courier New" w:hAnsi="Courier New"/>
          <w:sz w:val="17"/>
        </w:rPr>
        <w:t>firm_mw= lowest monthly power*avail</w:t>
      </w:r>
    </w:p>
    <w:p>
      <w:pPr>
        <w:spacing w:after="40"/>
      </w:pPr>
    </w:p>
    <w:p>
      <w:pPr>
        <w:jc w:val="both"/>
      </w:pPr>
      <w:r>
        <w:rPr/>
        <w:t xml:space="preserve">Le P90 à dix ans est le P90 de l'énergie moyenne sur dix ans. La corrélation d'une année sur l'autre </w:t>
      </w:r>
      <w:r>
        <w:rPr>
          <w:rFonts w:ascii="Courier New" w:hAnsi="Courier New"/>
        </w:rPr>
        <w:t>rho1</w:t>
      </w:r>
      <w:r>
        <w:rPr/>
        <w:t xml:space="preserve"> (0,3 par défaut) traduit la persistance des années sèches : elle augmente la variance de la moyenne par le facteur (1+ρ)/(1−ρ)/n. Avec un coefficient de variation de 15 %, les valeurs de Kasiri sont : P50 292,5 GWh, P75 262,9, P90 à un an 236,3 et P90 à dix ans 268,3 GWh ; le rapport P90/P50 est de 0,81 et le facteur de charge de 55,6 %. La ligne de contrôle « puissance théorique au débit d'équipement » (</w:t>
      </w:r>
      <w:r>
        <w:rPr>
          <w:i/>
        </w:rPr>
        <w:t>« theoretical power at design flow »</w:t>
      </w:r>
      <w:r>
        <w:rPr/>
        <w:t>, 60,5 MW) doit être au moins égale à la puissance installée.</w:t>
      </w:r>
    </w:p>
    <w:p>
      <w:pPr>
        <w:jc w:val="both"/>
      </w:pPr>
      <w:r>
        <w:rPr/>
        <w:t>La feuille signale que l'énergie calculée à partir des débits moyens mensuels de long terme surestime la production lorsque, certaines années, les débits dépassent le débit d'équipement ; il faut la remplacer par une simulation sur l'ensemble de la série de débits lorsqu'elle existe.</w:t>
      </w:r>
    </w:p>
    <w:p>
      <w:pPr>
        <w:pStyle w:val="Heading2"/>
      </w:pPr>
      <w:r>
        <w:t>6.2 Énergie (04_GENERATION)</w:t>
      </w:r>
    </w:p>
    <w:p>
      <w:pPr>
        <w:spacing w:after="0"/>
        <w:ind w:left="283"/>
      </w:pPr>
      <w:r>
        <w:rPr>
          <w:rFonts w:ascii="Courier New" w:hAnsi="Courier New"/>
          <w:sz w:val="17"/>
        </w:rPr>
        <w:t>p_sel     = CHOOSE(gen_case,p50,p75,p90)</w:t>
      </w:r>
    </w:p>
    <w:p>
      <w:pPr>
        <w:spacing w:after="0"/>
        <w:ind w:left="283"/>
      </w:pPr>
      <w:r>
        <w:rPr>
          <w:rFonts w:ascii="Courier New" w:hAnsi="Courier New"/>
          <w:sz w:val="17"/>
        </w:rPr>
        <w:t>p_len     = CHOOSE(lender_case,p50,p75,p90,p90_10)</w:t>
      </w:r>
    </w:p>
    <w:p>
      <w:pPr>
        <w:spacing w:after="0"/>
        <w:ind w:left="283"/>
      </w:pPr>
      <w:r>
        <w:rPr>
          <w:rFonts w:ascii="Courier New" w:hAnsi="Courier New"/>
          <w:sz w:val="17"/>
        </w:rPr>
        <w:t>drought   = IF(AND(st_drought=1,opyr&gt;=p_drought_start,opyr&lt;p_drought_start+p_drought_len),p_drought,1)</w:t>
      </w:r>
    </w:p>
    <w:p>
      <w:pPr>
        <w:spacing w:after="0"/>
        <w:ind w:left="283"/>
      </w:pPr>
      <w:r>
        <w:rPr>
          <w:rFonts w:ascii="Courier New" w:hAnsi="Courier New"/>
          <w:sz w:val="17"/>
        </w:rPr>
        <w:t>climate   = (1+eff_climate)^((year-base_year)/10)</w:t>
      </w:r>
    </w:p>
    <w:p>
      <w:pPr>
        <w:spacing w:after="0"/>
        <w:ind w:left="283"/>
      </w:pPr>
      <w:r>
        <w:rPr>
          <w:rFonts w:ascii="Courier New" w:hAnsi="Courier New"/>
          <w:sz w:val="17"/>
        </w:rPr>
        <w:t>rampf     = IF(opyr=1,ramp,1)</w:t>
      </w:r>
    </w:p>
    <w:p>
      <w:pPr>
        <w:spacing w:after="0"/>
        <w:ind w:left="283"/>
      </w:pPr>
      <w:r>
        <w:rPr>
          <w:rFonts w:ascii="Courier New" w:hAnsi="Courier New"/>
          <w:sz w:val="17"/>
        </w:rPr>
        <w:t>gen       = opflag*p_sel*eff_flow*drought*climate*rampf</w:t>
      </w:r>
    </w:p>
    <w:p>
      <w:pPr>
        <w:spacing w:after="0"/>
        <w:ind w:left="283"/>
      </w:pPr>
      <w:r>
        <w:rPr>
          <w:rFonts w:ascii="Courier New" w:hAnsi="Courier New"/>
          <w:sz w:val="17"/>
        </w:rPr>
        <w:t>gen_p50   = opflag*p50*eff_flow*climate*rampf</w:t>
      </w:r>
    </w:p>
    <w:p>
      <w:pPr>
        <w:spacing w:after="0"/>
        <w:ind w:left="283"/>
      </w:pPr>
      <w:r>
        <w:rPr>
          <w:rFonts w:ascii="Courier New" w:hAnsi="Courier New"/>
          <w:sz w:val="17"/>
        </w:rPr>
        <w:t>evacuable = gen*evac_ratio</w:t>
      </w:r>
    </w:p>
    <w:p>
      <w:pPr>
        <w:spacing w:after="0"/>
        <w:ind w:left="283"/>
      </w:pPr>
      <w:r>
        <w:rPr>
          <w:rFonts w:ascii="Courier New" w:hAnsi="Courier New"/>
          <w:sz w:val="17"/>
        </w:rPr>
        <w:t>delivered = MIN(evacuable,d_absorb)</w:t>
      </w:r>
    </w:p>
    <w:p>
      <w:pPr>
        <w:spacing w:after="0"/>
        <w:ind w:left="283"/>
      </w:pPr>
      <w:r>
        <w:rPr>
          <w:rFonts w:ascii="Courier New" w:hAnsi="Courier New"/>
          <w:sz w:val="17"/>
        </w:rPr>
        <w:t>gen_len   = opflag*p_len*eff_flow*climate*rampf</w:t>
      </w:r>
    </w:p>
    <w:p>
      <w:pPr>
        <w:spacing w:after="40"/>
      </w:pPr>
    </w:p>
    <w:p>
      <w:pPr>
        <w:jc w:val="both"/>
      </w:pPr>
      <w:r>
        <w:rPr/>
        <w:t xml:space="preserve">Le modèle distingue l'énergie installée, disponible, produite, évacuable, livrée et contractée. L'écrêtement dû au transport ou au réseau est </w:t>
      </w:r>
      <w:r>
        <w:rPr>
          <w:rFonts w:ascii="Courier New" w:hAnsi="Courier New"/>
        </w:rPr>
        <w:t>gen-evacuable</w:t>
      </w:r>
      <w:r>
        <w:rPr/>
        <w:t xml:space="preserve"> ; l'écrêtement dû à l'insuffisance de la demande est </w:t>
      </w:r>
      <w:r>
        <w:rPr>
          <w:rFonts w:ascii="Courier New" w:hAnsi="Courier New"/>
        </w:rPr>
        <w:t>evacuable-delivered</w:t>
      </w:r>
      <w:r>
        <w:rPr/>
        <w:t xml:space="preserve">. L'énergie contractée est la référence P50 </w:t>
      </w:r>
      <w:r>
        <w:rPr>
          <w:rFonts w:ascii="Courier New" w:hAnsi="Courier New"/>
        </w:rPr>
        <w:t>gen_p50</w:t>
      </w:r>
      <w:r>
        <w:rPr/>
        <w:t xml:space="preserve">. La production du cas prêteurs </w:t>
      </w:r>
      <w:r>
        <w:rPr>
          <w:rFonts w:ascii="Courier New" w:hAnsi="Courier New"/>
        </w:rPr>
        <w:t>gen_len</w:t>
      </w:r>
      <w:r>
        <w:rPr/>
        <w:t xml:space="preserve"> n'intègre pas le facteur de sécheresse : la sécheresse est testée à part.</w:t>
      </w:r>
    </w:p>
    <w:p>
      <w:pPr>
        <w:jc w:val="both"/>
      </w:pPr>
      <w:r>
        <w:rPr/>
        <w:t xml:space="preserve">Le ratio d'évacuation provient de </w:t>
      </w:r>
      <w:r>
        <w:rPr>
          <w:i/>
        </w:rPr>
        <w:t>09_GRID</w:t>
      </w:r>
      <w:r>
        <w:rPr/>
        <w:t xml:space="preserve"> :</w:t>
      </w:r>
    </w:p>
    <w:p>
      <w:pPr>
        <w:spacing w:after="0"/>
        <w:ind w:left="283"/>
      </w:pPr>
      <w:r>
        <w:rPr>
          <w:rFonts w:ascii="Courier New" w:hAnsi="Courier New"/>
          <w:sz w:val="17"/>
        </w:rPr>
        <w:t>peak       = peak0*d_dom/base-year domestic demand</w:t>
      </w:r>
    </w:p>
    <w:p>
      <w:pPr>
        <w:spacing w:after="0"/>
        <w:ind w:left="283"/>
      </w:pPr>
      <w:r>
        <w:rPr>
          <w:rFonts w:ascii="Courier New" w:hAnsi="Courier New"/>
          <w:sz w:val="17"/>
        </w:rPr>
        <w:t>absorb_mw  = MAX(0,peak*minload-mustrun)+ic_mw</w:t>
      </w:r>
    </w:p>
    <w:p>
      <w:pPr>
        <w:spacing w:after="0"/>
        <w:ind w:left="283"/>
      </w:pPr>
      <w:r>
        <w:rPr>
          <w:rFonts w:ascii="Courier New" w:hAnsi="Courier New"/>
          <w:sz w:val="17"/>
        </w:rPr>
        <w:t>line_mw    = IF(tx_ready=1,tx_mw,tx_interim)</w:t>
      </w:r>
    </w:p>
    <w:p>
      <w:pPr>
        <w:spacing w:after="0"/>
        <w:ind w:left="283"/>
      </w:pPr>
      <w:r>
        <w:rPr>
          <w:rFonts w:ascii="Courier New" w:hAnsi="Courier New"/>
          <w:sz w:val="17"/>
        </w:rPr>
        <w:t>evac_mw    = MIN(line_mw,absorb_mw)</w:t>
      </w:r>
    </w:p>
    <w:p>
      <w:pPr>
        <w:spacing w:after="0"/>
        <w:ind w:left="283"/>
      </w:pPr>
      <w:r>
        <w:rPr>
          <w:rFonts w:ascii="Courier New" w:hAnsi="Courier New"/>
          <w:sz w:val="17"/>
        </w:rPr>
        <w:t>evac_ratio = MIN(1,evac_mw/inst_mw)</w:t>
      </w:r>
    </w:p>
    <w:p>
      <w:pPr>
        <w:spacing w:after="40"/>
      </w:pPr>
    </w:p>
    <w:p>
      <w:pPr>
        <w:jc w:val="both"/>
      </w:pPr>
      <w:r>
        <w:rPr/>
        <w:t xml:space="preserve">Sur </w:t>
      </w:r>
      <w:r>
        <w:rPr>
          <w:i/>
        </w:rPr>
        <w:t>10_DEMAND</w:t>
      </w:r>
      <w:r>
        <w:rPr/>
        <w:t xml:space="preserve">, la demande croît par segment au taux de croissance du cas, augmenté de </w:t>
      </w:r>
      <w:r>
        <w:rPr>
          <w:rFonts w:ascii="Courier New" w:hAnsi="Courier New"/>
        </w:rPr>
        <w:t>eff_demg</w:t>
      </w:r>
      <w:r>
        <w:rPr/>
        <w:t xml:space="preserve">, et elle est multipliée par </w:t>
      </w:r>
      <w:r>
        <w:rPr>
          <w:rFonts w:ascii="Courier New" w:hAnsi="Courier New"/>
        </w:rPr>
        <w:t>eff_dem</w:t>
      </w:r>
      <w:r>
        <w:rPr/>
        <w:t xml:space="preserve"> à partir de la date de mise en service commerciale (COD). L'énergie du projet absorbable est égale au déficit d'offre, plus la production thermique substituable, plus les exportations contractées. La demande bancable est </w:t>
      </w:r>
      <w:r>
        <w:rPr>
          <w:rFonts w:ascii="Courier New" w:hAnsi="Courier New"/>
        </w:rPr>
        <w:t>opflag*MIN(contracted,absorbable*commercial/(domestic+exp_con))</w:t>
      </w:r>
      <w:r>
        <w:rPr/>
        <w:t xml:space="preserve"> ; le plus faible rapport entre demande bancable et demande contractée sur les années d'exploitation 1 à 5 alimente la porte 2.</w:t>
      </w:r>
    </w:p>
    <w:p>
      <w:pPr>
        <w:pStyle w:val="Heading2"/>
      </w:pPr>
      <w:r>
        <w:t>6.3 Construction du coût d'investissement (05_PLANT_CAPEX, 06_CONSTRUCTION, 08_TRANSMISSION)</w:t>
      </w:r>
    </w:p>
    <w:p>
      <w:pPr>
        <w:jc w:val="both"/>
      </w:pPr>
      <w:r>
        <w:rPr/>
        <w:t>Coût de la centrale en USD constants de 2026 :</w:t>
      </w:r>
    </w:p>
    <w:tbl>
      <w:tblPr>
        <w:tblStyle w:val="TableGrid"/>
        <w:tblW w:type="auto" w:w="0"/>
        <w:jc w:val="center"/>
        <w:tblLook w:firstColumn="1" w:firstRow="1" w:lastColumn="0" w:lastRow="0" w:noHBand="0" w:noVBand="1" w:val="04A0"/>
      </w:tblPr>
      <w:tblGrid>
        <w:gridCol w:w="3213"/>
        <w:gridCol w:w="3213"/>
        <w:gridCol w:w="3213"/>
      </w:tblGrid>
      <w:tr>
        <w:tc>
          <w:tcPr>
            <w:tcW w:type="dxa" w:w="3872"/>
            <w:shd w:val="clear" w:color="auto" w:fill="0B3020"/>
          </w:tcPr>
          <w:p>
            <w:pPr>
              <w:spacing w:after="0"/>
            </w:pPr>
            <w:r>
              <w:rPr>
                <w:b/>
                <w:color w:val="FFFFFF"/>
                <w:sz w:val="16"/>
              </w:rPr>
              <w:t>Poste</w:t>
            </w:r>
          </w:p>
        </w:tc>
        <w:tc>
          <w:tcPr>
            <w:tcW w:type="dxa" w:w="1205"/>
            <w:shd w:val="clear" w:color="auto" w:fill="0B3020"/>
          </w:tcPr>
          <w:p>
            <w:pPr>
              <w:spacing w:after="0"/>
            </w:pPr>
            <w:r>
              <w:rPr>
                <w:b/>
                <w:color w:val="FFFFFF"/>
                <w:sz w:val="16"/>
              </w:rPr>
              <w:t>Kasiri (M USD)</w:t>
            </w:r>
          </w:p>
        </w:tc>
        <w:tc>
          <w:tcPr>
            <w:tcW w:type="dxa" w:w="4561"/>
            <w:shd w:val="clear" w:color="auto" w:fill="0B3020"/>
          </w:tcPr>
          <w:p>
            <w:pPr>
              <w:spacing w:after="0"/>
            </w:pPr>
            <w:r>
              <w:rPr>
                <w:b/>
                <w:color w:val="FFFFFF"/>
                <w:sz w:val="16"/>
              </w:rPr>
              <w:t>Formule ou source</w:t>
            </w:r>
          </w:p>
        </w:tc>
      </w:tr>
      <w:tr>
        <w:tc>
          <w:tcPr>
            <w:tcW w:type="dxa" w:w="3872"/>
          </w:tcPr>
          <w:p>
            <w:pPr>
              <w:spacing w:after="0"/>
            </w:pPr>
            <w:r>
              <w:rPr>
                <w:color w:val="1D1D1D"/>
                <w:sz w:val="16"/>
              </w:rPr>
              <w:t>Génie civil</w:t>
            </w:r>
          </w:p>
        </w:tc>
        <w:tc>
          <w:tcPr>
            <w:tcW w:type="dxa" w:w="1205"/>
          </w:tcPr>
          <w:p>
            <w:pPr>
              <w:spacing w:after="0"/>
            </w:pPr>
            <w:r>
              <w:rPr>
                <w:color w:val="1D1D1D"/>
                <w:sz w:val="16"/>
              </w:rPr>
              <w:t>68,0</w:t>
            </w:r>
          </w:p>
        </w:tc>
        <w:tc>
          <w:tcPr>
            <w:tcW w:type="dxa" w:w="4561"/>
          </w:tcPr>
          <w:p>
            <w:pPr>
              <w:spacing w:after="0"/>
            </w:pPr>
            <w:r>
              <w:rPr>
                <w:color w:val="1D1D1D"/>
                <w:sz w:val="16"/>
              </w:rPr>
              <w:t>Donnée d'entrée</w:t>
            </w:r>
          </w:p>
        </w:tc>
      </w:tr>
      <w:tr>
        <w:tc>
          <w:tcPr>
            <w:tcW w:type="dxa" w:w="3872"/>
            <w:shd w:val="clear" w:color="auto" w:fill="FAF8F2"/>
          </w:tcPr>
          <w:p>
            <w:pPr>
              <w:spacing w:after="0"/>
            </w:pPr>
            <w:r>
              <w:rPr>
                <w:color w:val="1D1D1D"/>
                <w:sz w:val="16"/>
              </w:rPr>
              <w:t>Équipements hydromécaniques</w:t>
            </w:r>
          </w:p>
        </w:tc>
        <w:tc>
          <w:tcPr>
            <w:tcW w:type="dxa" w:w="1205"/>
            <w:shd w:val="clear" w:color="auto" w:fill="FAF8F2"/>
          </w:tcPr>
          <w:p>
            <w:pPr>
              <w:spacing w:after="0"/>
            </w:pPr>
            <w:r>
              <w:rPr>
                <w:color w:val="1D1D1D"/>
                <w:sz w:val="16"/>
              </w:rPr>
              <w:t>9,0</w:t>
            </w:r>
          </w:p>
        </w:tc>
        <w:tc>
          <w:tcPr>
            <w:tcW w:type="dxa" w:w="4561"/>
            <w:shd w:val="clear" w:color="auto" w:fill="FAF8F2"/>
          </w:tcPr>
          <w:p>
            <w:pPr>
              <w:spacing w:after="0"/>
            </w:pPr>
            <w:r>
              <w:rPr>
                <w:color w:val="1D1D1D"/>
                <w:sz w:val="16"/>
              </w:rPr>
              <w:t>Donnée d'entrée</w:t>
            </w:r>
          </w:p>
        </w:tc>
      </w:tr>
      <w:tr>
        <w:tc>
          <w:tcPr>
            <w:tcW w:type="dxa" w:w="3872"/>
          </w:tcPr>
          <w:p>
            <w:pPr>
              <w:spacing w:after="0"/>
            </w:pPr>
            <w:r>
              <w:rPr>
                <w:color w:val="1D1D1D"/>
                <w:sz w:val="16"/>
              </w:rPr>
              <w:t>Équipements électromécaniques</w:t>
            </w:r>
          </w:p>
        </w:tc>
        <w:tc>
          <w:tcPr>
            <w:tcW w:type="dxa" w:w="1205"/>
          </w:tcPr>
          <w:p>
            <w:pPr>
              <w:spacing w:after="0"/>
            </w:pPr>
            <w:r>
              <w:rPr>
                <w:color w:val="1D1D1D"/>
                <w:sz w:val="16"/>
              </w:rPr>
              <w:t>33,0</w:t>
            </w:r>
          </w:p>
        </w:tc>
        <w:tc>
          <w:tcPr>
            <w:tcW w:type="dxa" w:w="4561"/>
          </w:tcPr>
          <w:p>
            <w:pPr>
              <w:spacing w:after="0"/>
            </w:pPr>
            <w:r>
              <w:rPr>
                <w:color w:val="1D1D1D"/>
                <w:sz w:val="16"/>
              </w:rPr>
              <w:t>Donnée d'entrée</w:t>
            </w:r>
          </w:p>
        </w:tc>
      </w:tr>
      <w:tr>
        <w:tc>
          <w:tcPr>
            <w:tcW w:type="dxa" w:w="3872"/>
            <w:shd w:val="clear" w:color="auto" w:fill="FAF8F2"/>
          </w:tcPr>
          <w:p>
            <w:pPr>
              <w:spacing w:after="0"/>
            </w:pPr>
            <w:r>
              <w:rPr>
                <w:color w:val="1D1D1D"/>
                <w:sz w:val="16"/>
              </w:rPr>
              <w:t>Environnement et social</w:t>
            </w:r>
          </w:p>
        </w:tc>
        <w:tc>
          <w:tcPr>
            <w:tcW w:type="dxa" w:w="1205"/>
            <w:shd w:val="clear" w:color="auto" w:fill="FAF8F2"/>
          </w:tcPr>
          <w:p>
            <w:pPr>
              <w:spacing w:after="0"/>
            </w:pPr>
            <w:r>
              <w:rPr>
                <w:color w:val="1D1D1D"/>
                <w:sz w:val="16"/>
              </w:rPr>
              <w:t>5,0</w:t>
            </w:r>
          </w:p>
        </w:tc>
        <w:tc>
          <w:tcPr>
            <w:tcW w:type="dxa" w:w="4561"/>
            <w:shd w:val="clear" w:color="auto" w:fill="FAF8F2"/>
          </w:tcPr>
          <w:p>
            <w:pPr>
              <w:spacing w:after="0"/>
            </w:pPr>
            <w:r>
              <w:rPr>
                <w:color w:val="1D1D1D"/>
                <w:sz w:val="16"/>
              </w:rPr>
              <w:t>Donnée d'entrée</w:t>
            </w:r>
          </w:p>
        </w:tc>
      </w:tr>
      <w:tr>
        <w:tc>
          <w:tcPr>
            <w:tcW w:type="dxa" w:w="3872"/>
          </w:tcPr>
          <w:p>
            <w:pPr>
              <w:spacing w:after="0"/>
            </w:pPr>
            <w:r>
              <w:rPr>
                <w:color w:val="1D1D1D"/>
                <w:sz w:val="16"/>
              </w:rPr>
              <w:t>Ingénierie et supervision</w:t>
            </w:r>
          </w:p>
        </w:tc>
        <w:tc>
          <w:tcPr>
            <w:tcW w:type="dxa" w:w="1205"/>
          </w:tcPr>
          <w:p>
            <w:pPr>
              <w:spacing w:after="0"/>
            </w:pPr>
            <w:r>
              <w:rPr>
                <w:color w:val="1D1D1D"/>
                <w:sz w:val="16"/>
              </w:rPr>
              <w:t>8,0</w:t>
            </w:r>
          </w:p>
        </w:tc>
        <w:tc>
          <w:tcPr>
            <w:tcW w:type="dxa" w:w="4561"/>
          </w:tcPr>
          <w:p>
            <w:pPr>
              <w:spacing w:after="0"/>
            </w:pPr>
            <w:r>
              <w:rPr>
                <w:color w:val="1D1D1D"/>
                <w:sz w:val="16"/>
              </w:rPr>
              <w:t>Donnée d'entrée</w:t>
            </w:r>
          </w:p>
        </w:tc>
      </w:tr>
      <w:tr>
        <w:tc>
          <w:tcPr>
            <w:tcW w:type="dxa" w:w="3872"/>
            <w:shd w:val="clear" w:color="auto" w:fill="FAF8F2"/>
          </w:tcPr>
          <w:p>
            <w:pPr>
              <w:spacing w:after="0"/>
            </w:pPr>
            <w:r>
              <w:rPr>
                <w:color w:val="1D1D1D"/>
                <w:sz w:val="16"/>
              </w:rPr>
              <w:t>Coûts du maître d'ouvrage</w:t>
            </w:r>
          </w:p>
        </w:tc>
        <w:tc>
          <w:tcPr>
            <w:tcW w:type="dxa" w:w="1205"/>
            <w:shd w:val="clear" w:color="auto" w:fill="FAF8F2"/>
          </w:tcPr>
          <w:p>
            <w:pPr>
              <w:spacing w:after="0"/>
            </w:pPr>
            <w:r>
              <w:rPr>
                <w:color w:val="1D1D1D"/>
                <w:sz w:val="16"/>
              </w:rPr>
              <w:t>4,0</w:t>
            </w:r>
          </w:p>
        </w:tc>
        <w:tc>
          <w:tcPr>
            <w:tcW w:type="dxa" w:w="4561"/>
            <w:shd w:val="clear" w:color="auto" w:fill="FAF8F2"/>
          </w:tcPr>
          <w:p>
            <w:pPr>
              <w:spacing w:after="0"/>
            </w:pPr>
            <w:r>
              <w:rPr>
                <w:color w:val="1D1D1D"/>
                <w:sz w:val="16"/>
              </w:rPr>
              <w:t>Donnée d'entrée</w:t>
            </w:r>
          </w:p>
        </w:tc>
      </w:tr>
      <w:tr>
        <w:tc>
          <w:tcPr>
            <w:tcW w:type="dxa" w:w="3872"/>
          </w:tcPr>
          <w:p>
            <w:pPr>
              <w:spacing w:after="0"/>
            </w:pPr>
            <w:r>
              <w:rPr>
                <w:color w:val="1D1D1D"/>
                <w:sz w:val="16"/>
              </w:rPr>
              <w:t>Coûts de développement remboursés au bouclage</w:t>
            </w:r>
          </w:p>
        </w:tc>
        <w:tc>
          <w:tcPr>
            <w:tcW w:type="dxa" w:w="1205"/>
          </w:tcPr>
          <w:p>
            <w:pPr>
              <w:spacing w:after="0"/>
            </w:pPr>
            <w:r>
              <w:rPr>
                <w:color w:val="1D1D1D"/>
                <w:sz w:val="16"/>
              </w:rPr>
              <w:t>9,0</w:t>
            </w:r>
          </w:p>
        </w:tc>
        <w:tc>
          <w:tcPr>
            <w:tcW w:type="dxa" w:w="4561"/>
          </w:tcPr>
          <w:p>
            <w:pPr>
              <w:spacing w:after="0"/>
            </w:pPr>
            <w:r>
              <w:rPr>
                <w:rFonts w:ascii="Courier New" w:hAnsi="Courier New"/>
                <w:color w:val="1D1D1D"/>
                <w:sz w:val="16"/>
              </w:rPr>
              <w:t>cx_dev = dev_total</w:t>
            </w:r>
            <w:r>
              <w:rPr>
                <w:color w:val="1D1D1D"/>
                <w:sz w:val="16"/>
              </w:rPr>
              <w:t xml:space="preserve"> depuis </w:t>
            </w:r>
            <w:r>
              <w:rPr>
                <w:i/>
                <w:color w:val="1D1D1D"/>
                <w:sz w:val="16"/>
              </w:rPr>
              <w:t>01A_DEVELOPMENT</w:t>
            </w:r>
          </w:p>
        </w:tc>
      </w:tr>
      <w:tr>
        <w:tc>
          <w:tcPr>
            <w:tcW w:type="dxa" w:w="3872"/>
            <w:shd w:val="clear" w:color="auto" w:fill="FAF8F2"/>
          </w:tcPr>
          <w:p>
            <w:pPr>
              <w:spacing w:after="0"/>
            </w:pPr>
            <w:r>
              <w:rPr>
                <w:color w:val="1D1D1D"/>
                <w:sz w:val="16"/>
              </w:rPr>
              <w:t>Prime de risque de l'entrepreneur</w:t>
            </w:r>
          </w:p>
        </w:tc>
        <w:tc>
          <w:tcPr>
            <w:tcW w:type="dxa" w:w="1205"/>
            <w:shd w:val="clear" w:color="auto" w:fill="FAF8F2"/>
          </w:tcPr>
          <w:p>
            <w:pPr>
              <w:spacing w:after="0"/>
            </w:pPr>
            <w:r>
              <w:rPr>
                <w:color w:val="1D1D1D"/>
                <w:sz w:val="16"/>
              </w:rPr>
              <w:t>6,6</w:t>
            </w:r>
          </w:p>
        </w:tc>
        <w:tc>
          <w:tcPr>
            <w:tcW w:type="dxa" w:w="4561"/>
            <w:shd w:val="clear" w:color="auto" w:fill="FAF8F2"/>
          </w:tcPr>
          <w:p>
            <w:pPr>
              <w:spacing w:after="0"/>
            </w:pPr>
            <w:r>
              <w:rPr>
                <w:rFonts w:ascii="Courier New" w:hAnsi="Courier New"/>
                <w:color w:val="1D1D1D"/>
                <w:sz w:val="16"/>
              </w:rPr>
              <w:t>cx_epcprem = (cx_civil+cx_hm+cx_em)*epc_prem</w:t>
            </w:r>
          </w:p>
        </w:tc>
      </w:tr>
      <w:tr>
        <w:tc>
          <w:tcPr>
            <w:tcW w:type="dxa" w:w="3872"/>
          </w:tcPr>
          <w:p>
            <w:pPr>
              <w:spacing w:after="0"/>
            </w:pPr>
            <w:r>
              <w:rPr>
                <w:color w:val="1D1D1D"/>
                <w:sz w:val="16"/>
              </w:rPr>
              <w:t>Sous-total</w:t>
            </w:r>
          </w:p>
        </w:tc>
        <w:tc>
          <w:tcPr>
            <w:tcW w:type="dxa" w:w="1205"/>
          </w:tcPr>
          <w:p>
            <w:pPr>
              <w:spacing w:after="0"/>
            </w:pPr>
            <w:r>
              <w:rPr>
                <w:color w:val="1D1D1D"/>
                <w:sz w:val="16"/>
              </w:rPr>
              <w:t>142,6</w:t>
            </w:r>
          </w:p>
        </w:tc>
        <w:tc>
          <w:tcPr>
            <w:tcW w:type="dxa" w:w="4561"/>
          </w:tcPr>
          <w:p>
            <w:pPr>
              <w:spacing w:after="0"/>
            </w:pPr>
            <w:r>
              <w:rPr>
                <w:color w:val="1D1D1D"/>
                <w:sz w:val="16"/>
              </w:rPr>
              <w:t>Somme</w:t>
            </w:r>
          </w:p>
        </w:tc>
      </w:tr>
      <w:tr>
        <w:tc>
          <w:tcPr>
            <w:tcW w:type="dxa" w:w="3872"/>
            <w:shd w:val="clear" w:color="auto" w:fill="FAF8F2"/>
          </w:tcPr>
          <w:p>
            <w:pPr>
              <w:spacing w:after="0"/>
            </w:pPr>
            <w:r>
              <w:rPr>
                <w:color w:val="1D1D1D"/>
                <w:sz w:val="16"/>
              </w:rPr>
              <w:t>Provision pour aléas physiques 10 %</w:t>
            </w:r>
          </w:p>
        </w:tc>
        <w:tc>
          <w:tcPr>
            <w:tcW w:type="dxa" w:w="1205"/>
            <w:shd w:val="clear" w:color="auto" w:fill="FAF8F2"/>
          </w:tcPr>
          <w:p>
            <w:pPr>
              <w:spacing w:after="0"/>
            </w:pPr>
            <w:r>
              <w:rPr>
                <w:color w:val="1D1D1D"/>
                <w:sz w:val="16"/>
              </w:rPr>
              <w:t>14,3</w:t>
            </w:r>
          </w:p>
        </w:tc>
        <w:tc>
          <w:tcPr>
            <w:tcW w:type="dxa" w:w="4561"/>
            <w:shd w:val="clear" w:color="auto" w:fill="FAF8F2"/>
          </w:tcPr>
          <w:p>
            <w:pPr>
              <w:spacing w:after="0"/>
            </w:pPr>
            <w:r>
              <w:rPr>
                <w:rFonts w:ascii="Courier New" w:hAnsi="Courier New"/>
                <w:color w:val="1D1D1D"/>
                <w:sz w:val="16"/>
              </w:rPr>
              <w:t>capex_base = cx_sub*(1+cont)</w:t>
            </w:r>
          </w:p>
        </w:tc>
      </w:tr>
      <w:tr>
        <w:tc>
          <w:tcPr>
            <w:tcW w:type="dxa" w:w="3872"/>
          </w:tcPr>
          <w:p>
            <w:pPr>
              <w:spacing w:after="0"/>
            </w:pPr>
            <w:r>
              <w:rPr>
                <w:color w:val="1D1D1D"/>
                <w:sz w:val="16"/>
              </w:rPr>
              <w:t>Coût de base de la centrale</w:t>
            </w:r>
          </w:p>
        </w:tc>
        <w:tc>
          <w:tcPr>
            <w:tcW w:type="dxa" w:w="1205"/>
          </w:tcPr>
          <w:p>
            <w:pPr>
              <w:spacing w:after="0"/>
            </w:pPr>
            <w:r>
              <w:rPr>
                <w:color w:val="1D1D1D"/>
                <w:sz w:val="16"/>
              </w:rPr>
              <w:t>156,9</w:t>
            </w:r>
          </w:p>
        </w:tc>
        <w:tc>
          <w:tcPr>
            <w:tcW w:type="dxa" w:w="4561"/>
          </w:tcPr>
          <w:p>
            <w:pPr>
              <w:spacing w:after="0"/>
            </w:pPr>
            <w:r>
              <w:rPr>
                <w:color w:val="1D1D1D"/>
                <w:sz w:val="16"/>
              </w:rPr>
              <w:t>2 614 USD/kW ; 1,04 fois la référence de 2 515 USD/kW</w:t>
            </w:r>
          </w:p>
        </w:tc>
      </w:tr>
    </w:tbl>
    <w:p>
      <w:pPr>
        <w:spacing w:after="40"/>
      </w:pPr>
    </w:p>
    <w:p>
      <w:pPr>
        <w:jc w:val="both"/>
      </w:pPr>
      <w:r>
        <w:rPr/>
        <w:t>Le coût effectif de la centrale applique le cas, le stress de dépassement de coûts, la part des dépassements et des coûts de retard supportée par le maître d'ouvrage, ainsi que l'ajustement (flex) :</w:t>
      </w:r>
    </w:p>
    <w:p>
      <w:pPr>
        <w:spacing w:after="0"/>
        <w:ind w:left="283"/>
      </w:pPr>
      <w:r>
        <w:rPr>
          <w:rFonts w:ascii="Courier New" w:hAnsi="Courier New"/>
          <w:sz w:val="17"/>
        </w:rPr>
        <w:t>eff_capex  = case_capex*(1+st_capex*p_overrun*epc_owner)*(1+fx_capex)</w:t>
      </w:r>
    </w:p>
    <w:p>
      <w:pPr>
        <w:spacing w:after="0"/>
        <w:ind w:left="283"/>
      </w:pPr>
      <w:r>
        <w:rPr>
          <w:rFonts w:ascii="Courier New" w:hAnsi="Courier New"/>
          <w:sz w:val="17"/>
        </w:rPr>
        <w:t>capex_real = capex_base*eff_capex*(1+delay_cost*eff_delay*epc_owner_d)</w:t>
      </w:r>
    </w:p>
    <w:p>
      <w:pPr>
        <w:spacing w:after="40"/>
      </w:pPr>
    </w:p>
    <w:p>
      <w:pPr>
        <w:jc w:val="both"/>
      </w:pPr>
      <w:r>
        <w:rPr/>
        <w:t xml:space="preserve">L'échelonnement suit une courbe en S sinusoïdale sur la durée effective de construction N, dont la somme vaut exactement un quel que soit N, avec une indexation au taux </w:t>
      </w:r>
      <w:r>
        <w:rPr>
          <w:rFonts w:ascii="Courier New" w:hAnsi="Courier New"/>
        </w:rPr>
        <w:t>capex_esc</w:t>
      </w:r>
      <w:r>
        <w:rPr/>
        <w:t xml:space="preserve"> :</w:t>
      </w:r>
    </w:p>
    <w:p>
      <w:pPr>
        <w:spacing w:after="0"/>
        <w:ind w:left="283"/>
      </w:pPr>
      <w:r>
        <w:rPr>
          <w:rFonts w:ascii="Courier New" w:hAnsi="Courier New"/>
          <w:sz w:val="17"/>
        </w:rPr>
        <w:t>share_t   = IF(consflag=1,SIN(PI()*(t-0.5)/N)*SIN(PI()/(2*N)),0)</w:t>
      </w:r>
    </w:p>
    <w:p>
      <w:pPr>
        <w:spacing w:after="0"/>
        <w:ind w:left="283"/>
      </w:pPr>
      <w:r>
        <w:rPr>
          <w:rFonts w:ascii="Courier New" w:hAnsi="Courier New"/>
          <w:sz w:val="17"/>
        </w:rPr>
        <w:t>capex_nom = capex_real*share*escidx       escidx = (1+capex_esc)^(year-base_year)</w:t>
      </w:r>
    </w:p>
    <w:p>
      <w:pPr>
        <w:spacing w:after="40"/>
      </w:pPr>
    </w:p>
    <w:p>
      <w:pPr>
        <w:jc w:val="both"/>
      </w:pPr>
      <w:r>
        <w:rPr/>
        <w:t xml:space="preserve">Le coût de transport est </w:t>
      </w:r>
      <w:r>
        <w:rPr>
          <w:rFonts w:ascii="Courier New" w:hAnsi="Courier New"/>
        </w:rPr>
        <w:t>(tx_km*tx_cost_km+tx_sub+tx_reinf)*eff_capex</w:t>
      </w:r>
      <w:r>
        <w:rPr/>
        <w:t xml:space="preserve"> (16,7 millions USD constants pour Kasiri), dépensé sur </w:t>
      </w:r>
      <w:r>
        <w:rPr>
          <w:rFonts w:ascii="Courier New" w:hAnsi="Courier New"/>
        </w:rPr>
        <w:t>tx_build</w:t>
      </w:r>
      <w:r>
        <w:rPr/>
        <w:t xml:space="preserve"> années avant la date prévue de mise en service de la ligne, avec une pénalité de retard </w:t>
      </w:r>
      <w:r>
        <w:rPr>
          <w:rFonts w:ascii="Courier New" w:hAnsi="Courier New"/>
        </w:rPr>
        <w:t>(1+delay_cost*eff_tdelay)</w:t>
      </w:r>
      <w:r>
        <w:rPr/>
        <w:t xml:space="preserve"> répartie sur </w:t>
      </w:r>
      <w:r>
        <w:rPr>
          <w:rFonts w:ascii="Courier New" w:hAnsi="Courier New"/>
        </w:rPr>
        <w:t>tx_build+eff_tdelay</w:t>
      </w:r>
      <w:r>
        <w:rPr/>
        <w:t xml:space="preserve"> années. </w:t>
      </w:r>
      <w:r>
        <w:rPr>
          <w:rFonts w:ascii="Courier New" w:hAnsi="Courier New"/>
        </w:rPr>
        <w:t>tx_party</w:t>
      </w:r>
      <w:r>
        <w:rPr/>
        <w:t xml:space="preserve"> = 1 met la dépense à la charge de l'État, 2 à la charge du projet. La date de mise en service de la ligne est </w:t>
      </w:r>
      <w:r>
        <w:rPr>
          <w:rFonts w:ascii="Courier New" w:hAnsi="Courier New"/>
        </w:rPr>
        <w:t>start_year+cons_years+tx_lag+eff_tdelay</w:t>
      </w:r>
      <w:r>
        <w:rPr/>
        <w:t xml:space="preserve"> ; l'écart de préparation est la date de mise en service de la ligne moins la COD de la centrale.</w:t>
      </w:r>
    </w:p>
    <w:p>
      <w:pPr>
        <w:pStyle w:val="Heading2"/>
      </w:pPr>
      <w:r>
        <w:t>6.4 Contractualisation de la construction (05A_CONTRACTING)</w:t>
      </w:r>
    </w:p>
    <w:p>
      <w:pPr>
        <w:jc w:val="both"/>
      </w:pPr>
      <w:r>
        <w:rPr>
          <w:rFonts w:ascii="Courier New" w:hAnsi="Courier New"/>
        </w:rPr>
        <w:t>epc_struct</w:t>
      </w:r>
      <w:r>
        <w:rPr/>
        <w:t xml:space="preserve"> sélectionne une colonne de paramètres indicatifs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404"/>
            <w:shd w:val="clear" w:color="auto" w:fill="0B3020"/>
          </w:tcPr>
          <w:p>
            <w:pPr>
              <w:spacing w:after="0"/>
            </w:pPr>
            <w:r>
              <w:rPr>
                <w:b/>
                <w:color w:val="FFFFFF"/>
                <w:sz w:val="16"/>
              </w:rPr>
              <w:t>Paramètre</w:t>
            </w:r>
          </w:p>
        </w:tc>
        <w:tc>
          <w:tcPr>
            <w:tcW w:type="dxa" w:w="1621"/>
            <w:shd w:val="clear" w:color="auto" w:fill="0B3020"/>
          </w:tcPr>
          <w:p>
            <w:pPr>
              <w:spacing w:after="0"/>
            </w:pPr>
            <w:r>
              <w:rPr>
                <w:b/>
                <w:color w:val="FFFFFF"/>
                <w:sz w:val="16"/>
              </w:rPr>
              <w:t>1 EPC clés en main</w:t>
            </w:r>
          </w:p>
        </w:tc>
        <w:tc>
          <w:tcPr>
            <w:tcW w:type="dxa" w:w="1261"/>
            <w:shd w:val="clear" w:color="auto" w:fill="0B3020"/>
          </w:tcPr>
          <w:p>
            <w:pPr>
              <w:spacing w:after="0"/>
            </w:pPr>
            <w:r>
              <w:rPr>
                <w:b/>
                <w:color w:val="FFFFFF"/>
                <w:sz w:val="16"/>
              </w:rPr>
              <w:t>2 Lots séparés</w:t>
            </w:r>
          </w:p>
        </w:tc>
        <w:tc>
          <w:tcPr>
            <w:tcW w:type="dxa" w:w="1351"/>
            <w:shd w:val="clear" w:color="auto" w:fill="0B3020"/>
          </w:tcPr>
          <w:p>
            <w:pPr>
              <w:spacing w:after="0"/>
            </w:pPr>
            <w:r>
              <w:rPr>
                <w:b/>
                <w:color w:val="FFFFFF"/>
                <w:sz w:val="16"/>
              </w:rPr>
              <w:t>3 Multicontrats</w:t>
            </w:r>
          </w:p>
        </w:tc>
      </w:tr>
      <w:tr>
        <w:tc>
          <w:tcPr>
            <w:tcW w:type="dxa" w:w="5404"/>
          </w:tcPr>
          <w:p>
            <w:pPr>
              <w:spacing w:after="0"/>
            </w:pPr>
            <w:r>
              <w:rPr>
                <w:color w:val="1D1D1D"/>
                <w:sz w:val="16"/>
              </w:rPr>
              <w:t>Prime de l'entrepreneur sur le génie civil, l'hydromécanique et l'électromécanique (</w:t>
            </w:r>
            <w:r>
              <w:rPr>
                <w:rFonts w:ascii="Courier New" w:hAnsi="Courier New"/>
                <w:color w:val="1D1D1D"/>
                <w:sz w:val="16"/>
              </w:rPr>
              <w:t>epc_prem</w:t>
            </w:r>
            <w:r>
              <w:rPr>
                <w:color w:val="1D1D1D"/>
                <w:sz w:val="16"/>
              </w:rPr>
              <w:t>)</w:t>
            </w:r>
          </w:p>
        </w:tc>
        <w:tc>
          <w:tcPr>
            <w:tcW w:type="dxa" w:w="1621"/>
          </w:tcPr>
          <w:p>
            <w:pPr>
              <w:spacing w:after="0"/>
            </w:pPr>
            <w:r>
              <w:rPr>
                <w:color w:val="1D1D1D"/>
                <w:sz w:val="16"/>
              </w:rPr>
              <w:t>12 %</w:t>
            </w:r>
          </w:p>
        </w:tc>
        <w:tc>
          <w:tcPr>
            <w:tcW w:type="dxa" w:w="1261"/>
          </w:tcPr>
          <w:p>
            <w:pPr>
              <w:spacing w:after="0"/>
            </w:pPr>
            <w:r>
              <w:rPr>
                <w:color w:val="1D1D1D"/>
                <w:sz w:val="16"/>
              </w:rPr>
              <w:t>6 %</w:t>
            </w:r>
          </w:p>
        </w:tc>
        <w:tc>
          <w:tcPr>
            <w:tcW w:type="dxa" w:w="1351"/>
          </w:tcPr>
          <w:p>
            <w:pPr>
              <w:spacing w:after="0"/>
            </w:pPr>
            <w:r>
              <w:rPr>
                <w:color w:val="1D1D1D"/>
                <w:sz w:val="16"/>
              </w:rPr>
              <w:t>0 %</w:t>
            </w:r>
          </w:p>
        </w:tc>
      </w:tr>
      <w:tr>
        <w:tc>
          <w:tcPr>
            <w:tcW w:type="dxa" w:w="5404"/>
            <w:shd w:val="clear" w:color="auto" w:fill="FAF8F2"/>
          </w:tcPr>
          <w:p>
            <w:pPr>
              <w:spacing w:after="0"/>
            </w:pPr>
            <w:r>
              <w:rPr>
                <w:color w:val="1D1D1D"/>
                <w:sz w:val="16"/>
              </w:rPr>
              <w:t>Part d'un dépassement de coûts supportée par le maître d'ouvrage (</w:t>
            </w:r>
            <w:r>
              <w:rPr>
                <w:rFonts w:ascii="Courier New" w:hAnsi="Courier New"/>
                <w:color w:val="1D1D1D"/>
                <w:sz w:val="16"/>
              </w:rPr>
              <w:t>epc_owner</w:t>
            </w:r>
            <w:r>
              <w:rPr>
                <w:color w:val="1D1D1D"/>
                <w:sz w:val="16"/>
              </w:rPr>
              <w:t>)</w:t>
            </w:r>
          </w:p>
        </w:tc>
        <w:tc>
          <w:tcPr>
            <w:tcW w:type="dxa" w:w="1621"/>
            <w:shd w:val="clear" w:color="auto" w:fill="FAF8F2"/>
          </w:tcPr>
          <w:p>
            <w:pPr>
              <w:spacing w:after="0"/>
            </w:pPr>
            <w:r>
              <w:rPr>
                <w:color w:val="1D1D1D"/>
                <w:sz w:val="16"/>
              </w:rPr>
              <w:t>30 %</w:t>
            </w:r>
          </w:p>
        </w:tc>
        <w:tc>
          <w:tcPr>
            <w:tcW w:type="dxa" w:w="1261"/>
            <w:shd w:val="clear" w:color="auto" w:fill="FAF8F2"/>
          </w:tcPr>
          <w:p>
            <w:pPr>
              <w:spacing w:after="0"/>
            </w:pPr>
            <w:r>
              <w:rPr>
                <w:color w:val="1D1D1D"/>
                <w:sz w:val="16"/>
              </w:rPr>
              <w:t>55 %</w:t>
            </w:r>
          </w:p>
        </w:tc>
        <w:tc>
          <w:tcPr>
            <w:tcW w:type="dxa" w:w="1351"/>
            <w:shd w:val="clear" w:color="auto" w:fill="FAF8F2"/>
          </w:tcPr>
          <w:p>
            <w:pPr>
              <w:spacing w:after="0"/>
            </w:pPr>
            <w:r>
              <w:rPr>
                <w:color w:val="1D1D1D"/>
                <w:sz w:val="16"/>
              </w:rPr>
              <w:t>90 %</w:t>
            </w:r>
          </w:p>
        </w:tc>
      </w:tr>
      <w:tr>
        <w:tc>
          <w:tcPr>
            <w:tcW w:type="dxa" w:w="5404"/>
          </w:tcPr>
          <w:p>
            <w:pPr>
              <w:spacing w:after="0"/>
            </w:pPr>
            <w:r>
              <w:rPr>
                <w:color w:val="1D1D1D"/>
                <w:sz w:val="16"/>
              </w:rPr>
              <w:t>Part du coût de retard supportée par le maître d'ouvrage après pénalités forfaitaires (</w:t>
            </w:r>
            <w:r>
              <w:rPr>
                <w:rFonts w:ascii="Courier New" w:hAnsi="Courier New"/>
                <w:color w:val="1D1D1D"/>
                <w:sz w:val="16"/>
              </w:rPr>
              <w:t>epc_owner_d</w:t>
            </w:r>
            <w:r>
              <w:rPr>
                <w:color w:val="1D1D1D"/>
                <w:sz w:val="16"/>
              </w:rPr>
              <w:t>)</w:t>
            </w:r>
          </w:p>
        </w:tc>
        <w:tc>
          <w:tcPr>
            <w:tcW w:type="dxa" w:w="1621"/>
          </w:tcPr>
          <w:p>
            <w:pPr>
              <w:spacing w:after="0"/>
            </w:pPr>
            <w:r>
              <w:rPr>
                <w:color w:val="1D1D1D"/>
                <w:sz w:val="16"/>
              </w:rPr>
              <w:t>35 %</w:t>
            </w:r>
          </w:p>
        </w:tc>
        <w:tc>
          <w:tcPr>
            <w:tcW w:type="dxa" w:w="1261"/>
          </w:tcPr>
          <w:p>
            <w:pPr>
              <w:spacing w:after="0"/>
            </w:pPr>
            <w:r>
              <w:rPr>
                <w:color w:val="1D1D1D"/>
                <w:sz w:val="16"/>
              </w:rPr>
              <w:t>60 %</w:t>
            </w:r>
          </w:p>
        </w:tc>
        <w:tc>
          <w:tcPr>
            <w:tcW w:type="dxa" w:w="1351"/>
          </w:tcPr>
          <w:p>
            <w:pPr>
              <w:spacing w:after="0"/>
            </w:pPr>
            <w:r>
              <w:rPr>
                <w:color w:val="1D1D1D"/>
                <w:sz w:val="16"/>
              </w:rPr>
              <w:t>90 %</w:t>
            </w:r>
          </w:p>
        </w:tc>
      </w:tr>
      <w:tr>
        <w:tc>
          <w:tcPr>
            <w:tcW w:type="dxa" w:w="5404"/>
            <w:shd w:val="clear" w:color="auto" w:fill="FAF8F2"/>
          </w:tcPr>
          <w:p>
            <w:pPr>
              <w:spacing w:after="0"/>
            </w:pPr>
            <w:r>
              <w:rPr>
                <w:color w:val="1D1D1D"/>
                <w:sz w:val="16"/>
              </w:rPr>
              <w:t>Risque d'interface (1 faible à 3 élevé)</w:t>
            </w:r>
          </w:p>
        </w:tc>
        <w:tc>
          <w:tcPr>
            <w:tcW w:type="dxa" w:w="1621"/>
            <w:shd w:val="clear" w:color="auto" w:fill="FAF8F2"/>
          </w:tcPr>
          <w:p>
            <w:pPr>
              <w:spacing w:after="0"/>
            </w:pPr>
            <w:r>
              <w:rPr>
                <w:color w:val="1D1D1D"/>
                <w:sz w:val="16"/>
              </w:rPr>
              <w:t>1</w:t>
            </w:r>
          </w:p>
        </w:tc>
        <w:tc>
          <w:tcPr>
            <w:tcW w:type="dxa" w:w="1261"/>
            <w:shd w:val="clear" w:color="auto" w:fill="FAF8F2"/>
          </w:tcPr>
          <w:p>
            <w:pPr>
              <w:spacing w:after="0"/>
            </w:pPr>
            <w:r>
              <w:rPr>
                <w:color w:val="1D1D1D"/>
                <w:sz w:val="16"/>
              </w:rPr>
              <w:t>2</w:t>
            </w:r>
          </w:p>
        </w:tc>
        <w:tc>
          <w:tcPr>
            <w:tcW w:type="dxa" w:w="1351"/>
            <w:shd w:val="clear" w:color="auto" w:fill="FAF8F2"/>
          </w:tcPr>
          <w:p>
            <w:pPr>
              <w:spacing w:after="0"/>
            </w:pPr>
            <w:r>
              <w:rPr>
                <w:color w:val="1D1D1D"/>
                <w:sz w:val="16"/>
              </w:rPr>
              <w:t>3</w:t>
            </w:r>
          </w:p>
        </w:tc>
      </w:tr>
    </w:tbl>
    <w:p>
      <w:pPr>
        <w:spacing w:after="40"/>
      </w:pPr>
    </w:p>
    <w:p>
      <w:pPr>
        <w:jc w:val="both"/>
      </w:pPr>
      <w:r>
        <w:rPr/>
        <w:t xml:space="preserve">La prime entre dans le coût de base ; les parts du maître d'ouvrage modulent les stress de dépassement et de retard dans </w:t>
      </w:r>
      <w:r>
        <w:rPr>
          <w:rFonts w:ascii="Courier New" w:hAnsi="Courier New"/>
        </w:rPr>
        <w:t>eff_capex</w:t>
      </w:r>
      <w:r>
        <w:rPr/>
        <w:t xml:space="preserve"> et </w:t>
      </w:r>
      <w:r>
        <w:rPr>
          <w:rFonts w:ascii="Courier New" w:hAnsi="Courier New"/>
        </w:rPr>
        <w:t>capex_real</w:t>
      </w:r>
      <w:r>
        <w:rPr/>
        <w:t xml:space="preserve">. Un contrat clés en main coûte donc plus cher dans le cas de base et moins cher en cas de dépassement. Les simulations figées (snapshot) </w:t>
      </w:r>
      <w:r>
        <w:rPr>
          <w:i/>
        </w:rPr>
        <w:t>« EPC 1/2/3 base »</w:t>
      </w:r>
      <w:r>
        <w:rPr/>
        <w:t xml:space="preserve"> et </w:t>
      </w:r>
      <w:r>
        <w:rPr>
          <w:i/>
        </w:rPr>
        <w:t>« EPC 1/2/3 overrun 96% »</w:t>
      </w:r>
      <w:r>
        <w:rPr/>
        <w:t xml:space="preserve"> comparent les trois structures, la dette étant redimensionnée pour chacune.</w:t>
      </w:r>
    </w:p>
    <w:p>
      <w:pPr>
        <w:pStyle w:val="Heading2"/>
      </w:pPr>
      <w:r>
        <w:t>6.5 Coûts d'exploitation (07_OPEX)</w:t>
      </w:r>
    </w:p>
    <w:p>
      <w:pPr>
        <w:jc w:val="both"/>
      </w:pPr>
      <w:r>
        <w:rPr/>
        <w:t>Les données d'entrée en termes réels sont indexées sur l'indice des prix à la consommation américain (US CPI) :</w:t>
      </w:r>
    </w:p>
    <w:p>
      <w:pPr>
        <w:spacing w:after="0"/>
        <w:ind w:left="283"/>
      </w:pPr>
      <w:r>
        <w:rPr>
          <w:rFonts w:ascii="Courier New" w:hAnsi="Courier New"/>
          <w:sz w:val="17"/>
        </w:rPr>
        <w:t>o_fix  = opflag*om_fix*eff_opex*uscpi</w:t>
      </w:r>
    </w:p>
    <w:p>
      <w:pPr>
        <w:spacing w:after="0"/>
        <w:ind w:left="283"/>
      </w:pPr>
      <w:r>
        <w:rPr>
          <w:rFonts w:ascii="Courier New" w:hAnsi="Courier New"/>
          <w:sz w:val="17"/>
        </w:rPr>
        <w:t>o_var  = gen*om_var*eff_opex*uscpi/1000</w:t>
      </w:r>
    </w:p>
    <w:p>
      <w:pPr>
        <w:spacing w:after="0"/>
        <w:ind w:left="283"/>
      </w:pPr>
      <w:r>
        <w:rPr>
          <w:rFonts w:ascii="Courier New" w:hAnsi="Courier New"/>
          <w:sz w:val="17"/>
        </w:rPr>
        <w:t>o_ins  = opflag*capex_real*ins*uscpi</w:t>
      </w:r>
    </w:p>
    <w:p>
      <w:pPr>
        <w:spacing w:after="0"/>
        <w:ind w:left="283"/>
      </w:pPr>
      <w:r>
        <w:rPr>
          <w:rFonts w:ascii="Courier New" w:hAnsi="Courier New"/>
          <w:sz w:val="17"/>
        </w:rPr>
        <w:t>o_mmr  = opflag*capex_real*mmr*uscpi</w:t>
      </w:r>
    </w:p>
    <w:p>
      <w:pPr>
        <w:spacing w:after="0"/>
        <w:ind w:left="283"/>
      </w:pPr>
      <w:r>
        <w:rPr>
          <w:rFonts w:ascii="Courier New" w:hAnsi="Courier New"/>
          <w:sz w:val="17"/>
        </w:rPr>
        <w:t>o_oth  = opflag*om_other*eff_opex*uscpi</w:t>
      </w:r>
    </w:p>
    <w:p>
      <w:pPr>
        <w:spacing w:after="0"/>
        <w:ind w:left="283"/>
      </w:pPr>
      <w:r>
        <w:rPr>
          <w:rFonts w:ascii="Courier New" w:hAnsi="Courier New"/>
          <w:sz w:val="17"/>
        </w:rPr>
        <w:t>o_txprj= IF(tx_party=2,tx_omc,0)+tx_wheelc</w:t>
      </w:r>
    </w:p>
    <w:p>
      <w:pPr>
        <w:spacing w:after="0"/>
        <w:ind w:left="283"/>
      </w:pPr>
      <w:r>
        <w:rPr>
          <w:rFonts w:ascii="Courier New" w:hAnsi="Courier New"/>
          <w:sz w:val="17"/>
        </w:rPr>
        <w:t>opex   = o_fix+o_var+o_ins+o_mmr+o_oth+o_txprj</w:t>
      </w:r>
    </w:p>
    <w:p>
      <w:pPr>
        <w:spacing w:after="0"/>
        <w:ind w:left="283"/>
      </w:pPr>
      <w:r>
        <w:rPr>
          <w:rFonts w:ascii="Courier New" w:hAnsi="Courier New"/>
          <w:sz w:val="17"/>
        </w:rPr>
        <w:t>o_roy  = delivered*royalty*uscpi/1000        (water royalty, paid to government)</w:t>
      </w:r>
    </w:p>
    <w:p>
      <w:pPr>
        <w:spacing w:after="40"/>
      </w:pPr>
    </w:p>
    <w:p>
      <w:pPr>
        <w:jc w:val="both"/>
      </w:pPr>
      <w:r>
        <w:rPr/>
        <w:t>La réserve pour gros entretien est comptée comme un coût d'exploitation, et non comme un compte de réserve distinct.</w:t>
      </w:r>
    </w:p>
    <w:p>
      <w:pPr>
        <w:pStyle w:val="Heading2"/>
      </w:pPr>
      <w:r>
        <w:t>6.6 CAE, tarif et revenus (14_PPA, 15_TARIFF, 16_REVENUE)</w:t>
      </w:r>
    </w:p>
    <w:p>
      <w:pPr>
        <w:jc w:val="both"/>
      </w:pPr>
      <w:r>
        <w:rPr/>
        <w:t>Le tarif de Kasiri rémunère uniquement l'énergie : paiement de capacité nul, prix de l'énergie de 112 USD/MWh (2026), indexé pour moitié sur l'US CPI, entièrement libellé en USD, avec paiement de l'énergie réputée livrée en cas d'écrêtement non imputable au vendeur.</w:t>
      </w:r>
    </w:p>
    <w:p>
      <w:pPr>
        <w:spacing w:after="0"/>
        <w:ind w:left="283"/>
      </w:pPr>
      <w:r>
        <w:rPr>
          <w:rFonts w:ascii="Courier New" w:hAnsi="Courier New"/>
          <w:sz w:val="17"/>
        </w:rPr>
        <w:t>fxfac   = (1-lc_share)+lc_share*lccpi/fxidx/uscpi</w:t>
      </w:r>
    </w:p>
    <w:p>
      <w:pPr>
        <w:spacing w:after="0"/>
        <w:ind w:left="283"/>
      </w:pPr>
      <w:r>
        <w:rPr>
          <w:rFonts w:ascii="Courier New" w:hAnsi="Courier New"/>
          <w:sz w:val="17"/>
        </w:rPr>
        <w:t>capc    = cap_chg*((1-cap_idx)+cap_idx*uscpi)*fxfac*eff_tariff</w:t>
      </w:r>
    </w:p>
    <w:p>
      <w:pPr>
        <w:spacing w:after="0"/>
        <w:ind w:left="283"/>
      </w:pPr>
      <w:r>
        <w:rPr>
          <w:rFonts w:ascii="Courier New" w:hAnsi="Courier New"/>
          <w:sz w:val="17"/>
        </w:rPr>
        <w:t>enc     = en_chg*((1-en_idx)+en_idx*uscpi)*fxfac*eff_tariff</w:t>
      </w:r>
    </w:p>
    <w:p>
      <w:pPr>
        <w:spacing w:after="0"/>
        <w:ind w:left="283"/>
      </w:pPr>
      <w:r>
        <w:rPr>
          <w:rFonts w:ascii="Courier New" w:hAnsi="Courier New"/>
          <w:sz w:val="17"/>
        </w:rPr>
        <w:t>deemed  = deemed flag*(curt_tx+curt_dem)</w:t>
      </w:r>
    </w:p>
    <w:p>
      <w:pPr>
        <w:spacing w:after="0"/>
        <w:ind w:left="283"/>
      </w:pPr>
      <w:r>
        <w:rPr>
          <w:rFonts w:ascii="Courier New" w:hAnsi="Courier New"/>
          <w:sz w:val="17"/>
        </w:rPr>
        <w:t>topshort= MAX(0,top*contracted-delivered-deemed)</w:t>
      </w:r>
    </w:p>
    <w:p>
      <w:pPr>
        <w:spacing w:after="0"/>
        <w:ind w:left="283"/>
      </w:pPr>
      <w:r>
        <w:rPr>
          <w:rFonts w:ascii="Courier New" w:hAnsi="Courier New"/>
          <w:sz w:val="17"/>
        </w:rPr>
        <w:t>epaid   = delivered+deemed+topshort</w:t>
      </w:r>
    </w:p>
    <w:p>
      <w:pPr>
        <w:spacing w:after="0"/>
        <w:ind w:left="283"/>
      </w:pPr>
      <w:r>
        <w:rPr>
          <w:rFonts w:ascii="Courier New" w:hAnsi="Courier New"/>
          <w:sz w:val="17"/>
        </w:rPr>
        <w:t>rev_cap = opflag*capc*inst_mw*12/1000*avail_ratio*rampf</w:t>
      </w:r>
    </w:p>
    <w:p>
      <w:pPr>
        <w:spacing w:after="0"/>
        <w:ind w:left="283"/>
      </w:pPr>
      <w:r>
        <w:rPr>
          <w:rFonts w:ascii="Courier New" w:hAnsi="Courier New"/>
          <w:sz w:val="17"/>
        </w:rPr>
        <w:t>rev_en  = enc*delivered/1000</w:t>
      </w:r>
    </w:p>
    <w:p>
      <w:pPr>
        <w:spacing w:after="0"/>
        <w:ind w:left="283"/>
      </w:pPr>
      <w:r>
        <w:rPr>
          <w:rFonts w:ascii="Courier New" w:hAnsi="Courier New"/>
          <w:sz w:val="17"/>
        </w:rPr>
        <w:t>rev_deem= enc*(deemed+topshort)/1000</w:t>
      </w:r>
    </w:p>
    <w:p>
      <w:pPr>
        <w:spacing w:after="0"/>
        <w:ind w:left="283"/>
      </w:pPr>
      <w:r>
        <w:rPr>
          <w:rFonts w:ascii="Courier New" w:hAnsi="Courier New"/>
          <w:sz w:val="17"/>
        </w:rPr>
        <w:t>rev_bill= rev_cap+rev_en+rev_deem</w:t>
      </w:r>
    </w:p>
    <w:p>
      <w:pPr>
        <w:spacing w:after="40"/>
      </w:pPr>
    </w:p>
    <w:p>
      <w:pPr>
        <w:jc w:val="both"/>
      </w:pPr>
      <w:r>
        <w:rPr/>
        <w:t>Le défaut de paiement de la compagnie d'électricité est couvert par trois mécanismes successifs :</w:t>
      </w:r>
    </w:p>
    <w:p>
      <w:pPr>
        <w:spacing w:after="0"/>
        <w:ind w:left="283"/>
      </w:pPr>
      <w:r>
        <w:rPr>
          <w:rFonts w:ascii="Courier New" w:hAnsi="Courier New"/>
          <w:sz w:val="17"/>
        </w:rPr>
        <w:t>cov_backstop = IF(backstop=1,u_gap*bs_share,0)</w:t>
      </w:r>
    </w:p>
    <w:p>
      <w:pPr>
        <w:spacing w:after="0"/>
        <w:ind w:left="283"/>
      </w:pPr>
      <w:r>
        <w:rPr>
          <w:rFonts w:ascii="Courier New" w:hAnsi="Courier New"/>
          <w:sz w:val="17"/>
        </w:rPr>
        <w:t>ppag_lim     = str_ppag*ppag_months/12*rev_util</w:t>
      </w:r>
    </w:p>
    <w:p>
      <w:pPr>
        <w:spacing w:after="0"/>
        <w:ind w:left="283"/>
      </w:pPr>
      <w:r>
        <w:rPr>
          <w:rFonts w:ascii="Courier New" w:hAnsi="Courier New"/>
          <w:sz w:val="17"/>
        </w:rPr>
        <w:t>ppag_reimb   = opflag*MIN(previous ppag_out,MAX(0,u_maxppa-u_ppa))</w:t>
      </w:r>
    </w:p>
    <w:p>
      <w:pPr>
        <w:spacing w:after="0"/>
        <w:ind w:left="283"/>
      </w:pPr>
      <w:r>
        <w:rPr>
          <w:rFonts w:ascii="Courier New" w:hAnsi="Courier New"/>
          <w:sz w:val="17"/>
        </w:rPr>
        <w:t>cov_guar     = MIN(u_gap-cov_backstop,MAX(0,ppag_lim-previous ppag_out+ppag_reimb))</w:t>
      </w:r>
    </w:p>
    <w:p>
      <w:pPr>
        <w:spacing w:after="0"/>
        <w:ind w:left="283"/>
      </w:pPr>
      <w:r>
        <w:rPr>
          <w:rFonts w:ascii="Courier New" w:hAnsi="Courier New"/>
          <w:sz w:val="17"/>
        </w:rPr>
        <w:t>ppag_out     = previous ppag_out+cov_guar-ppag_reimb</w:t>
      </w:r>
    </w:p>
    <w:p>
      <w:pPr>
        <w:spacing w:after="0"/>
        <w:ind w:left="283"/>
      </w:pPr>
      <w:r>
        <w:rPr>
          <w:rFonts w:ascii="Courier New" w:hAnsi="Courier New"/>
          <w:sz w:val="17"/>
        </w:rPr>
        <w:t>unpaid       = u_gap-cov_backstop-cov_guar</w:t>
      </w:r>
    </w:p>
    <w:p>
      <w:pPr>
        <w:spacing w:after="0"/>
        <w:ind w:left="283"/>
      </w:pPr>
      <w:r>
        <w:rPr>
          <w:rFonts w:ascii="Courier New" w:hAnsi="Courier New"/>
          <w:sz w:val="17"/>
        </w:rPr>
        <w:t>rev_cash     = rev_bill-unpaid</w:t>
      </w:r>
    </w:p>
    <w:p>
      <w:pPr>
        <w:spacing w:after="40"/>
      </w:pPr>
    </w:p>
    <w:p>
      <w:pPr>
        <w:jc w:val="both"/>
      </w:pPr>
      <w:r>
        <w:rPr/>
        <w:t xml:space="preserve">La garantie est plafonnée à </w:t>
      </w:r>
      <w:r>
        <w:rPr>
          <w:rFonts w:ascii="Courier New" w:hAnsi="Courier New"/>
        </w:rPr>
        <w:t>ppag_months</w:t>
      </w:r>
      <w:r>
        <w:rPr/>
        <w:t xml:space="preserve"> mois de facturation de la compagnie d'électricité (12 par défaut) et la compagnie la rembourse sur sa capacité de paiement excédentaire ; tout montant au-delà devient un arriéré envers le projet.</w:t>
      </w:r>
    </w:p>
    <w:p>
      <w:pPr>
        <w:jc w:val="both"/>
      </w:pPr>
      <w:r>
        <w:rPr/>
        <w:t>Les revenus du cas prêteurs utilisent le cas de production des prêteurs :</w:t>
      </w:r>
    </w:p>
    <w:p>
      <w:pPr>
        <w:spacing w:after="0"/>
        <w:ind w:left="283"/>
      </w:pPr>
      <w:r>
        <w:rPr>
          <w:rFonts w:ascii="Courier New" w:hAnsi="Courier New"/>
          <w:sz w:val="17"/>
        </w:rPr>
        <w:t>rev_len = rev_cap+enc*IF(deemed=1,gen_len,MIN(gen_len*evac_ratio,d_absorb))/1000</w:t>
      </w:r>
    </w:p>
    <w:p>
      <w:pPr>
        <w:spacing w:after="40"/>
      </w:pPr>
    </w:p>
    <w:p>
      <w:pPr>
        <w:jc w:val="both"/>
      </w:pPr>
      <w:r>
        <w:rPr/>
        <w:t>Indicateurs de qualité des revenus : part fixe des revenus facturés (</w:t>
      </w:r>
      <w:r>
        <w:rPr>
          <w:rFonts w:ascii="Courier New" w:hAnsi="Courier New"/>
        </w:rPr>
        <w:t>rev_fixed</w:t>
      </w:r>
      <w:r>
        <w:rPr/>
        <w:t xml:space="preserve">, 0 % pour Kasiri), revenus à risque entre P50 et P90 la 2e année d'exploitation, part des revenus provenant de la compagnie d'électricité, et soutien nécessaire sur la durée de vie pour maintenir les paiements au titre du CAE. Sur </w:t>
      </w:r>
      <w:r>
        <w:rPr>
          <w:i/>
        </w:rPr>
        <w:t>15_TARIFF</w:t>
      </w:r>
      <w:r>
        <w:rPr/>
        <w:t>, la marge d'accessibilité tarifaire est égale aux revenus encaissés par la compagnie d'électricité par MWh injecté, moins le tarif moyen pondéré du CAE.</w:t>
      </w:r>
    </w:p>
    <w:p>
      <w:pPr>
        <w:pStyle w:val="Heading2"/>
      </w:pPr>
      <w:r>
        <w:t>6.7 Module de développement (01A_DEVELOPMENT)</w:t>
      </w:r>
    </w:p>
    <w:p>
      <w:pPr>
        <w:jc w:val="both"/>
      </w:pPr>
      <w:r>
        <w:rPr>
          <w:b/>
        </w:rPr>
        <w:t>Étapes.</w:t>
      </w:r>
      <w:r>
        <w:rPr/>
        <w:t xml:space="preserve"> Six étapes, chacune avec sa durée, son budget en termes réels et sa probabilité de succès jusqu'à l'étape suivante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841"/>
            <w:shd w:val="clear" w:color="auto" w:fill="0B3020"/>
          </w:tcPr>
          <w:p>
            <w:pPr>
              <w:spacing w:after="0"/>
            </w:pPr>
            <w:r>
              <w:rPr>
                <w:b/>
                <w:color w:val="FFFFFF"/>
                <w:sz w:val="16"/>
              </w:rPr>
              <w:t>Étape</w:t>
            </w:r>
          </w:p>
        </w:tc>
        <w:tc>
          <w:tcPr>
            <w:tcW w:type="dxa" w:w="584"/>
            <w:shd w:val="clear" w:color="auto" w:fill="0B3020"/>
          </w:tcPr>
          <w:p>
            <w:pPr>
              <w:spacing w:after="0"/>
            </w:pPr>
            <w:r>
              <w:rPr>
                <w:b/>
                <w:color w:val="FFFFFF"/>
                <w:sz w:val="16"/>
              </w:rPr>
              <w:t>Mois</w:t>
            </w:r>
          </w:p>
        </w:tc>
        <w:tc>
          <w:tcPr>
            <w:tcW w:type="dxa" w:w="2336"/>
            <w:shd w:val="clear" w:color="auto" w:fill="0B3020"/>
          </w:tcPr>
          <w:p>
            <w:pPr>
              <w:spacing w:after="0"/>
            </w:pPr>
            <w:r>
              <w:rPr>
                <w:b/>
                <w:color w:val="FFFFFF"/>
                <w:sz w:val="16"/>
              </w:rPr>
              <w:t>Budget (M USD constants)</w:t>
            </w:r>
          </w:p>
        </w:tc>
        <w:tc>
          <w:tcPr>
            <w:tcW w:type="dxa" w:w="876"/>
            <w:shd w:val="clear" w:color="auto" w:fill="0B3020"/>
          </w:tcPr>
          <w:p>
            <w:pPr>
              <w:spacing w:after="0"/>
            </w:pPr>
            <w:r>
              <w:rPr>
                <w:b/>
                <w:color w:val="FFFFFF"/>
                <w:sz w:val="16"/>
              </w:rPr>
              <w:t>P(succès)</w:t>
            </w:r>
          </w:p>
        </w:tc>
      </w:tr>
      <w:tr>
        <w:tc>
          <w:tcPr>
            <w:tcW w:type="dxa" w:w="5841"/>
          </w:tcPr>
          <w:p>
            <w:pPr>
              <w:spacing w:after="0"/>
            </w:pPr>
            <w:r>
              <w:rPr>
                <w:color w:val="1D1D1D"/>
                <w:sz w:val="16"/>
              </w:rPr>
              <w:t>1 Identification du site et reconnaissance</w:t>
            </w:r>
          </w:p>
        </w:tc>
        <w:tc>
          <w:tcPr>
            <w:tcW w:type="dxa" w:w="584"/>
          </w:tcPr>
          <w:p>
            <w:pPr>
              <w:spacing w:after="0"/>
            </w:pPr>
            <w:r>
              <w:rPr>
                <w:color w:val="1D1D1D"/>
                <w:sz w:val="16"/>
              </w:rPr>
              <w:t>6</w:t>
            </w:r>
          </w:p>
        </w:tc>
        <w:tc>
          <w:tcPr>
            <w:tcW w:type="dxa" w:w="2336"/>
          </w:tcPr>
          <w:p>
            <w:pPr>
              <w:spacing w:after="0"/>
            </w:pPr>
            <w:r>
              <w:rPr>
                <w:color w:val="1D1D1D"/>
                <w:sz w:val="16"/>
              </w:rPr>
              <w:t>0,10</w:t>
            </w:r>
          </w:p>
        </w:tc>
        <w:tc>
          <w:tcPr>
            <w:tcW w:type="dxa" w:w="876"/>
          </w:tcPr>
          <w:p>
            <w:pPr>
              <w:spacing w:after="0"/>
            </w:pPr>
            <w:r>
              <w:rPr>
                <w:color w:val="1D1D1D"/>
                <w:sz w:val="16"/>
              </w:rPr>
              <w:t>60 %</w:t>
            </w:r>
          </w:p>
        </w:tc>
      </w:tr>
      <w:tr>
        <w:tc>
          <w:tcPr>
            <w:tcW w:type="dxa" w:w="5841"/>
            <w:shd w:val="clear" w:color="auto" w:fill="FAF8F2"/>
          </w:tcPr>
          <w:p>
            <w:pPr>
              <w:spacing w:after="0"/>
            </w:pPr>
            <w:r>
              <w:rPr>
                <w:color w:val="1D1D1D"/>
                <w:sz w:val="16"/>
              </w:rPr>
              <w:t>2 Préfaisabilité et début du jaugeage des débits</w:t>
            </w:r>
          </w:p>
        </w:tc>
        <w:tc>
          <w:tcPr>
            <w:tcW w:type="dxa" w:w="584"/>
            <w:shd w:val="clear" w:color="auto" w:fill="FAF8F2"/>
          </w:tcPr>
          <w:p>
            <w:pPr>
              <w:spacing w:after="0"/>
            </w:pPr>
            <w:r>
              <w:rPr>
                <w:color w:val="1D1D1D"/>
                <w:sz w:val="16"/>
              </w:rPr>
              <w:t>12</w:t>
            </w:r>
          </w:p>
        </w:tc>
        <w:tc>
          <w:tcPr>
            <w:tcW w:type="dxa" w:w="2336"/>
            <w:shd w:val="clear" w:color="auto" w:fill="FAF8F2"/>
          </w:tcPr>
          <w:p>
            <w:pPr>
              <w:spacing w:after="0"/>
            </w:pPr>
            <w:r>
              <w:rPr>
                <w:color w:val="1D1D1D"/>
                <w:sz w:val="16"/>
              </w:rPr>
              <w:t>0,60</w:t>
            </w:r>
          </w:p>
        </w:tc>
        <w:tc>
          <w:tcPr>
            <w:tcW w:type="dxa" w:w="876"/>
            <w:shd w:val="clear" w:color="auto" w:fill="FAF8F2"/>
          </w:tcPr>
          <w:p>
            <w:pPr>
              <w:spacing w:after="0"/>
            </w:pPr>
            <w:r>
              <w:rPr>
                <w:color w:val="1D1D1D"/>
                <w:sz w:val="16"/>
              </w:rPr>
              <w:t>60 %</w:t>
            </w:r>
          </w:p>
        </w:tc>
      </w:tr>
      <w:tr>
        <w:tc>
          <w:tcPr>
            <w:tcW w:type="dxa" w:w="5841"/>
          </w:tcPr>
          <w:p>
            <w:pPr>
              <w:spacing w:after="0"/>
            </w:pPr>
            <w:r>
              <w:rPr>
                <w:color w:val="1D1D1D"/>
                <w:sz w:val="16"/>
              </w:rPr>
              <w:t>3 Étude de faisabilité, EIES, études géotechniques et de réseau</w:t>
            </w:r>
          </w:p>
        </w:tc>
        <w:tc>
          <w:tcPr>
            <w:tcW w:type="dxa" w:w="584"/>
          </w:tcPr>
          <w:p>
            <w:pPr>
              <w:spacing w:after="0"/>
            </w:pPr>
            <w:r>
              <w:rPr>
                <w:color w:val="1D1D1D"/>
                <w:sz w:val="16"/>
              </w:rPr>
              <w:t>18</w:t>
            </w:r>
          </w:p>
        </w:tc>
        <w:tc>
          <w:tcPr>
            <w:tcW w:type="dxa" w:w="2336"/>
          </w:tcPr>
          <w:p>
            <w:pPr>
              <w:spacing w:after="0"/>
            </w:pPr>
            <w:r>
              <w:rPr>
                <w:color w:val="1D1D1D"/>
                <w:sz w:val="16"/>
              </w:rPr>
              <w:t>4,50</w:t>
            </w:r>
          </w:p>
        </w:tc>
        <w:tc>
          <w:tcPr>
            <w:tcW w:type="dxa" w:w="876"/>
          </w:tcPr>
          <w:p>
            <w:pPr>
              <w:spacing w:after="0"/>
            </w:pPr>
            <w:r>
              <w:rPr>
                <w:color w:val="1D1D1D"/>
                <w:sz w:val="16"/>
              </w:rPr>
              <w:t>70 %</w:t>
            </w:r>
          </w:p>
        </w:tc>
      </w:tr>
      <w:tr>
        <w:tc>
          <w:tcPr>
            <w:tcW w:type="dxa" w:w="5841"/>
            <w:shd w:val="clear" w:color="auto" w:fill="FAF8F2"/>
          </w:tcPr>
          <w:p>
            <w:pPr>
              <w:spacing w:after="0"/>
            </w:pPr>
            <w:r>
              <w:rPr>
                <w:color w:val="1D1D1D"/>
                <w:sz w:val="16"/>
              </w:rPr>
              <w:t>4 Licences, droits d'eau, foncier et permis</w:t>
            </w:r>
          </w:p>
        </w:tc>
        <w:tc>
          <w:tcPr>
            <w:tcW w:type="dxa" w:w="584"/>
            <w:shd w:val="clear" w:color="auto" w:fill="FAF8F2"/>
          </w:tcPr>
          <w:p>
            <w:pPr>
              <w:spacing w:after="0"/>
            </w:pPr>
            <w:r>
              <w:rPr>
                <w:color w:val="1D1D1D"/>
                <w:sz w:val="16"/>
              </w:rPr>
              <w:t>12</w:t>
            </w:r>
          </w:p>
        </w:tc>
        <w:tc>
          <w:tcPr>
            <w:tcW w:type="dxa" w:w="2336"/>
            <w:shd w:val="clear" w:color="auto" w:fill="FAF8F2"/>
          </w:tcPr>
          <w:p>
            <w:pPr>
              <w:spacing w:after="0"/>
            </w:pPr>
            <w:r>
              <w:rPr>
                <w:color w:val="1D1D1D"/>
                <w:sz w:val="16"/>
              </w:rPr>
              <w:t>0,80</w:t>
            </w:r>
          </w:p>
        </w:tc>
        <w:tc>
          <w:tcPr>
            <w:tcW w:type="dxa" w:w="876"/>
            <w:shd w:val="clear" w:color="auto" w:fill="FAF8F2"/>
          </w:tcPr>
          <w:p>
            <w:pPr>
              <w:spacing w:after="0"/>
            </w:pPr>
            <w:r>
              <w:rPr>
                <w:color w:val="1D1D1D"/>
                <w:sz w:val="16"/>
              </w:rPr>
              <w:t>85 %</w:t>
            </w:r>
          </w:p>
        </w:tc>
      </w:tr>
      <w:tr>
        <w:tc>
          <w:tcPr>
            <w:tcW w:type="dxa" w:w="5841"/>
          </w:tcPr>
          <w:p>
            <w:pPr>
              <w:spacing w:after="0"/>
            </w:pPr>
            <w:r>
              <w:rPr>
                <w:color w:val="1D1D1D"/>
                <w:sz w:val="16"/>
              </w:rPr>
              <w:t>5 CAE, convention de mise en œuvre et approbation du tarif</w:t>
            </w:r>
          </w:p>
        </w:tc>
        <w:tc>
          <w:tcPr>
            <w:tcW w:type="dxa" w:w="584"/>
          </w:tcPr>
          <w:p>
            <w:pPr>
              <w:spacing w:after="0"/>
            </w:pPr>
            <w:r>
              <w:rPr>
                <w:color w:val="1D1D1D"/>
                <w:sz w:val="16"/>
              </w:rPr>
              <w:t>12</w:t>
            </w:r>
          </w:p>
        </w:tc>
        <w:tc>
          <w:tcPr>
            <w:tcW w:type="dxa" w:w="2336"/>
          </w:tcPr>
          <w:p>
            <w:pPr>
              <w:spacing w:after="0"/>
            </w:pPr>
            <w:r>
              <w:rPr>
                <w:color w:val="1D1D1D"/>
                <w:sz w:val="16"/>
              </w:rPr>
              <w:t>0,80</w:t>
            </w:r>
          </w:p>
        </w:tc>
        <w:tc>
          <w:tcPr>
            <w:tcW w:type="dxa" w:w="876"/>
          </w:tcPr>
          <w:p>
            <w:pPr>
              <w:spacing w:after="0"/>
            </w:pPr>
            <w:r>
              <w:rPr>
                <w:color w:val="1D1D1D"/>
                <w:sz w:val="16"/>
              </w:rPr>
              <w:t>80 %</w:t>
            </w:r>
          </w:p>
        </w:tc>
      </w:tr>
      <w:tr>
        <w:tc>
          <w:tcPr>
            <w:tcW w:type="dxa" w:w="5841"/>
            <w:shd w:val="clear" w:color="auto" w:fill="FAF8F2"/>
          </w:tcPr>
          <w:p>
            <w:pPr>
              <w:spacing w:after="0"/>
            </w:pPr>
            <w:r>
              <w:rPr>
                <w:color w:val="1D1D1D"/>
                <w:sz w:val="16"/>
              </w:rPr>
              <w:t>6 Financement : conseillers, juristes, assurances, bouclage</w:t>
            </w:r>
          </w:p>
        </w:tc>
        <w:tc>
          <w:tcPr>
            <w:tcW w:type="dxa" w:w="584"/>
            <w:shd w:val="clear" w:color="auto" w:fill="FAF8F2"/>
          </w:tcPr>
          <w:p>
            <w:pPr>
              <w:spacing w:after="0"/>
            </w:pPr>
            <w:r>
              <w:rPr>
                <w:color w:val="1D1D1D"/>
                <w:sz w:val="16"/>
              </w:rPr>
              <w:t>12</w:t>
            </w:r>
          </w:p>
        </w:tc>
        <w:tc>
          <w:tcPr>
            <w:tcW w:type="dxa" w:w="2336"/>
            <w:shd w:val="clear" w:color="auto" w:fill="FAF8F2"/>
          </w:tcPr>
          <w:p>
            <w:pPr>
              <w:spacing w:after="0"/>
            </w:pPr>
            <w:r>
              <w:rPr>
                <w:color w:val="1D1D1D"/>
                <w:sz w:val="16"/>
              </w:rPr>
              <w:t>2,20</w:t>
            </w:r>
          </w:p>
        </w:tc>
        <w:tc>
          <w:tcPr>
            <w:tcW w:type="dxa" w:w="876"/>
            <w:shd w:val="clear" w:color="auto" w:fill="FAF8F2"/>
          </w:tcPr>
          <w:p>
            <w:pPr>
              <w:spacing w:after="0"/>
            </w:pPr>
            <w:r>
              <w:rPr>
                <w:color w:val="1D1D1D"/>
                <w:sz w:val="16"/>
              </w:rPr>
              <w:t>85 %</w:t>
            </w:r>
          </w:p>
        </w:tc>
      </w:tr>
      <w:tr>
        <w:tc>
          <w:tcPr>
            <w:tcW w:type="dxa" w:w="5841"/>
          </w:tcPr>
          <w:p>
            <w:pPr>
              <w:spacing w:after="0"/>
            </w:pPr>
            <w:r>
              <w:rPr>
                <w:color w:val="1D1D1D"/>
                <w:sz w:val="16"/>
              </w:rPr>
              <w:t>Total</w:t>
            </w:r>
          </w:p>
        </w:tc>
        <w:tc>
          <w:tcPr>
            <w:tcW w:type="dxa" w:w="584"/>
          </w:tcPr>
          <w:p>
            <w:pPr>
              <w:spacing w:after="0"/>
            </w:pPr>
            <w:r>
              <w:rPr>
                <w:color w:val="1D1D1D"/>
                <w:sz w:val="16"/>
              </w:rPr>
              <w:t>72</w:t>
            </w:r>
          </w:p>
        </w:tc>
        <w:tc>
          <w:tcPr>
            <w:tcW w:type="dxa" w:w="2336"/>
          </w:tcPr>
          <w:p>
            <w:pPr>
              <w:spacing w:after="0"/>
            </w:pPr>
            <w:r>
              <w:rPr>
                <w:color w:val="1D1D1D"/>
                <w:sz w:val="16"/>
              </w:rPr>
              <w:t>9,00</w:t>
            </w:r>
          </w:p>
        </w:tc>
        <w:tc>
          <w:tcPr>
            <w:tcW w:type="dxa" w:w="876"/>
          </w:tcPr>
          <w:p>
            <w:pPr>
              <w:spacing w:after="0"/>
            </w:pPr>
            <w:r>
              <w:rPr>
                <w:color w:val="1D1D1D"/>
                <w:sz w:val="16"/>
              </w:rPr>
              <w:t>14,6 %</w:t>
            </w:r>
          </w:p>
        </w:tc>
      </w:tr>
    </w:tbl>
    <w:p>
      <w:pPr>
        <w:spacing w:after="40"/>
      </w:pPr>
    </w:p>
    <w:p>
      <w:pPr>
        <w:spacing w:after="0"/>
        <w:ind w:left="283"/>
      </w:pPr>
      <w:r>
        <w:rPr>
          <w:rFonts w:ascii="Courier New" w:hAnsi="Courier New"/>
          <w:sz w:val="17"/>
        </w:rPr>
        <w:t>dev_total = sum of budgets</w:t>
      </w:r>
    </w:p>
    <w:p>
      <w:pPr>
        <w:spacing w:after="0"/>
        <w:ind w:left="283"/>
      </w:pPr>
      <w:r>
        <w:rPr>
          <w:rFonts w:ascii="Courier New" w:hAnsi="Courier New"/>
          <w:sz w:val="17"/>
        </w:rPr>
        <w:t>dev_years = sum of months/12</w:t>
      </w:r>
    </w:p>
    <w:p>
      <w:pPr>
        <w:spacing w:after="0"/>
        <w:ind w:left="283"/>
      </w:pPr>
      <w:r>
        <w:rPr>
          <w:rFonts w:ascii="Courier New" w:hAnsi="Courier New"/>
          <w:sz w:val="17"/>
        </w:rPr>
        <w:t>dev_pfc   = PRODUCT(p1:p6)</w:t>
      </w:r>
    </w:p>
    <w:p>
      <w:pPr>
        <w:spacing w:after="0"/>
        <w:ind w:left="283"/>
      </w:pPr>
      <w:r>
        <w:rPr>
          <w:rFonts w:ascii="Courier New" w:hAnsi="Courier New"/>
          <w:sz w:val="17"/>
        </w:rPr>
        <w:t>dev_pct   = dev_total/capex_real</w:t>
      </w:r>
    </w:p>
    <w:p>
      <w:pPr>
        <w:spacing w:after="40"/>
      </w:pPr>
    </w:p>
    <w:p>
      <w:pPr>
        <w:jc w:val="both"/>
      </w:pPr>
      <w:r>
        <w:rPr>
          <w:b/>
        </w:rPr>
        <w:t>Profil de dépenses.</w:t>
      </w:r>
      <w:r>
        <w:rPr/>
        <w:t xml:space="preserve"> Les étapes s'enchaînent sans interruption et s'achèvent au bouclage financier. Le budget de chaque étape est réparti uniformément sur ses mois et affecté aux dix colonnes d'années de développement précédant le bouclage (2017 à 2026), puis indexé par </w:t>
      </w:r>
      <w:r>
        <w:rPr>
          <w:rFonts w:ascii="Courier New" w:hAnsi="Courier New"/>
        </w:rPr>
        <w:t>(1+us_cpi)^(year-base_year)</w:t>
      </w:r>
      <w:r>
        <w:rPr/>
        <w:t>. Pour Kasiri, les dépenses courent de 2021 à 2026 et totalisent 8,6 millions USD courants.</w:t>
      </w:r>
    </w:p>
    <w:p>
      <w:pPr>
        <w:jc w:val="both"/>
      </w:pPr>
      <w:r>
        <w:rPr>
          <w:b/>
        </w:rPr>
        <w:t>P(en vie).</w:t>
      </w:r>
      <w:r>
        <w:rPr/>
        <w:t xml:space="preserve"> Pour chaque année de développement, la probabilité que le projet soit encore en vie au moment de la dépense est la moyenne, pondérée par les dépenses de chaque étape, de la probabilité d'atteindre cette étape, </w:t>
      </w:r>
      <w:r>
        <w:rPr>
          <w:rFonts w:ascii="Courier New" w:hAnsi="Courier New"/>
        </w:rPr>
        <w:t>PRODUCT(p1:pk)/pk</w:t>
      </w:r>
      <w:r>
        <w:rPr/>
        <w:t>.</w:t>
      </w:r>
    </w:p>
    <w:p>
      <w:pPr>
        <w:jc w:val="both"/>
      </w:pPr>
      <w:r>
        <w:rPr>
          <w:b/>
        </w:rPr>
        <w:t>VAN pondérée par le risque.</w:t>
      </w:r>
      <w:r>
        <w:rPr/>
        <w:t xml:space="preserve"> Avec r = </w:t>
      </w:r>
      <w:r>
        <w:rPr>
          <w:rFonts w:ascii="Courier New" w:hAnsi="Courier New"/>
        </w:rPr>
        <w:t>dev_rate</w:t>
      </w:r>
      <w:r>
        <w:rPr/>
        <w:t xml:space="preserve"> (25 %) et toutes les valeurs actuelles calculées au début du développement :</w:t>
      </w:r>
    </w:p>
    <w:p>
      <w:pPr>
        <w:spacing w:after="0"/>
        <w:ind w:left="283"/>
      </w:pPr>
      <w:r>
        <w:rPr>
          <w:rFonts w:ascii="Courier New" w:hAnsi="Courier New"/>
          <w:sz w:val="17"/>
        </w:rPr>
        <w:t>dev_reimb        = total nominal development spend</w:t>
      </w:r>
    </w:p>
    <w:p>
      <w:pPr>
        <w:spacing w:after="0"/>
        <w:ind w:left="283"/>
      </w:pPr>
      <w:r>
        <w:rPr>
          <w:rFonts w:ascii="Courier New" w:hAnsi="Courier New"/>
          <w:sz w:val="17"/>
        </w:rPr>
        <w:t>dev_prem         = dev_prem_pct*capex_real</w:t>
      </w:r>
    </w:p>
    <w:p>
      <w:pPr>
        <w:spacing w:after="0"/>
        <w:ind w:left="283"/>
      </w:pPr>
      <w:r>
        <w:rPr>
          <w:rFonts w:ascii="Courier New" w:hAnsi="Courier New"/>
          <w:sz w:val="17"/>
        </w:rPr>
        <w:t>dev_eq_npv_fc    = dev_stake*NPV(r_fc,eq_priv_cf)</w:t>
      </w:r>
    </w:p>
    <w:p>
      <w:pPr>
        <w:spacing w:after="0"/>
        <w:ind w:left="283"/>
      </w:pPr>
      <w:r>
        <w:rPr>
          <w:rFonts w:ascii="Courier New" w:hAnsi="Courier New"/>
          <w:sz w:val="17"/>
        </w:rPr>
        <w:t>dev_success_value= dev_reimb+dev_prem+dev_eq_npv_fc</w:t>
      </w:r>
    </w:p>
    <w:p>
      <w:pPr>
        <w:spacing w:after="0"/>
        <w:ind w:left="283"/>
      </w:pPr>
      <w:r>
        <w:rPr>
          <w:rFonts w:ascii="Courier New" w:hAnsi="Courier New"/>
          <w:sz w:val="17"/>
        </w:rPr>
        <w:t>dev_pv_cost_unw  = NPV(r,spend)*(1+r)^(10-dev_months/12)</w:t>
      </w:r>
    </w:p>
    <w:p>
      <w:pPr>
        <w:spacing w:after="0"/>
        <w:ind w:left="283"/>
      </w:pPr>
      <w:r>
        <w:rPr>
          <w:rFonts w:ascii="Courier New" w:hAnsi="Courier New"/>
          <w:sz w:val="17"/>
        </w:rPr>
        <w:t>dev_pv_cost_rw   = SUMPRODUCT(spend,P(alive),1/(1+r)^column)*(1+r)^(10-dev_months/12)</w:t>
      </w:r>
    </w:p>
    <w:p>
      <w:pPr>
        <w:spacing w:after="0"/>
        <w:ind w:left="283"/>
      </w:pPr>
      <w:r>
        <w:rPr>
          <w:rFonts w:ascii="Courier New" w:hAnsi="Courier New"/>
          <w:sz w:val="17"/>
        </w:rPr>
        <w:t>dev_pv_success   = dev_success_value/(1+r)^(dev_months/12)</w:t>
      </w:r>
    </w:p>
    <w:p>
      <w:pPr>
        <w:spacing w:after="0"/>
        <w:ind w:left="283"/>
      </w:pPr>
      <w:r>
        <w:rPr>
          <w:rFonts w:ascii="Courier New" w:hAnsi="Courier New"/>
          <w:sz w:val="17"/>
        </w:rPr>
        <w:t>dev_npv_success  = dev_pv_success-dev_pv_cost_unw</w:t>
      </w:r>
    </w:p>
    <w:p>
      <w:pPr>
        <w:spacing w:after="0"/>
        <w:ind w:left="283"/>
      </w:pPr>
      <w:r>
        <w:rPr>
          <w:rFonts w:ascii="Courier New" w:hAnsi="Courier New"/>
          <w:sz w:val="17"/>
        </w:rPr>
        <w:t>dev_enpv         = dev_pfc*dev_pv_success-dev_pv_cost_rw</w:t>
      </w:r>
    </w:p>
    <w:p>
      <w:pPr>
        <w:spacing w:after="40"/>
      </w:pPr>
    </w:p>
    <w:p>
      <w:pPr>
        <w:jc w:val="both"/>
      </w:pPr>
      <w:r>
        <w:rPr/>
        <w:t>Kasiri : valeur au bouclage sur le scénario de succès de 11,27 millions USD ; VAN sur le scénario de succès de -1,00 million USD ; VAN pondérée par le risque de -0,95 million USD.</w:t>
      </w:r>
    </w:p>
    <w:p>
      <w:pPr>
        <w:jc w:val="both"/>
      </w:pPr>
      <w:r>
        <w:rPr>
          <w:b/>
        </w:rPr>
        <w:t>Prime et probabilité de point mort.</w:t>
      </w:r>
    </w:p>
    <w:p>
      <w:pPr>
        <w:spacing w:after="0"/>
        <w:ind w:left="283"/>
      </w:pPr>
      <w:r>
        <w:rPr>
          <w:rFonts w:ascii="Courier New" w:hAnsi="Courier New"/>
          <w:sz w:val="17"/>
        </w:rPr>
        <w:t>dev_be_prem = MAX(0,dev_prem-dev_enpv*(1+r)^(dev_months/12)/dev_pfc)</w:t>
      </w:r>
    </w:p>
    <w:p>
      <w:pPr>
        <w:spacing w:after="0"/>
        <w:ind w:left="283"/>
      </w:pPr>
      <w:r>
        <w:rPr>
          <w:rFonts w:ascii="Courier New" w:hAnsi="Courier New"/>
          <w:sz w:val="17"/>
        </w:rPr>
        <w:t>dev_be_p    = IF(dev_npv_success&lt;=0,"n/a: negative on the success path",dev_pv_cost_rw/dev_pv_success)</w:t>
      </w:r>
    </w:p>
    <w:p>
      <w:pPr>
        <w:spacing w:after="40"/>
      </w:pPr>
    </w:p>
    <w:p>
      <w:pPr>
        <w:jc w:val="both"/>
      </w:pPr>
      <w:r>
        <w:rPr/>
        <w:t>Kasiri a besoin d'une prime de 29,7 millions USD (18,9 % du coût de la centrale) pour obtenir une VAN pondérée par le risque nulle, et n'a pas de probabilité de point mort, car le scénario de succès lui-même détruit de la valeur à 25 %.</w:t>
      </w:r>
    </w:p>
    <w:p>
      <w:pPr>
        <w:jc w:val="both"/>
      </w:pPr>
      <w:r>
        <w:rPr>
          <w:b/>
        </w:rPr>
        <w:t>Valeur par étape (section D2).</w:t>
      </w:r>
      <w:r>
        <w:rPr/>
        <w:t xml:space="preserve"> Pour l'étape k sur le point de commencer, avec des budgets réels c, des durées d et un mois de début s :</w:t>
      </w:r>
    </w:p>
    <w:p>
      <w:pPr>
        <w:spacing w:after="0"/>
        <w:ind w:left="283"/>
      </w:pPr>
      <w:r>
        <w:rPr>
          <w:rFonts w:ascii="Courier New" w:hAnsi="Courier New"/>
          <w:sz w:val="17"/>
        </w:rPr>
        <w:t>B (P close from here) = PRODUCT(pk:p6)</w:t>
      </w:r>
    </w:p>
    <w:p>
      <w:pPr>
        <w:spacing w:after="0"/>
        <w:ind w:left="283"/>
      </w:pPr>
      <w:r>
        <w:rPr>
          <w:rFonts w:ascii="Courier New" w:hAnsi="Courier New"/>
          <w:sz w:val="17"/>
        </w:rPr>
        <w:t>C (PV value at close) = B*dev_success_value/(1+r)^((dev_months-s_k)/12)</w:t>
      </w:r>
    </w:p>
    <w:p>
      <w:pPr>
        <w:spacing w:after="0"/>
        <w:ind w:left="283"/>
      </w:pPr>
      <w:r>
        <w:rPr>
          <w:rFonts w:ascii="Courier New" w:hAnsi="Courier New"/>
          <w:sz w:val="17"/>
        </w:rPr>
        <w:t>D (PV remaining spend)= sum over j&gt;=k of c_j*PRODUCT(pk:p(j-1))/(1+r)^((s_j-s_k+0.5*d_j)/12)</w:t>
      </w:r>
    </w:p>
    <w:p>
      <w:pPr>
        <w:spacing w:after="0"/>
        <w:ind w:left="283"/>
      </w:pPr>
      <w:r>
        <w:rPr>
          <w:rFonts w:ascii="Courier New" w:hAnsi="Courier New"/>
          <w:sz w:val="17"/>
        </w:rPr>
        <w:t>E (position value)    = C-D</w:t>
      </w:r>
    </w:p>
    <w:p>
      <w:pPr>
        <w:spacing w:after="4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18"/>
            <w:shd w:val="clear" w:color="auto" w:fill="0B3020"/>
          </w:tcPr>
          <w:p>
            <w:pPr>
              <w:spacing w:after="0"/>
            </w:pPr>
            <w:r>
              <w:rPr>
                <w:b/>
                <w:color w:val="FFFFFF"/>
                <w:sz w:val="16"/>
              </w:rPr>
              <w:t>Étape sur le point de commencer</w:t>
            </w:r>
          </w:p>
        </w:tc>
        <w:tc>
          <w:tcPr>
            <w:tcW w:type="dxa" w:w="1071"/>
            <w:shd w:val="clear" w:color="auto" w:fill="0B3020"/>
          </w:tcPr>
          <w:p>
            <w:pPr>
              <w:spacing w:after="0"/>
            </w:pPr>
            <w:r>
              <w:rPr>
                <w:b/>
                <w:color w:val="FFFFFF"/>
                <w:sz w:val="16"/>
              </w:rPr>
              <w:t>P(bouclage)</w:t>
            </w:r>
          </w:p>
        </w:tc>
        <w:tc>
          <w:tcPr>
            <w:tcW w:type="dxa" w:w="1752"/>
            <w:shd w:val="clear" w:color="auto" w:fill="0B3020"/>
          </w:tcPr>
          <w:p>
            <w:pPr>
              <w:spacing w:after="0"/>
            </w:pPr>
            <w:r>
              <w:rPr>
                <w:b/>
                <w:color w:val="FFFFFF"/>
                <w:sz w:val="16"/>
              </w:rPr>
              <w:t>Valeur au bouclage</w:t>
            </w:r>
          </w:p>
        </w:tc>
        <w:tc>
          <w:tcPr>
            <w:tcW w:type="dxa" w:w="1752"/>
            <w:shd w:val="clear" w:color="auto" w:fill="0B3020"/>
          </w:tcPr>
          <w:p>
            <w:pPr>
              <w:spacing w:after="0"/>
            </w:pPr>
            <w:r>
              <w:rPr>
                <w:b/>
                <w:color w:val="FFFFFF"/>
                <w:sz w:val="16"/>
              </w:rPr>
              <w:t>Dépenses restantes</w:t>
            </w:r>
          </w:p>
        </w:tc>
        <w:tc>
          <w:tcPr>
            <w:tcW w:type="dxa" w:w="2044"/>
            <w:shd w:val="clear" w:color="auto" w:fill="0B3020"/>
          </w:tcPr>
          <w:p>
            <w:pPr>
              <w:spacing w:after="0"/>
            </w:pPr>
            <w:r>
              <w:rPr>
                <w:b/>
                <w:color w:val="FFFFFF"/>
                <w:sz w:val="16"/>
              </w:rPr>
              <w:t>Valeur de la position</w:t>
            </w:r>
          </w:p>
        </w:tc>
      </w:tr>
      <w:tr>
        <w:tc>
          <w:tcPr>
            <w:tcW w:type="dxa" w:w="3018"/>
          </w:tcPr>
          <w:p>
            <w:pPr>
              <w:spacing w:after="0"/>
            </w:pPr>
            <w:r>
              <w:rPr>
                <w:color w:val="1D1D1D"/>
                <w:sz w:val="16"/>
              </w:rPr>
              <w:t>1</w:t>
            </w:r>
          </w:p>
        </w:tc>
        <w:tc>
          <w:tcPr>
            <w:tcW w:type="dxa" w:w="1071"/>
          </w:tcPr>
          <w:p>
            <w:pPr>
              <w:spacing w:after="0"/>
            </w:pPr>
            <w:r>
              <w:rPr>
                <w:color w:val="1D1D1D"/>
                <w:sz w:val="16"/>
              </w:rPr>
              <w:t>14,6 %</w:t>
            </w:r>
          </w:p>
        </w:tc>
        <w:tc>
          <w:tcPr>
            <w:tcW w:type="dxa" w:w="1752"/>
          </w:tcPr>
          <w:p>
            <w:pPr>
              <w:spacing w:after="0"/>
            </w:pPr>
            <w:r>
              <w:rPr>
                <w:color w:val="1D1D1D"/>
                <w:sz w:val="16"/>
              </w:rPr>
              <w:t>0,43</w:t>
            </w:r>
          </w:p>
        </w:tc>
        <w:tc>
          <w:tcPr>
            <w:tcW w:type="dxa" w:w="1752"/>
          </w:tcPr>
          <w:p>
            <w:pPr>
              <w:spacing w:after="0"/>
            </w:pPr>
            <w:r>
              <w:rPr>
                <w:color w:val="1D1D1D"/>
                <w:sz w:val="16"/>
              </w:rPr>
              <w:t>1,63</w:t>
            </w:r>
          </w:p>
        </w:tc>
        <w:tc>
          <w:tcPr>
            <w:tcW w:type="dxa" w:w="2044"/>
          </w:tcPr>
          <w:p>
            <w:pPr>
              <w:spacing w:after="0"/>
            </w:pPr>
            <w:r>
              <w:rPr>
                <w:color w:val="1D1D1D"/>
                <w:sz w:val="16"/>
              </w:rPr>
              <w:t>-1,20</w:t>
            </w:r>
          </w:p>
        </w:tc>
      </w:tr>
      <w:tr>
        <w:tc>
          <w:tcPr>
            <w:tcW w:type="dxa" w:w="3018"/>
            <w:shd w:val="clear" w:color="auto" w:fill="FAF8F2"/>
          </w:tcPr>
          <w:p>
            <w:pPr>
              <w:spacing w:after="0"/>
            </w:pPr>
            <w:r>
              <w:rPr>
                <w:color w:val="1D1D1D"/>
                <w:sz w:val="16"/>
              </w:rPr>
              <w:t>2</w:t>
            </w:r>
          </w:p>
        </w:tc>
        <w:tc>
          <w:tcPr>
            <w:tcW w:type="dxa" w:w="1071"/>
            <w:shd w:val="clear" w:color="auto" w:fill="FAF8F2"/>
          </w:tcPr>
          <w:p>
            <w:pPr>
              <w:spacing w:after="0"/>
            </w:pPr>
            <w:r>
              <w:rPr>
                <w:color w:val="1D1D1D"/>
                <w:sz w:val="16"/>
              </w:rPr>
              <w:t>24,3 %</w:t>
            </w:r>
          </w:p>
        </w:tc>
        <w:tc>
          <w:tcPr>
            <w:tcW w:type="dxa" w:w="1752"/>
            <w:shd w:val="clear" w:color="auto" w:fill="FAF8F2"/>
          </w:tcPr>
          <w:p>
            <w:pPr>
              <w:spacing w:after="0"/>
            </w:pPr>
            <w:r>
              <w:rPr>
                <w:color w:val="1D1D1D"/>
                <w:sz w:val="16"/>
              </w:rPr>
              <w:t>0,80</w:t>
            </w:r>
          </w:p>
        </w:tc>
        <w:tc>
          <w:tcPr>
            <w:tcW w:type="dxa" w:w="1752"/>
            <w:shd w:val="clear" w:color="auto" w:fill="FAF8F2"/>
          </w:tcPr>
          <w:p>
            <w:pPr>
              <w:spacing w:after="0"/>
            </w:pPr>
            <w:r>
              <w:rPr>
                <w:color w:val="1D1D1D"/>
                <w:sz w:val="16"/>
              </w:rPr>
              <w:t>2,86</w:t>
            </w:r>
          </w:p>
        </w:tc>
        <w:tc>
          <w:tcPr>
            <w:tcW w:type="dxa" w:w="2044"/>
            <w:shd w:val="clear" w:color="auto" w:fill="FAF8F2"/>
          </w:tcPr>
          <w:p>
            <w:pPr>
              <w:spacing w:after="0"/>
            </w:pPr>
            <w:r>
              <w:rPr>
                <w:color w:val="1D1D1D"/>
                <w:sz w:val="16"/>
              </w:rPr>
              <w:t>-2,06</w:t>
            </w:r>
          </w:p>
        </w:tc>
      </w:tr>
      <w:tr>
        <w:tc>
          <w:tcPr>
            <w:tcW w:type="dxa" w:w="3018"/>
          </w:tcPr>
          <w:p>
            <w:pPr>
              <w:spacing w:after="0"/>
            </w:pPr>
            <w:r>
              <w:rPr>
                <w:color w:val="1D1D1D"/>
                <w:sz w:val="16"/>
              </w:rPr>
              <w:t>3</w:t>
            </w:r>
          </w:p>
        </w:tc>
        <w:tc>
          <w:tcPr>
            <w:tcW w:type="dxa" w:w="1071"/>
          </w:tcPr>
          <w:p>
            <w:pPr>
              <w:spacing w:after="0"/>
            </w:pPr>
            <w:r>
              <w:rPr>
                <w:color w:val="1D1D1D"/>
                <w:sz w:val="16"/>
              </w:rPr>
              <w:t>40,5 %</w:t>
            </w:r>
          </w:p>
        </w:tc>
        <w:tc>
          <w:tcPr>
            <w:tcW w:type="dxa" w:w="1752"/>
          </w:tcPr>
          <w:p>
            <w:pPr>
              <w:spacing w:after="0"/>
            </w:pPr>
            <w:r>
              <w:rPr>
                <w:color w:val="1D1D1D"/>
                <w:sz w:val="16"/>
              </w:rPr>
              <w:t>1,67</w:t>
            </w:r>
          </w:p>
        </w:tc>
        <w:tc>
          <w:tcPr>
            <w:tcW w:type="dxa" w:w="1752"/>
          </w:tcPr>
          <w:p>
            <w:pPr>
              <w:spacing w:after="0"/>
            </w:pPr>
            <w:r>
              <w:rPr>
                <w:color w:val="1D1D1D"/>
                <w:sz w:val="16"/>
              </w:rPr>
              <w:t>4,84</w:t>
            </w:r>
          </w:p>
        </w:tc>
        <w:tc>
          <w:tcPr>
            <w:tcW w:type="dxa" w:w="2044"/>
          </w:tcPr>
          <w:p>
            <w:pPr>
              <w:spacing w:after="0"/>
            </w:pPr>
            <w:r>
              <w:rPr>
                <w:color w:val="1D1D1D"/>
                <w:sz w:val="16"/>
              </w:rPr>
              <w:t>-3,17</w:t>
            </w:r>
          </w:p>
        </w:tc>
      </w:tr>
      <w:tr>
        <w:tc>
          <w:tcPr>
            <w:tcW w:type="dxa" w:w="3018"/>
            <w:shd w:val="clear" w:color="auto" w:fill="FAF8F2"/>
          </w:tcPr>
          <w:p>
            <w:pPr>
              <w:spacing w:after="0"/>
            </w:pPr>
            <w:r>
              <w:rPr>
                <w:color w:val="1D1D1D"/>
                <w:sz w:val="16"/>
              </w:rPr>
              <w:t>4</w:t>
            </w:r>
          </w:p>
        </w:tc>
        <w:tc>
          <w:tcPr>
            <w:tcW w:type="dxa" w:w="1071"/>
            <w:shd w:val="clear" w:color="auto" w:fill="FAF8F2"/>
          </w:tcPr>
          <w:p>
            <w:pPr>
              <w:spacing w:after="0"/>
            </w:pPr>
            <w:r>
              <w:rPr>
                <w:color w:val="1D1D1D"/>
                <w:sz w:val="16"/>
              </w:rPr>
              <w:t>57,8 %</w:t>
            </w:r>
          </w:p>
        </w:tc>
        <w:tc>
          <w:tcPr>
            <w:tcW w:type="dxa" w:w="1752"/>
            <w:shd w:val="clear" w:color="auto" w:fill="FAF8F2"/>
          </w:tcPr>
          <w:p>
            <w:pPr>
              <w:spacing w:after="0"/>
            </w:pPr>
            <w:r>
              <w:rPr>
                <w:color w:val="1D1D1D"/>
                <w:sz w:val="16"/>
              </w:rPr>
              <w:t>3,34</w:t>
            </w:r>
          </w:p>
        </w:tc>
        <w:tc>
          <w:tcPr>
            <w:tcW w:type="dxa" w:w="1752"/>
            <w:shd w:val="clear" w:color="auto" w:fill="FAF8F2"/>
          </w:tcPr>
          <w:p>
            <w:pPr>
              <w:spacing w:after="0"/>
            </w:pPr>
            <w:r>
              <w:rPr>
                <w:color w:val="1D1D1D"/>
                <w:sz w:val="16"/>
              </w:rPr>
              <w:t>2,06</w:t>
            </w:r>
          </w:p>
        </w:tc>
        <w:tc>
          <w:tcPr>
            <w:tcW w:type="dxa" w:w="2044"/>
            <w:shd w:val="clear" w:color="auto" w:fill="FAF8F2"/>
          </w:tcPr>
          <w:p>
            <w:pPr>
              <w:spacing w:after="0"/>
            </w:pPr>
            <w:r>
              <w:rPr>
                <w:color w:val="1D1D1D"/>
                <w:sz w:val="16"/>
              </w:rPr>
              <w:t>1,28</w:t>
            </w:r>
          </w:p>
        </w:tc>
      </w:tr>
      <w:tr>
        <w:tc>
          <w:tcPr>
            <w:tcW w:type="dxa" w:w="3018"/>
          </w:tcPr>
          <w:p>
            <w:pPr>
              <w:spacing w:after="0"/>
            </w:pPr>
            <w:r>
              <w:rPr>
                <w:color w:val="1D1D1D"/>
                <w:sz w:val="16"/>
              </w:rPr>
              <w:t>5</w:t>
            </w:r>
          </w:p>
        </w:tc>
        <w:tc>
          <w:tcPr>
            <w:tcW w:type="dxa" w:w="1071"/>
          </w:tcPr>
          <w:p>
            <w:pPr>
              <w:spacing w:after="0"/>
            </w:pPr>
            <w:r>
              <w:rPr>
                <w:color w:val="1D1D1D"/>
                <w:sz w:val="16"/>
              </w:rPr>
              <w:t>68,0 %</w:t>
            </w:r>
          </w:p>
        </w:tc>
        <w:tc>
          <w:tcPr>
            <w:tcW w:type="dxa" w:w="1752"/>
          </w:tcPr>
          <w:p>
            <w:pPr>
              <w:spacing w:after="0"/>
            </w:pPr>
            <w:r>
              <w:rPr>
                <w:color w:val="1D1D1D"/>
                <w:sz w:val="16"/>
              </w:rPr>
              <w:t>4,91</w:t>
            </w:r>
          </w:p>
        </w:tc>
        <w:tc>
          <w:tcPr>
            <w:tcW w:type="dxa" w:w="1752"/>
          </w:tcPr>
          <w:p>
            <w:pPr>
              <w:spacing w:after="0"/>
            </w:pPr>
            <w:r>
              <w:rPr>
                <w:color w:val="1D1D1D"/>
                <w:sz w:val="16"/>
              </w:rPr>
              <w:t>1,98</w:t>
            </w:r>
          </w:p>
        </w:tc>
        <w:tc>
          <w:tcPr>
            <w:tcW w:type="dxa" w:w="2044"/>
          </w:tcPr>
          <w:p>
            <w:pPr>
              <w:spacing w:after="0"/>
            </w:pPr>
            <w:r>
              <w:rPr>
                <w:color w:val="1D1D1D"/>
                <w:sz w:val="16"/>
              </w:rPr>
              <w:t>2,93</w:t>
            </w:r>
          </w:p>
        </w:tc>
      </w:tr>
      <w:tr>
        <w:tc>
          <w:tcPr>
            <w:tcW w:type="dxa" w:w="3018"/>
            <w:shd w:val="clear" w:color="auto" w:fill="FAF8F2"/>
          </w:tcPr>
          <w:p>
            <w:pPr>
              <w:spacing w:after="0"/>
            </w:pPr>
            <w:r>
              <w:rPr>
                <w:color w:val="1D1D1D"/>
                <w:sz w:val="16"/>
              </w:rPr>
              <w:t>6</w:t>
            </w:r>
          </w:p>
        </w:tc>
        <w:tc>
          <w:tcPr>
            <w:tcW w:type="dxa" w:w="1071"/>
            <w:shd w:val="clear" w:color="auto" w:fill="FAF8F2"/>
          </w:tcPr>
          <w:p>
            <w:pPr>
              <w:spacing w:after="0"/>
            </w:pPr>
            <w:r>
              <w:rPr>
                <w:color w:val="1D1D1D"/>
                <w:sz w:val="16"/>
              </w:rPr>
              <w:t>85,0 %</w:t>
            </w:r>
          </w:p>
        </w:tc>
        <w:tc>
          <w:tcPr>
            <w:tcW w:type="dxa" w:w="1752"/>
            <w:shd w:val="clear" w:color="auto" w:fill="FAF8F2"/>
          </w:tcPr>
          <w:p>
            <w:pPr>
              <w:spacing w:after="0"/>
            </w:pPr>
            <w:r>
              <w:rPr>
                <w:color w:val="1D1D1D"/>
                <w:sz w:val="16"/>
              </w:rPr>
              <w:t>7,67</w:t>
            </w:r>
          </w:p>
        </w:tc>
        <w:tc>
          <w:tcPr>
            <w:tcW w:type="dxa" w:w="1752"/>
            <w:shd w:val="clear" w:color="auto" w:fill="FAF8F2"/>
          </w:tcPr>
          <w:p>
            <w:pPr>
              <w:spacing w:after="0"/>
            </w:pPr>
            <w:r>
              <w:rPr>
                <w:color w:val="1D1D1D"/>
                <w:sz w:val="16"/>
              </w:rPr>
              <w:t>1,97</w:t>
            </w:r>
          </w:p>
        </w:tc>
        <w:tc>
          <w:tcPr>
            <w:tcW w:type="dxa" w:w="2044"/>
            <w:shd w:val="clear" w:color="auto" w:fill="FAF8F2"/>
          </w:tcPr>
          <w:p>
            <w:pPr>
              <w:spacing w:after="0"/>
            </w:pPr>
            <w:r>
              <w:rPr>
                <w:color w:val="1D1D1D"/>
                <w:sz w:val="16"/>
              </w:rPr>
              <w:t>5,70</w:t>
            </w:r>
          </w:p>
        </w:tc>
      </w:tr>
    </w:tbl>
    <w:p>
      <w:pPr>
        <w:spacing w:after="40"/>
      </w:pPr>
    </w:p>
    <w:p>
      <w:pPr>
        <w:jc w:val="both"/>
      </w:pPr>
      <w:r>
        <w:rPr/>
        <w:t>La VAN de la section D (dépenses courantes, année par année) et la valeur à l'étape 1 de la section D2 (budgets réels en milieu d'étape) répondent à la même question par deux voies différentes ; le Livre 7 utilise la première pour la décision de lancer le projet et la seconde pour fixer le prix d'entrée.</w:t>
      </w:r>
    </w:p>
    <w:p>
      <w:pPr>
        <w:jc w:val="both"/>
      </w:pPr>
      <w:r>
        <w:rPr>
          <w:b/>
        </w:rPr>
        <w:t>Revalorisations (section E), fonds propres privés à 100 %.</w:t>
      </w:r>
    </w:p>
    <w:p>
      <w:pPr>
        <w:spacing w:after="0"/>
        <w:ind w:left="283"/>
      </w:pPr>
      <w:r>
        <w:rPr>
          <w:rFonts w:ascii="Courier New" w:hAnsi="Courier New"/>
          <w:sz w:val="17"/>
        </w:rPr>
        <w:t>val_fc       = NPV(r_fc,eq_priv_cf)+NPV(r_fc,eq_priv_in)</w:t>
      </w:r>
    </w:p>
    <w:p>
      <w:pPr>
        <w:spacing w:after="0"/>
        <w:ind w:left="283"/>
      </w:pPr>
      <w:r>
        <w:rPr>
          <w:rFonts w:ascii="Courier New" w:hAnsi="Courier New"/>
          <w:sz w:val="17"/>
        </w:rPr>
        <w:t>val_step_fc  = NPV(r_fc,eq_priv_cf)</w:t>
      </w:r>
    </w:p>
    <w:p>
      <w:pPr>
        <w:spacing w:after="0"/>
        <w:ind w:left="283"/>
      </w:pPr>
      <w:r>
        <w:rPr>
          <w:rFonts w:ascii="Courier New" w:hAnsi="Courier New"/>
          <w:sz w:val="17"/>
        </w:rPr>
        <w:t>val_cod      = SUMPRODUCT(opflag,eq_priv_cf,1/(1+r_cod)^(t-cons_eff))/(1+r_fc)^cons_eff</w:t>
      </w:r>
    </w:p>
    <w:p>
      <w:pPr>
        <w:spacing w:after="0"/>
        <w:ind w:left="283"/>
      </w:pPr>
      <w:r>
        <w:rPr>
          <w:rFonts w:ascii="Courier New" w:hAnsi="Courier New"/>
          <w:sz w:val="17"/>
        </w:rPr>
        <w:t>val_step_cod = val_cod-SUMPRODUCT(opflag,eq_priv_cf,1/(1+r_fc)^t)</w:t>
      </w:r>
    </w:p>
    <w:p>
      <w:pPr>
        <w:spacing w:after="40"/>
      </w:pPr>
    </w:p>
    <w:p>
      <w:pPr>
        <w:jc w:val="both"/>
      </w:pPr>
      <w:r>
        <w:rPr/>
        <w:t>Kasiri : valeur créée au bouclage de -5,1 millions USD (le TRI des fonds propres est inférieur au taux de 15 % retenu au stade du bouclage) ; revalorisation liée à la réduction des risques entre le bouclage et la COD de 18,3 millions USD.</w:t>
      </w:r>
    </w:p>
    <w:p>
      <w:pPr>
        <w:jc w:val="both"/>
      </w:pPr>
      <w:r>
        <w:rPr>
          <w:b/>
        </w:rPr>
        <w:t>Cession partielle (section F).</w:t>
      </w:r>
    </w:p>
    <w:p>
      <w:pPr>
        <w:spacing w:after="0"/>
        <w:ind w:left="283"/>
      </w:pPr>
      <w:r>
        <w:rPr>
          <w:rFonts w:ascii="Courier New" w:hAnsi="Courier New"/>
          <w:sz w:val="17"/>
        </w:rPr>
        <w:t>v_cod_nom     = SUMPRODUCT(opflag,eq_priv_cf,1/(1+r_cod)^(t-cons_eff))</w:t>
      </w:r>
    </w:p>
    <w:p>
      <w:pPr>
        <w:spacing w:after="0"/>
        <w:ind w:left="283"/>
      </w:pPr>
      <w:r>
        <w:rPr>
          <w:rFonts w:ascii="Courier New" w:hAnsi="Courier New"/>
          <w:sz w:val="17"/>
        </w:rPr>
        <w:t>sell_proceeds = sell_pct*dev_stake*v_cod_nom</w:t>
      </w:r>
    </w:p>
    <w:p>
      <w:pPr>
        <w:spacing w:after="40"/>
      </w:pPr>
    </w:p>
    <w:p>
      <w:pPr>
        <w:jc w:val="both"/>
      </w:pPr>
      <w:r>
        <w:rPr/>
        <w:t xml:space="preserve">Le flux de trésorerie du développeur s'étend sur 50 colonnes (dix années de développement et les 40 années du modèle) : les dépenses de développement en négatif ; à t = 1, le remboursement plus la prime ; chaque année du modèle, </w:t>
      </w:r>
      <w:r>
        <w:rPr>
          <w:rFonts w:ascii="Courier New" w:hAnsi="Courier New"/>
        </w:rPr>
        <w:t>dev_stake</w:t>
      </w:r>
      <w:r>
        <w:rPr/>
        <w:t xml:space="preserve"> fois le flux de trésorerie des fonds propres privés, réduit de </w:t>
      </w:r>
      <w:r>
        <w:rPr>
          <w:rFonts w:ascii="Courier New" w:hAnsi="Courier New"/>
        </w:rPr>
        <w:t>(1-sell_pct)</w:t>
      </w:r>
      <w:r>
        <w:rPr/>
        <w:t xml:space="preserve"> pendant les années d'exploitation ; et le produit de cession la dernière année de construction. Kasiri : produit de cession de 19,5 millions USD, multiple de trésorerie de 4,97x, pic de trésorerie cumulée à risque de 10,2 millions USD.</w:t>
      </w:r>
    </w:p>
    <w:p>
      <w:pPr>
        <w:jc w:val="both"/>
      </w:pPr>
      <w:r>
        <w:rPr>
          <w:b/>
        </w:rPr>
        <w:t>TRI du développeur avec trois valeurs de départ.</w:t>
      </w:r>
    </w:p>
    <w:p>
      <w:pPr>
        <w:spacing w:after="0"/>
        <w:ind w:left="283"/>
      </w:pPr>
      <w:r>
        <w:rPr>
          <w:rFonts w:ascii="Courier New" w:hAnsi="Courier New"/>
          <w:sz w:val="17"/>
        </w:rPr>
        <w:t>dev_irr = IF(ISNUMBER(IRR(cf,0.15)),IF(ABS(IRR(cf,0.15))&lt;1,IRR(cf,0.15),-1),</w:t>
      </w:r>
    </w:p>
    <w:p>
      <w:pPr>
        <w:spacing w:after="0"/>
        <w:ind w:left="283"/>
      </w:pPr>
      <w:r>
        <w:rPr>
          <w:rFonts w:ascii="Courier New" w:hAnsi="Courier New"/>
          <w:sz w:val="17"/>
        </w:rPr>
        <w:t xml:space="preserve">          IF(ISNUMBER(IRR(cf,0.05)),IF(ABS(IRR(cf,0.05))&lt;1,IRR(cf,0.05),-1),</w:t>
      </w:r>
    </w:p>
    <w:p>
      <w:pPr>
        <w:spacing w:after="0"/>
        <w:ind w:left="283"/>
      </w:pPr>
      <w:r>
        <w:rPr>
          <w:rFonts w:ascii="Courier New" w:hAnsi="Courier New"/>
          <w:sz w:val="17"/>
        </w:rPr>
        <w:t xml:space="preserve">          IF(ISNUMBER(IRR(cf,-0.05)),IF(ABS(IRR(cf,-0.05))&lt;1,IRR(cf,-0.05),-1),-1)))</w:t>
      </w:r>
    </w:p>
    <w:p>
      <w:pPr>
        <w:spacing w:after="40"/>
      </w:pPr>
    </w:p>
    <w:p>
      <w:pPr>
        <w:jc w:val="both"/>
      </w:pPr>
      <w:r>
        <w:rPr/>
        <w:t>Le flux de trésorerie du développeur change plusieurs fois de signe ; la valeur de départ a donc une importance. La formule essaie 15 %, puis 5 %, puis -5 %, et ne passe à la valeur suivante que si la précédente renvoie une erreur ; un résultat de valeur absolue supérieure ou égale à 1 est considéré comme aberrant et affiché à -1 (-100 %). Kasiri : 16,0 %. Les intéressements des promoteurs (promote) et le carried interest ne sont pas modélisés.</w:t>
      </w:r>
    </w:p>
    <w:p>
      <w:pPr>
        <w:pStyle w:val="Heading2"/>
      </w:pPr>
      <w:r>
        <w:t>6.8 Structures de financement (17A_STRUCTURES)</w:t>
      </w:r>
    </w:p>
    <w:p>
      <w:pPr>
        <w:jc w:val="both"/>
      </w:pPr>
      <w:r>
        <w:rPr/>
        <w:t xml:space="preserve">La colonne C lit la structure sélectionnée dans les colonnes E à I avec </w:t>
      </w:r>
      <w:r>
        <w:rPr>
          <w:rFonts w:ascii="Courier New" w:hAnsi="Courier New"/>
        </w:rPr>
        <w:t>INDEX(E:I,structure)</w:t>
      </w:r>
      <w:r>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4448"/>
            <w:shd w:val="clear" w:color="auto" w:fill="0B3020"/>
          </w:tcPr>
          <w:p>
            <w:pPr>
              <w:spacing w:after="0"/>
            </w:pPr>
            <w:r>
              <w:rPr>
                <w:b/>
                <w:color w:val="FFFFFF"/>
                <w:sz w:val="16"/>
              </w:rPr>
              <w:t>Paramètre</w:t>
            </w:r>
          </w:p>
        </w:tc>
        <w:tc>
          <w:tcPr>
            <w:tcW w:type="dxa" w:w="1038"/>
            <w:shd w:val="clear" w:color="auto" w:fill="0B3020"/>
          </w:tcPr>
          <w:p>
            <w:pPr>
              <w:spacing w:after="0"/>
            </w:pPr>
            <w:r>
              <w:rPr>
                <w:b/>
                <w:color w:val="FFFFFF"/>
                <w:sz w:val="16"/>
              </w:rPr>
              <w:t>1 Public</w:t>
            </w:r>
          </w:p>
        </w:tc>
        <w:tc>
          <w:tcPr>
            <w:tcW w:type="dxa" w:w="1038"/>
            <w:shd w:val="clear" w:color="auto" w:fill="0B3020"/>
          </w:tcPr>
          <w:p>
            <w:pPr>
              <w:spacing w:after="0"/>
            </w:pPr>
            <w:r>
              <w:rPr>
                <w:b/>
                <w:color w:val="FFFFFF"/>
                <w:sz w:val="16"/>
              </w:rPr>
              <w:t>2 PIE</w:t>
            </w:r>
          </w:p>
        </w:tc>
        <w:tc>
          <w:tcPr>
            <w:tcW w:type="dxa" w:w="1038"/>
            <w:shd w:val="clear" w:color="auto" w:fill="0B3020"/>
          </w:tcPr>
          <w:p>
            <w:pPr>
              <w:spacing w:after="0"/>
            </w:pPr>
            <w:r>
              <w:rPr>
                <w:b/>
                <w:color w:val="FFFFFF"/>
                <w:sz w:val="16"/>
              </w:rPr>
              <w:t>3 PPP</w:t>
            </w:r>
          </w:p>
        </w:tc>
        <w:tc>
          <w:tcPr>
            <w:tcW w:type="dxa" w:w="1038"/>
            <w:shd w:val="clear" w:color="auto" w:fill="0B3020"/>
          </w:tcPr>
          <w:p>
            <w:pPr>
              <w:spacing w:after="0"/>
            </w:pPr>
            <w:r>
              <w:rPr>
                <w:b/>
                <w:color w:val="FFFFFF"/>
                <w:sz w:val="16"/>
              </w:rPr>
              <w:t>4 Hybride</w:t>
            </w:r>
          </w:p>
        </w:tc>
        <w:tc>
          <w:tcPr>
            <w:tcW w:type="dxa" w:w="1038"/>
            <w:shd w:val="clear" w:color="auto" w:fill="0B3020"/>
          </w:tcPr>
          <w:p>
            <w:pPr>
              <w:spacing w:after="0"/>
            </w:pPr>
            <w:r>
              <w:rPr>
                <w:b/>
                <w:color w:val="FFFFFF"/>
                <w:sz w:val="16"/>
              </w:rPr>
              <w:t>5 Mixte</w:t>
            </w:r>
          </w:p>
        </w:tc>
      </w:tr>
      <w:tr>
        <w:tc>
          <w:tcPr>
            <w:tcW w:type="dxa" w:w="4448"/>
          </w:tcPr>
          <w:p>
            <w:pPr>
              <w:spacing w:after="0"/>
            </w:pPr>
            <w:r>
              <w:rPr>
                <w:color w:val="1D1D1D"/>
                <w:sz w:val="16"/>
              </w:rPr>
              <w:t>Fonds propres de l'État</w:t>
            </w:r>
          </w:p>
        </w:tc>
        <w:tc>
          <w:tcPr>
            <w:tcW w:type="dxa" w:w="1038"/>
          </w:tcPr>
          <w:p>
            <w:pPr>
              <w:spacing w:after="0"/>
            </w:pPr>
            <w:r>
              <w:rPr>
                <w:color w:val="1D1D1D"/>
                <w:sz w:val="16"/>
              </w:rPr>
              <w:t>15 %</w:t>
            </w:r>
          </w:p>
        </w:tc>
        <w:tc>
          <w:tcPr>
            <w:tcW w:type="dxa" w:w="1038"/>
          </w:tcPr>
          <w:p>
            <w:pPr>
              <w:spacing w:after="0"/>
            </w:pPr>
            <w:r>
              <w:rPr>
                <w:color w:val="1D1D1D"/>
                <w:sz w:val="16"/>
              </w:rPr>
              <w:t>0 %</w:t>
            </w:r>
          </w:p>
        </w:tc>
        <w:tc>
          <w:tcPr>
            <w:tcW w:type="dxa" w:w="1038"/>
          </w:tcPr>
          <w:p>
            <w:pPr>
              <w:spacing w:after="0"/>
            </w:pPr>
            <w:r>
              <w:rPr>
                <w:color w:val="1D1D1D"/>
                <w:sz w:val="16"/>
              </w:rPr>
              <w:t>10 %</w:t>
            </w:r>
          </w:p>
        </w:tc>
        <w:tc>
          <w:tcPr>
            <w:tcW w:type="dxa" w:w="1038"/>
          </w:tcPr>
          <w:p>
            <w:pPr>
              <w:spacing w:after="0"/>
            </w:pPr>
            <w:r>
              <w:rPr>
                <w:color w:val="1D1D1D"/>
                <w:sz w:val="16"/>
              </w:rPr>
              <w:t>0 %</w:t>
            </w:r>
          </w:p>
        </w:tc>
        <w:tc>
          <w:tcPr>
            <w:tcW w:type="dxa" w:w="1038"/>
          </w:tcPr>
          <w:p>
            <w:pPr>
              <w:spacing w:after="0"/>
            </w:pPr>
            <w:r>
              <w:rPr>
                <w:color w:val="1D1D1D"/>
                <w:sz w:val="16"/>
              </w:rPr>
              <w:t>5 %</w:t>
            </w:r>
          </w:p>
        </w:tc>
      </w:tr>
      <w:tr>
        <w:tc>
          <w:tcPr>
            <w:tcW w:type="dxa" w:w="4448"/>
            <w:shd w:val="clear" w:color="auto" w:fill="FAF8F2"/>
          </w:tcPr>
          <w:p>
            <w:pPr>
              <w:spacing w:after="0"/>
            </w:pPr>
            <w:r>
              <w:rPr>
                <w:color w:val="1D1D1D"/>
                <w:sz w:val="16"/>
              </w:rPr>
              <w:t>Subventions, financement de l'écart de viabilité (VGF), capital public</w:t>
            </w:r>
          </w:p>
        </w:tc>
        <w:tc>
          <w:tcPr>
            <w:tcW w:type="dxa" w:w="1038"/>
            <w:shd w:val="clear" w:color="auto" w:fill="FAF8F2"/>
          </w:tcPr>
          <w:p>
            <w:pPr>
              <w:spacing w:after="0"/>
            </w:pPr>
            <w:r>
              <w:rPr>
                <w:color w:val="1D1D1D"/>
                <w:sz w:val="16"/>
              </w:rPr>
              <w:t>0 %</w:t>
            </w:r>
          </w:p>
        </w:tc>
        <w:tc>
          <w:tcPr>
            <w:tcW w:type="dxa" w:w="1038"/>
            <w:shd w:val="clear" w:color="auto" w:fill="FAF8F2"/>
          </w:tcPr>
          <w:p>
            <w:pPr>
              <w:spacing w:after="0"/>
            </w:pPr>
            <w:r>
              <w:rPr>
                <w:color w:val="1D1D1D"/>
                <w:sz w:val="16"/>
              </w:rPr>
              <w:t>0 %</w:t>
            </w:r>
          </w:p>
        </w:tc>
        <w:tc>
          <w:tcPr>
            <w:tcW w:type="dxa" w:w="1038"/>
            <w:shd w:val="clear" w:color="auto" w:fill="FAF8F2"/>
          </w:tcPr>
          <w:p>
            <w:pPr>
              <w:spacing w:after="0"/>
            </w:pPr>
            <w:r>
              <w:rPr>
                <w:color w:val="1D1D1D"/>
                <w:sz w:val="16"/>
              </w:rPr>
              <w:t>5 %</w:t>
            </w:r>
          </w:p>
        </w:tc>
        <w:tc>
          <w:tcPr>
            <w:tcW w:type="dxa" w:w="1038"/>
            <w:shd w:val="clear" w:color="auto" w:fill="FAF8F2"/>
          </w:tcPr>
          <w:p>
            <w:pPr>
              <w:spacing w:after="0"/>
            </w:pPr>
            <w:r>
              <w:rPr>
                <w:color w:val="1D1D1D"/>
                <w:sz w:val="16"/>
              </w:rPr>
              <w:t>35 %</w:t>
            </w:r>
          </w:p>
        </w:tc>
        <w:tc>
          <w:tcPr>
            <w:tcW w:type="dxa" w:w="1038"/>
            <w:shd w:val="clear" w:color="auto" w:fill="FAF8F2"/>
          </w:tcPr>
          <w:p>
            <w:pPr>
              <w:spacing w:after="0"/>
            </w:pPr>
            <w:r>
              <w:rPr>
                <w:color w:val="1D1D1D"/>
                <w:sz w:val="16"/>
              </w:rPr>
              <w:t>8 %</w:t>
            </w:r>
          </w:p>
        </w:tc>
      </w:tr>
      <w:tr>
        <w:tc>
          <w:tcPr>
            <w:tcW w:type="dxa" w:w="4448"/>
          </w:tcPr>
          <w:p>
            <w:pPr>
              <w:spacing w:after="0"/>
            </w:pPr>
            <w:r>
              <w:rPr>
                <w:color w:val="1D1D1D"/>
                <w:sz w:val="16"/>
              </w:rPr>
              <w:t>Dette concessionnelle</w:t>
            </w:r>
          </w:p>
        </w:tc>
        <w:tc>
          <w:tcPr>
            <w:tcW w:type="dxa" w:w="1038"/>
          </w:tcPr>
          <w:p>
            <w:pPr>
              <w:spacing w:after="0"/>
            </w:pPr>
            <w:r>
              <w:rPr>
                <w:color w:val="1D1D1D"/>
                <w:sz w:val="16"/>
              </w:rPr>
              <w:t>55 %</w:t>
            </w:r>
          </w:p>
        </w:tc>
        <w:tc>
          <w:tcPr>
            <w:tcW w:type="dxa" w:w="1038"/>
          </w:tcPr>
          <w:p>
            <w:pPr>
              <w:spacing w:after="0"/>
            </w:pPr>
            <w:r>
              <w:rPr>
                <w:color w:val="1D1D1D"/>
                <w:sz w:val="16"/>
              </w:rPr>
              <w:t>0 %</w:t>
            </w:r>
          </w:p>
        </w:tc>
        <w:tc>
          <w:tcPr>
            <w:tcW w:type="dxa" w:w="1038"/>
          </w:tcPr>
          <w:p>
            <w:pPr>
              <w:spacing w:after="0"/>
            </w:pPr>
            <w:r>
              <w:rPr>
                <w:color w:val="1D1D1D"/>
                <w:sz w:val="16"/>
              </w:rPr>
              <w:t>30 %</w:t>
            </w:r>
          </w:p>
        </w:tc>
        <w:tc>
          <w:tcPr>
            <w:tcW w:type="dxa" w:w="1038"/>
          </w:tcPr>
          <w:p>
            <w:pPr>
              <w:spacing w:after="0"/>
            </w:pPr>
            <w:r>
              <w:rPr>
                <w:color w:val="1D1D1D"/>
                <w:sz w:val="16"/>
              </w:rPr>
              <w:t>25 %</w:t>
            </w:r>
          </w:p>
        </w:tc>
        <w:tc>
          <w:tcPr>
            <w:tcW w:type="dxa" w:w="1038"/>
          </w:tcPr>
          <w:p>
            <w:pPr>
              <w:spacing w:after="0"/>
            </w:pPr>
            <w:r>
              <w:rPr>
                <w:color w:val="1D1D1D"/>
                <w:sz w:val="16"/>
              </w:rPr>
              <w:t>35 %</w:t>
            </w:r>
          </w:p>
        </w:tc>
      </w:tr>
      <w:tr>
        <w:tc>
          <w:tcPr>
            <w:tcW w:type="dxa" w:w="4448"/>
            <w:shd w:val="clear" w:color="auto" w:fill="FAF8F2"/>
          </w:tcPr>
          <w:p>
            <w:pPr>
              <w:spacing w:after="0"/>
            </w:pPr>
            <w:r>
              <w:rPr>
                <w:color w:val="1D1D1D"/>
                <w:sz w:val="16"/>
              </w:rPr>
              <w:t>Plafond d'endettement (dette senior totale)</w:t>
            </w:r>
          </w:p>
        </w:tc>
        <w:tc>
          <w:tcPr>
            <w:tcW w:type="dxa" w:w="1038"/>
            <w:shd w:val="clear" w:color="auto" w:fill="FAF8F2"/>
          </w:tcPr>
          <w:p>
            <w:pPr>
              <w:spacing w:after="0"/>
            </w:pPr>
            <w:r>
              <w:rPr>
                <w:color w:val="1D1D1D"/>
                <w:sz w:val="16"/>
              </w:rPr>
              <w:t>85 %</w:t>
            </w:r>
          </w:p>
        </w:tc>
        <w:tc>
          <w:tcPr>
            <w:tcW w:type="dxa" w:w="1038"/>
            <w:shd w:val="clear" w:color="auto" w:fill="FAF8F2"/>
          </w:tcPr>
          <w:p>
            <w:pPr>
              <w:spacing w:after="0"/>
            </w:pPr>
            <w:r>
              <w:rPr>
                <w:color w:val="1D1D1D"/>
                <w:sz w:val="16"/>
              </w:rPr>
              <w:t>70 %</w:t>
            </w:r>
          </w:p>
        </w:tc>
        <w:tc>
          <w:tcPr>
            <w:tcW w:type="dxa" w:w="1038"/>
            <w:shd w:val="clear" w:color="auto" w:fill="FAF8F2"/>
          </w:tcPr>
          <w:p>
            <w:pPr>
              <w:spacing w:after="0"/>
            </w:pPr>
            <w:r>
              <w:rPr>
                <w:color w:val="1D1D1D"/>
                <w:sz w:val="16"/>
              </w:rPr>
              <w:t>75 %</w:t>
            </w:r>
          </w:p>
        </w:tc>
        <w:tc>
          <w:tcPr>
            <w:tcW w:type="dxa" w:w="1038"/>
            <w:shd w:val="clear" w:color="auto" w:fill="FAF8F2"/>
          </w:tcPr>
          <w:p>
            <w:pPr>
              <w:spacing w:after="0"/>
            </w:pPr>
            <w:r>
              <w:rPr>
                <w:color w:val="1D1D1D"/>
                <w:sz w:val="16"/>
              </w:rPr>
              <w:t>55 %</w:t>
            </w:r>
          </w:p>
        </w:tc>
        <w:tc>
          <w:tcPr>
            <w:tcW w:type="dxa" w:w="1038"/>
            <w:shd w:val="clear" w:color="auto" w:fill="FAF8F2"/>
          </w:tcPr>
          <w:p>
            <w:pPr>
              <w:spacing w:after="0"/>
            </w:pPr>
            <w:r>
              <w:rPr>
                <w:color w:val="1D1D1D"/>
                <w:sz w:val="16"/>
              </w:rPr>
              <w:t>72 %</w:t>
            </w:r>
          </w:p>
        </w:tc>
      </w:tr>
      <w:tr>
        <w:tc>
          <w:tcPr>
            <w:tcW w:type="dxa" w:w="4448"/>
          </w:tcPr>
          <w:p>
            <w:pPr>
              <w:spacing w:after="0"/>
            </w:pPr>
            <w:r>
              <w:rPr>
                <w:color w:val="1D1D1D"/>
                <w:sz w:val="16"/>
              </w:rPr>
              <w:t>Fonds propres privés maximum</w:t>
            </w:r>
          </w:p>
        </w:tc>
        <w:tc>
          <w:tcPr>
            <w:tcW w:type="dxa" w:w="1038"/>
          </w:tcPr>
          <w:p>
            <w:pPr>
              <w:spacing w:after="0"/>
            </w:pPr>
            <w:r>
              <w:rPr>
                <w:color w:val="1D1D1D"/>
                <w:sz w:val="16"/>
              </w:rPr>
              <w:t>0 %</w:t>
            </w:r>
          </w:p>
        </w:tc>
        <w:tc>
          <w:tcPr>
            <w:tcW w:type="dxa" w:w="1038"/>
          </w:tcPr>
          <w:p>
            <w:pPr>
              <w:spacing w:after="0"/>
            </w:pPr>
            <w:r>
              <w:rPr>
                <w:color w:val="1D1D1D"/>
                <w:sz w:val="16"/>
              </w:rPr>
              <w:t>35 %</w:t>
            </w:r>
          </w:p>
        </w:tc>
        <w:tc>
          <w:tcPr>
            <w:tcW w:type="dxa" w:w="1038"/>
          </w:tcPr>
          <w:p>
            <w:pPr>
              <w:spacing w:after="0"/>
            </w:pPr>
            <w:r>
              <w:rPr>
                <w:color w:val="1D1D1D"/>
                <w:sz w:val="16"/>
              </w:rPr>
              <w:t>20 %</w:t>
            </w:r>
          </w:p>
        </w:tc>
        <w:tc>
          <w:tcPr>
            <w:tcW w:type="dxa" w:w="1038"/>
          </w:tcPr>
          <w:p>
            <w:pPr>
              <w:spacing w:after="0"/>
            </w:pPr>
            <w:r>
              <w:rPr>
                <w:color w:val="1D1D1D"/>
                <w:sz w:val="16"/>
              </w:rPr>
              <w:t>25 %</w:t>
            </w:r>
          </w:p>
        </w:tc>
        <w:tc>
          <w:tcPr>
            <w:tcW w:type="dxa" w:w="1038"/>
          </w:tcPr>
          <w:p>
            <w:pPr>
              <w:spacing w:after="0"/>
            </w:pPr>
            <w:r>
              <w:rPr>
                <w:color w:val="1D1D1D"/>
                <w:sz w:val="16"/>
              </w:rPr>
              <w:t>25 %</w:t>
            </w:r>
          </w:p>
        </w:tc>
      </w:tr>
      <w:tr>
        <w:tc>
          <w:tcPr>
            <w:tcW w:type="dxa" w:w="4448"/>
            <w:shd w:val="clear" w:color="auto" w:fill="FAF8F2"/>
          </w:tcPr>
          <w:p>
            <w:pPr>
              <w:spacing w:after="0"/>
            </w:pPr>
            <w:r>
              <w:rPr>
                <w:color w:val="1D1D1D"/>
                <w:sz w:val="16"/>
              </w:rPr>
              <w:t>Apporteur des fonds propres résiduels</w:t>
            </w:r>
          </w:p>
        </w:tc>
        <w:tc>
          <w:tcPr>
            <w:tcW w:type="dxa" w:w="1038"/>
            <w:shd w:val="clear" w:color="auto" w:fill="FAF8F2"/>
          </w:tcPr>
          <w:p>
            <w:pPr>
              <w:spacing w:after="0"/>
            </w:pPr>
            <w:r>
              <w:rPr>
                <w:color w:val="1D1D1D"/>
                <w:sz w:val="16"/>
              </w:rPr>
              <w:t>État</w:t>
            </w:r>
          </w:p>
        </w:tc>
        <w:tc>
          <w:tcPr>
            <w:tcW w:type="dxa" w:w="1038"/>
            <w:shd w:val="clear" w:color="auto" w:fill="FAF8F2"/>
          </w:tcPr>
          <w:p>
            <w:pPr>
              <w:spacing w:after="0"/>
            </w:pPr>
            <w:r>
              <w:rPr>
                <w:color w:val="1D1D1D"/>
                <w:sz w:val="16"/>
              </w:rPr>
              <w:t>Privé</w:t>
            </w:r>
          </w:p>
        </w:tc>
        <w:tc>
          <w:tcPr>
            <w:tcW w:type="dxa" w:w="1038"/>
            <w:shd w:val="clear" w:color="auto" w:fill="FAF8F2"/>
          </w:tcPr>
          <w:p>
            <w:pPr>
              <w:spacing w:after="0"/>
            </w:pPr>
            <w:r>
              <w:rPr>
                <w:color w:val="1D1D1D"/>
                <w:sz w:val="16"/>
              </w:rPr>
              <w:t>Privé</w:t>
            </w:r>
          </w:p>
        </w:tc>
        <w:tc>
          <w:tcPr>
            <w:tcW w:type="dxa" w:w="1038"/>
            <w:shd w:val="clear" w:color="auto" w:fill="FAF8F2"/>
          </w:tcPr>
          <w:p>
            <w:pPr>
              <w:spacing w:after="0"/>
            </w:pPr>
            <w:r>
              <w:rPr>
                <w:color w:val="1D1D1D"/>
                <w:sz w:val="16"/>
              </w:rPr>
              <w:t>Privé</w:t>
            </w:r>
          </w:p>
        </w:tc>
        <w:tc>
          <w:tcPr>
            <w:tcW w:type="dxa" w:w="1038"/>
            <w:shd w:val="clear" w:color="auto" w:fill="FAF8F2"/>
          </w:tcPr>
          <w:p>
            <w:pPr>
              <w:spacing w:after="0"/>
            </w:pPr>
            <w:r>
              <w:rPr>
                <w:color w:val="1D1D1D"/>
                <w:sz w:val="16"/>
              </w:rPr>
              <w:t>Privé</w:t>
            </w:r>
          </w:p>
        </w:tc>
      </w:tr>
      <w:tr>
        <w:tc>
          <w:tcPr>
            <w:tcW w:type="dxa" w:w="4448"/>
          </w:tcPr>
          <w:p>
            <w:pPr>
              <w:spacing w:after="0"/>
            </w:pPr>
            <w:r>
              <w:rPr>
                <w:color w:val="1D1D1D"/>
                <w:sz w:val="16"/>
              </w:rPr>
              <w:t>Dette senior garantie par l'État</w:t>
            </w:r>
          </w:p>
        </w:tc>
        <w:tc>
          <w:tcPr>
            <w:tcW w:type="dxa" w:w="1038"/>
          </w:tcPr>
          <w:p>
            <w:pPr>
              <w:spacing w:after="0"/>
            </w:pPr>
            <w:r>
              <w:rPr>
                <w:color w:val="1D1D1D"/>
                <w:sz w:val="16"/>
              </w:rPr>
              <w:t>100 %</w:t>
            </w:r>
          </w:p>
        </w:tc>
        <w:tc>
          <w:tcPr>
            <w:tcW w:type="dxa" w:w="1038"/>
          </w:tcPr>
          <w:p>
            <w:pPr>
              <w:spacing w:after="0"/>
            </w:pPr>
            <w:r>
              <w:rPr>
                <w:color w:val="1D1D1D"/>
                <w:sz w:val="16"/>
              </w:rPr>
              <w:t>0 %</w:t>
            </w:r>
          </w:p>
        </w:tc>
        <w:tc>
          <w:tcPr>
            <w:tcW w:type="dxa" w:w="1038"/>
          </w:tcPr>
          <w:p>
            <w:pPr>
              <w:spacing w:after="0"/>
            </w:pPr>
            <w:r>
              <w:rPr>
                <w:color w:val="1D1D1D"/>
                <w:sz w:val="16"/>
              </w:rPr>
              <w:t>40 %</w:t>
            </w:r>
          </w:p>
        </w:tc>
        <w:tc>
          <w:tcPr>
            <w:tcW w:type="dxa" w:w="1038"/>
          </w:tcPr>
          <w:p>
            <w:pPr>
              <w:spacing w:after="0"/>
            </w:pPr>
            <w:r>
              <w:rPr>
                <w:color w:val="1D1D1D"/>
                <w:sz w:val="16"/>
              </w:rPr>
              <w:t>20 %</w:t>
            </w:r>
          </w:p>
        </w:tc>
        <w:tc>
          <w:tcPr>
            <w:tcW w:type="dxa" w:w="1038"/>
          </w:tcPr>
          <w:p>
            <w:pPr>
              <w:spacing w:after="0"/>
            </w:pPr>
            <w:r>
              <w:rPr>
                <w:color w:val="1D1D1D"/>
                <w:sz w:val="16"/>
              </w:rPr>
              <w:t>15 %</w:t>
            </w:r>
          </w:p>
        </w:tc>
      </w:tr>
      <w:tr>
        <w:tc>
          <w:tcPr>
            <w:tcW w:type="dxa" w:w="4448"/>
            <w:shd w:val="clear" w:color="auto" w:fill="FAF8F2"/>
          </w:tcPr>
          <w:p>
            <w:pPr>
              <w:spacing w:after="0"/>
            </w:pPr>
            <w:r>
              <w:rPr>
                <w:color w:val="1D1D1D"/>
                <w:sz w:val="16"/>
              </w:rPr>
              <w:t>Dette senior comptabilisée en dette publique</w:t>
            </w:r>
          </w:p>
        </w:tc>
        <w:tc>
          <w:tcPr>
            <w:tcW w:type="dxa" w:w="1038"/>
            <w:shd w:val="clear" w:color="auto" w:fill="FAF8F2"/>
          </w:tcPr>
          <w:p>
            <w:pPr>
              <w:spacing w:after="0"/>
            </w:pPr>
            <w:r>
              <w:rPr>
                <w:color w:val="1D1D1D"/>
                <w:sz w:val="16"/>
              </w:rPr>
              <w:t>100 %</w:t>
            </w:r>
          </w:p>
        </w:tc>
        <w:tc>
          <w:tcPr>
            <w:tcW w:type="dxa" w:w="1038"/>
            <w:shd w:val="clear" w:color="auto" w:fill="FAF8F2"/>
          </w:tcPr>
          <w:p>
            <w:pPr>
              <w:spacing w:after="0"/>
            </w:pPr>
            <w:r>
              <w:rPr>
                <w:color w:val="1D1D1D"/>
                <w:sz w:val="16"/>
              </w:rPr>
              <w:t>0 %</w:t>
            </w:r>
          </w:p>
        </w:tc>
        <w:tc>
          <w:tcPr>
            <w:tcW w:type="dxa" w:w="1038"/>
            <w:shd w:val="clear" w:color="auto" w:fill="FAF8F2"/>
          </w:tcPr>
          <w:p>
            <w:pPr>
              <w:spacing w:after="0"/>
            </w:pPr>
            <w:r>
              <w:rPr>
                <w:color w:val="1D1D1D"/>
                <w:sz w:val="16"/>
              </w:rPr>
              <w:t>0 %</w:t>
            </w:r>
          </w:p>
        </w:tc>
        <w:tc>
          <w:tcPr>
            <w:tcW w:type="dxa" w:w="1038"/>
            <w:shd w:val="clear" w:color="auto" w:fill="FAF8F2"/>
          </w:tcPr>
          <w:p>
            <w:pPr>
              <w:spacing w:after="0"/>
            </w:pPr>
            <w:r>
              <w:rPr>
                <w:color w:val="1D1D1D"/>
                <w:sz w:val="16"/>
              </w:rPr>
              <w:t>0 %</w:t>
            </w:r>
          </w:p>
        </w:tc>
        <w:tc>
          <w:tcPr>
            <w:tcW w:type="dxa" w:w="1038"/>
            <w:shd w:val="clear" w:color="auto" w:fill="FAF8F2"/>
          </w:tcPr>
          <w:p>
            <w:pPr>
              <w:spacing w:after="0"/>
            </w:pPr>
            <w:r>
              <w:rPr>
                <w:color w:val="1D1D1D"/>
                <w:sz w:val="16"/>
              </w:rPr>
              <w:t>0 %</w:t>
            </w:r>
          </w:p>
        </w:tc>
      </w:tr>
      <w:tr>
        <w:tc>
          <w:tcPr>
            <w:tcW w:type="dxa" w:w="4448"/>
          </w:tcPr>
          <w:p>
            <w:pPr>
              <w:spacing w:after="0"/>
            </w:pPr>
            <w:r>
              <w:rPr>
                <w:color w:val="1D1D1D"/>
                <w:sz w:val="16"/>
              </w:rPr>
              <w:t>Garantie souveraine du CAE</w:t>
            </w:r>
          </w:p>
        </w:tc>
        <w:tc>
          <w:tcPr>
            <w:tcW w:type="dxa" w:w="1038"/>
          </w:tcPr>
          <w:p>
            <w:pPr>
              <w:spacing w:after="0"/>
            </w:pPr>
            <w:r>
              <w:rPr>
                <w:color w:val="1D1D1D"/>
                <w:sz w:val="16"/>
              </w:rPr>
              <w:t>Non</w:t>
            </w:r>
          </w:p>
        </w:tc>
        <w:tc>
          <w:tcPr>
            <w:tcW w:type="dxa" w:w="1038"/>
          </w:tcPr>
          <w:p>
            <w:pPr>
              <w:spacing w:after="0"/>
            </w:pPr>
            <w:r>
              <w:rPr>
                <w:color w:val="1D1D1D"/>
                <w:sz w:val="16"/>
              </w:rPr>
              <w:t>Oui</w:t>
            </w:r>
          </w:p>
        </w:tc>
        <w:tc>
          <w:tcPr>
            <w:tcW w:type="dxa" w:w="1038"/>
          </w:tcPr>
          <w:p>
            <w:pPr>
              <w:spacing w:after="0"/>
            </w:pPr>
            <w:r>
              <w:rPr>
                <w:color w:val="1D1D1D"/>
                <w:sz w:val="16"/>
              </w:rPr>
              <w:t>Oui</w:t>
            </w:r>
          </w:p>
        </w:tc>
        <w:tc>
          <w:tcPr>
            <w:tcW w:type="dxa" w:w="1038"/>
          </w:tcPr>
          <w:p>
            <w:pPr>
              <w:spacing w:after="0"/>
            </w:pPr>
            <w:r>
              <w:rPr>
                <w:color w:val="1D1D1D"/>
                <w:sz w:val="16"/>
              </w:rPr>
              <w:t>Oui</w:t>
            </w:r>
          </w:p>
        </w:tc>
        <w:tc>
          <w:tcPr>
            <w:tcW w:type="dxa" w:w="1038"/>
          </w:tcPr>
          <w:p>
            <w:pPr>
              <w:spacing w:after="0"/>
            </w:pPr>
            <w:r>
              <w:rPr>
                <w:color w:val="1D1D1D"/>
                <w:sz w:val="16"/>
              </w:rPr>
              <w:t>Oui</w:t>
            </w:r>
          </w:p>
        </w:tc>
      </w:tr>
      <w:tr>
        <w:tc>
          <w:tcPr>
            <w:tcW w:type="dxa" w:w="4448"/>
            <w:shd w:val="clear" w:color="auto" w:fill="FAF8F2"/>
          </w:tcPr>
          <w:p>
            <w:pPr>
              <w:spacing w:after="0"/>
            </w:pPr>
            <w:r>
              <w:rPr>
                <w:color w:val="1D1D1D"/>
                <w:sz w:val="16"/>
              </w:rPr>
              <w:t>Obligation d'indemnité de résiliation</w:t>
            </w:r>
          </w:p>
        </w:tc>
        <w:tc>
          <w:tcPr>
            <w:tcW w:type="dxa" w:w="1038"/>
            <w:shd w:val="clear" w:color="auto" w:fill="FAF8F2"/>
          </w:tcPr>
          <w:p>
            <w:pPr>
              <w:spacing w:after="0"/>
            </w:pPr>
            <w:r>
              <w:rPr>
                <w:color w:val="1D1D1D"/>
                <w:sz w:val="16"/>
              </w:rPr>
              <w:t>Non</w:t>
            </w:r>
          </w:p>
        </w:tc>
        <w:tc>
          <w:tcPr>
            <w:tcW w:type="dxa" w:w="1038"/>
            <w:shd w:val="clear" w:color="auto" w:fill="FAF8F2"/>
          </w:tcPr>
          <w:p>
            <w:pPr>
              <w:spacing w:after="0"/>
            </w:pPr>
            <w:r>
              <w:rPr>
                <w:color w:val="1D1D1D"/>
                <w:sz w:val="16"/>
              </w:rPr>
              <w:t>Oui</w:t>
            </w:r>
          </w:p>
        </w:tc>
        <w:tc>
          <w:tcPr>
            <w:tcW w:type="dxa" w:w="1038"/>
            <w:shd w:val="clear" w:color="auto" w:fill="FAF8F2"/>
          </w:tcPr>
          <w:p>
            <w:pPr>
              <w:spacing w:after="0"/>
            </w:pPr>
            <w:r>
              <w:rPr>
                <w:color w:val="1D1D1D"/>
                <w:sz w:val="16"/>
              </w:rPr>
              <w:t>Oui</w:t>
            </w:r>
          </w:p>
        </w:tc>
        <w:tc>
          <w:tcPr>
            <w:tcW w:type="dxa" w:w="1038"/>
            <w:shd w:val="clear" w:color="auto" w:fill="FAF8F2"/>
          </w:tcPr>
          <w:p>
            <w:pPr>
              <w:spacing w:after="0"/>
            </w:pPr>
            <w:r>
              <w:rPr>
                <w:color w:val="1D1D1D"/>
                <w:sz w:val="16"/>
              </w:rPr>
              <w:t>Oui</w:t>
            </w:r>
          </w:p>
        </w:tc>
        <w:tc>
          <w:tcPr>
            <w:tcW w:type="dxa" w:w="1038"/>
            <w:shd w:val="clear" w:color="auto" w:fill="FAF8F2"/>
          </w:tcPr>
          <w:p>
            <w:pPr>
              <w:spacing w:after="0"/>
            </w:pPr>
            <w:r>
              <w:rPr>
                <w:color w:val="1D1D1D"/>
                <w:sz w:val="16"/>
              </w:rPr>
              <w:t>Oui</w:t>
            </w:r>
          </w:p>
        </w:tc>
      </w:tr>
      <w:tr>
        <w:tc>
          <w:tcPr>
            <w:tcW w:type="dxa" w:w="4448"/>
          </w:tcPr>
          <w:p>
            <w:pPr>
              <w:spacing w:after="0"/>
            </w:pPr>
            <w:r>
              <w:rPr>
                <w:color w:val="1D1D1D"/>
                <w:sz w:val="16"/>
              </w:rPr>
              <w:t>Couverture du risque de convertibilité des devises</w:t>
            </w:r>
          </w:p>
        </w:tc>
        <w:tc>
          <w:tcPr>
            <w:tcW w:type="dxa" w:w="1038"/>
          </w:tcPr>
          <w:p>
            <w:pPr>
              <w:spacing w:after="0"/>
            </w:pPr>
            <w:r>
              <w:rPr>
                <w:color w:val="1D1D1D"/>
                <w:sz w:val="16"/>
              </w:rPr>
              <w:t>0 %</w:t>
            </w:r>
          </w:p>
        </w:tc>
        <w:tc>
          <w:tcPr>
            <w:tcW w:type="dxa" w:w="1038"/>
          </w:tcPr>
          <w:p>
            <w:pPr>
              <w:spacing w:after="0"/>
            </w:pPr>
            <w:r>
              <w:rPr>
                <w:color w:val="1D1D1D"/>
                <w:sz w:val="16"/>
              </w:rPr>
              <w:t>100 %</w:t>
            </w:r>
          </w:p>
        </w:tc>
        <w:tc>
          <w:tcPr>
            <w:tcW w:type="dxa" w:w="1038"/>
          </w:tcPr>
          <w:p>
            <w:pPr>
              <w:spacing w:after="0"/>
            </w:pPr>
            <w:r>
              <w:rPr>
                <w:color w:val="1D1D1D"/>
                <w:sz w:val="16"/>
              </w:rPr>
              <w:t>100 %</w:t>
            </w:r>
          </w:p>
        </w:tc>
        <w:tc>
          <w:tcPr>
            <w:tcW w:type="dxa" w:w="1038"/>
          </w:tcPr>
          <w:p>
            <w:pPr>
              <w:spacing w:after="0"/>
            </w:pPr>
            <w:r>
              <w:rPr>
                <w:color w:val="1D1D1D"/>
                <w:sz w:val="16"/>
              </w:rPr>
              <w:t>100 %</w:t>
            </w:r>
          </w:p>
        </w:tc>
        <w:tc>
          <w:tcPr>
            <w:tcW w:type="dxa" w:w="1038"/>
          </w:tcPr>
          <w:p>
            <w:pPr>
              <w:spacing w:after="0"/>
            </w:pPr>
            <w:r>
              <w:rPr>
                <w:color w:val="1D1D1D"/>
                <w:sz w:val="16"/>
              </w:rPr>
              <w:t>50 %</w:t>
            </w:r>
          </w:p>
        </w:tc>
      </w:tr>
      <w:tr>
        <w:tc>
          <w:tcPr>
            <w:tcW w:type="dxa" w:w="4448"/>
            <w:shd w:val="clear" w:color="auto" w:fill="FAF8F2"/>
          </w:tcPr>
          <w:p>
            <w:pPr>
              <w:spacing w:after="0"/>
            </w:pPr>
            <w:r>
              <w:rPr>
                <w:color w:val="1D1D1D"/>
                <w:sz w:val="16"/>
              </w:rPr>
              <w:t>Taux concessionnel / différé / durée</w:t>
            </w:r>
          </w:p>
        </w:tc>
        <w:tc>
          <w:tcPr>
            <w:tcW w:type="dxa" w:w="1038"/>
            <w:shd w:val="clear" w:color="auto" w:fill="FAF8F2"/>
          </w:tcPr>
          <w:p>
            <w:pPr>
              <w:spacing w:after="0"/>
            </w:pPr>
            <w:r>
              <w:rPr>
                <w:color w:val="1D1D1D"/>
                <w:sz w:val="16"/>
              </w:rPr>
              <w:t>2,0 % / 5 / 20</w:t>
            </w:r>
          </w:p>
        </w:tc>
        <w:tc>
          <w:tcPr>
            <w:tcW w:type="dxa" w:w="1038"/>
            <w:shd w:val="clear" w:color="auto" w:fill="FAF8F2"/>
          </w:tcPr>
          <w:p>
            <w:pPr>
              <w:spacing w:after="0"/>
            </w:pPr>
            <w:r>
              <w:rPr>
                <w:color w:val="1D1D1D"/>
                <w:sz w:val="16"/>
              </w:rPr>
              <w:t>3,0 % / 5 / 20</w:t>
            </w:r>
          </w:p>
        </w:tc>
        <w:tc>
          <w:tcPr>
            <w:tcW w:type="dxa" w:w="1038"/>
            <w:shd w:val="clear" w:color="auto" w:fill="FAF8F2"/>
          </w:tcPr>
          <w:p>
            <w:pPr>
              <w:spacing w:after="0"/>
            </w:pPr>
            <w:r>
              <w:rPr>
                <w:color w:val="1D1D1D"/>
                <w:sz w:val="16"/>
              </w:rPr>
              <w:t>3,0 % / 5 / 20</w:t>
            </w:r>
          </w:p>
        </w:tc>
        <w:tc>
          <w:tcPr>
            <w:tcW w:type="dxa" w:w="1038"/>
            <w:shd w:val="clear" w:color="auto" w:fill="FAF8F2"/>
          </w:tcPr>
          <w:p>
            <w:pPr>
              <w:spacing w:after="0"/>
            </w:pPr>
            <w:r>
              <w:rPr>
                <w:color w:val="1D1D1D"/>
                <w:sz w:val="16"/>
              </w:rPr>
              <w:t>3,0 % / 5 / 20</w:t>
            </w:r>
          </w:p>
        </w:tc>
        <w:tc>
          <w:tcPr>
            <w:tcW w:type="dxa" w:w="1038"/>
            <w:shd w:val="clear" w:color="auto" w:fill="FAF8F2"/>
          </w:tcPr>
          <w:p>
            <w:pPr>
              <w:spacing w:after="0"/>
            </w:pPr>
            <w:r>
              <w:rPr>
                <w:color w:val="1D1D1D"/>
                <w:sz w:val="16"/>
              </w:rPr>
              <w:t>2,5 % / 5 / 20</w:t>
            </w:r>
          </w:p>
        </w:tc>
      </w:tr>
      <w:tr>
        <w:tc>
          <w:tcPr>
            <w:tcW w:type="dxa" w:w="4448"/>
          </w:tcPr>
          <w:p>
            <w:pPr>
              <w:spacing w:after="0"/>
            </w:pPr>
            <w:r>
              <w:rPr>
                <w:color w:val="1D1D1D"/>
                <w:sz w:val="16"/>
              </w:rPr>
              <w:t>Taux commercial / maturité</w:t>
            </w:r>
          </w:p>
        </w:tc>
        <w:tc>
          <w:tcPr>
            <w:tcW w:type="dxa" w:w="1038"/>
          </w:tcPr>
          <w:p>
            <w:pPr>
              <w:spacing w:after="0"/>
            </w:pPr>
            <w:r>
              <w:rPr>
                <w:color w:val="1D1D1D"/>
                <w:sz w:val="16"/>
              </w:rPr>
              <w:t>7,5 % / 15</w:t>
            </w:r>
          </w:p>
        </w:tc>
        <w:tc>
          <w:tcPr>
            <w:tcW w:type="dxa" w:w="1038"/>
          </w:tcPr>
          <w:p>
            <w:pPr>
              <w:spacing w:after="0"/>
            </w:pPr>
            <w:r>
              <w:rPr>
                <w:color w:val="1D1D1D"/>
                <w:sz w:val="16"/>
              </w:rPr>
              <w:t>8,0 % / 16</w:t>
            </w:r>
          </w:p>
        </w:tc>
        <w:tc>
          <w:tcPr>
            <w:tcW w:type="dxa" w:w="1038"/>
          </w:tcPr>
          <w:p>
            <w:pPr>
              <w:spacing w:after="0"/>
            </w:pPr>
            <w:r>
              <w:rPr>
                <w:color w:val="1D1D1D"/>
                <w:sz w:val="16"/>
              </w:rPr>
              <w:t>7,5 % / 16</w:t>
            </w:r>
          </w:p>
        </w:tc>
        <w:tc>
          <w:tcPr>
            <w:tcW w:type="dxa" w:w="1038"/>
          </w:tcPr>
          <w:p>
            <w:pPr>
              <w:spacing w:after="0"/>
            </w:pPr>
            <w:r>
              <w:rPr>
                <w:color w:val="1D1D1D"/>
                <w:sz w:val="16"/>
              </w:rPr>
              <w:t>7,5 % / 16</w:t>
            </w:r>
          </w:p>
        </w:tc>
        <w:tc>
          <w:tcPr>
            <w:tcW w:type="dxa" w:w="1038"/>
          </w:tcPr>
          <w:p>
            <w:pPr>
              <w:spacing w:after="0"/>
            </w:pPr>
            <w:r>
              <w:rPr>
                <w:color w:val="1D1D1D"/>
                <w:sz w:val="16"/>
              </w:rPr>
              <w:t>7,2 % / 18</w:t>
            </w:r>
          </w:p>
        </w:tc>
      </w:tr>
      <w:tr>
        <w:tc>
          <w:tcPr>
            <w:tcW w:type="dxa" w:w="4448"/>
            <w:shd w:val="clear" w:color="auto" w:fill="FAF8F2"/>
          </w:tcPr>
          <w:p>
            <w:pPr>
              <w:spacing w:after="0"/>
            </w:pPr>
            <w:r>
              <w:rPr>
                <w:color w:val="1D1D1D"/>
                <w:sz w:val="16"/>
              </w:rPr>
              <w:t>DSCR de dimensionnement</w:t>
            </w:r>
          </w:p>
        </w:tc>
        <w:tc>
          <w:tcPr>
            <w:tcW w:type="dxa" w:w="1038"/>
            <w:shd w:val="clear" w:color="auto" w:fill="FAF8F2"/>
          </w:tcPr>
          <w:p>
            <w:pPr>
              <w:spacing w:after="0"/>
            </w:pPr>
            <w:r>
              <w:rPr>
                <w:color w:val="1D1D1D"/>
                <w:sz w:val="16"/>
              </w:rPr>
              <w:t>1,20</w:t>
            </w:r>
          </w:p>
        </w:tc>
        <w:tc>
          <w:tcPr>
            <w:tcW w:type="dxa" w:w="1038"/>
            <w:shd w:val="clear" w:color="auto" w:fill="FAF8F2"/>
          </w:tcPr>
          <w:p>
            <w:pPr>
              <w:spacing w:after="0"/>
            </w:pPr>
            <w:r>
              <w:rPr>
                <w:color w:val="1D1D1D"/>
                <w:sz w:val="16"/>
              </w:rPr>
              <w:t>1,35</w:t>
            </w:r>
          </w:p>
        </w:tc>
        <w:tc>
          <w:tcPr>
            <w:tcW w:type="dxa" w:w="1038"/>
            <w:shd w:val="clear" w:color="auto" w:fill="FAF8F2"/>
          </w:tcPr>
          <w:p>
            <w:pPr>
              <w:spacing w:after="0"/>
            </w:pPr>
            <w:r>
              <w:rPr>
                <w:color w:val="1D1D1D"/>
                <w:sz w:val="16"/>
              </w:rPr>
              <w:t>1,30</w:t>
            </w:r>
          </w:p>
        </w:tc>
        <w:tc>
          <w:tcPr>
            <w:tcW w:type="dxa" w:w="1038"/>
            <w:shd w:val="clear" w:color="auto" w:fill="FAF8F2"/>
          </w:tcPr>
          <w:p>
            <w:pPr>
              <w:spacing w:after="0"/>
            </w:pPr>
            <w:r>
              <w:rPr>
                <w:color w:val="1D1D1D"/>
                <w:sz w:val="16"/>
              </w:rPr>
              <w:t>1,30</w:t>
            </w:r>
          </w:p>
        </w:tc>
        <w:tc>
          <w:tcPr>
            <w:tcW w:type="dxa" w:w="1038"/>
            <w:shd w:val="clear" w:color="auto" w:fill="FAF8F2"/>
          </w:tcPr>
          <w:p>
            <w:pPr>
              <w:spacing w:after="0"/>
            </w:pPr>
            <w:r>
              <w:rPr>
                <w:color w:val="1D1D1D"/>
                <w:sz w:val="16"/>
              </w:rPr>
              <w:t>1,30</w:t>
            </w:r>
          </w:p>
        </w:tc>
      </w:tr>
      <w:tr>
        <w:tc>
          <w:tcPr>
            <w:tcW w:type="dxa" w:w="4448"/>
          </w:tcPr>
          <w:p>
            <w:pPr>
              <w:spacing w:after="0"/>
            </w:pPr>
            <w:r>
              <w:rPr>
                <w:color w:val="1D1D1D"/>
                <w:sz w:val="16"/>
              </w:rPr>
              <w:t>TRI cible des fonds propres privés</w:t>
            </w:r>
          </w:p>
        </w:tc>
        <w:tc>
          <w:tcPr>
            <w:tcW w:type="dxa" w:w="1038"/>
          </w:tcPr>
          <w:p>
            <w:pPr>
              <w:spacing w:after="0"/>
            </w:pPr>
            <w:r>
              <w:rPr>
                <w:color w:val="1D1D1D"/>
                <w:sz w:val="16"/>
              </w:rPr>
              <w:t>10 %</w:t>
            </w:r>
          </w:p>
        </w:tc>
        <w:tc>
          <w:tcPr>
            <w:tcW w:type="dxa" w:w="1038"/>
          </w:tcPr>
          <w:p>
            <w:pPr>
              <w:spacing w:after="0"/>
            </w:pPr>
            <w:r>
              <w:rPr>
                <w:color w:val="1D1D1D"/>
                <w:sz w:val="16"/>
              </w:rPr>
              <w:t>15 %</w:t>
            </w:r>
          </w:p>
        </w:tc>
        <w:tc>
          <w:tcPr>
            <w:tcW w:type="dxa" w:w="1038"/>
          </w:tcPr>
          <w:p>
            <w:pPr>
              <w:spacing w:after="0"/>
            </w:pPr>
            <w:r>
              <w:rPr>
                <w:color w:val="1D1D1D"/>
                <w:sz w:val="16"/>
              </w:rPr>
              <w:t>14 %</w:t>
            </w:r>
          </w:p>
        </w:tc>
        <w:tc>
          <w:tcPr>
            <w:tcW w:type="dxa" w:w="1038"/>
          </w:tcPr>
          <w:p>
            <w:pPr>
              <w:spacing w:after="0"/>
            </w:pPr>
            <w:r>
              <w:rPr>
                <w:color w:val="1D1D1D"/>
                <w:sz w:val="16"/>
              </w:rPr>
              <w:t>14 %</w:t>
            </w:r>
          </w:p>
        </w:tc>
        <w:tc>
          <w:tcPr>
            <w:tcW w:type="dxa" w:w="1038"/>
          </w:tcPr>
          <w:p>
            <w:pPr>
              <w:spacing w:after="0"/>
            </w:pPr>
            <w:r>
              <w:rPr>
                <w:color w:val="1D1D1D"/>
                <w:sz w:val="16"/>
              </w:rPr>
              <w:t>13 %</w:t>
            </w:r>
          </w:p>
        </w:tc>
      </w:tr>
    </w:tbl>
    <w:p>
      <w:pPr>
        <w:spacing w:after="40"/>
      </w:pPr>
    </w:p>
    <w:p>
      <w:pPr>
        <w:jc w:val="both"/>
      </w:pPr>
      <w:r>
        <w:rPr/>
        <w:t>Les pourcentages s'entendent en proportion de la base de financement. Conditions communes : DSCR de blocage des distributions (lock-up) de 1,10x, commissions de mise en place et d'engagement de 2 % de la dette senior, DSRA égal à six mois du service de la dette de l'année suivante. Un contrôle de structure vérifie que les subventions, les fonds propres de l'État, la dette maximale et les fonds propres privés maximum peuvent couvrir 100 % du besoin.</w:t>
      </w:r>
    </w:p>
    <w:p>
      <w:pPr>
        <w:jc w:val="both"/>
      </w:pPr>
      <w:r>
        <w:rPr/>
        <w:t>La comparaison analytique en temps réel est un filtre, elle ne remplace pas le moteur de calcul complet :</w:t>
      </w:r>
    </w:p>
    <w:p>
      <w:pPr>
        <w:spacing w:after="0"/>
        <w:ind w:left="283"/>
      </w:pPr>
      <w:r>
        <w:rPr>
          <w:rFonts w:ascii="Courier New" w:hAnsi="Courier New"/>
          <w:sz w:val="17"/>
        </w:rPr>
        <w:t>WACC     = (goveq+govx)*gov_disc+conc*rc+comm*rm+priv*hurdle/(1-tax_rate)</w:t>
      </w:r>
    </w:p>
    <w:p>
      <w:pPr>
        <w:spacing w:after="0"/>
        <w:ind w:left="283"/>
      </w:pPr>
      <w:r>
        <w:rPr>
          <w:rFonts w:ascii="Courier New" w:hAnsi="Courier New"/>
          <w:sz w:val="17"/>
        </w:rPr>
        <w:t>WACC_ex  = WACC/(1-grant)</w:t>
      </w:r>
    </w:p>
    <w:p>
      <w:pPr>
        <w:spacing w:after="0"/>
        <w:ind w:left="283"/>
      </w:pPr>
      <w:r>
        <w:rPr>
          <w:rFonts w:ascii="Courier New" w:hAnsi="Courier New"/>
          <w:sz w:val="17"/>
        </w:rPr>
        <w:t>CRF      = WACC_ex/(1-(1+WACC_ex)^-ops_years)</w:t>
      </w:r>
    </w:p>
    <w:p>
      <w:pPr>
        <w:spacing w:after="0"/>
        <w:ind w:left="283"/>
      </w:pPr>
      <w:r>
        <w:rPr>
          <w:rFonts w:ascii="Courier New" w:hAnsi="Courier New"/>
          <w:sz w:val="17"/>
        </w:rPr>
        <w:t>tariff   = (fund_base*(1+maxdebt*(idc_km+upfront_fee))*(1-grant)*CRF+opex_y2)/p50*1000</w:t>
      </w:r>
    </w:p>
    <w:p>
      <w:pPr>
        <w:spacing w:after="0"/>
        <w:ind w:left="283"/>
      </w:pPr>
      <w:r>
        <w:rPr>
          <w:rFonts w:ascii="Courier New" w:hAnsi="Courier New"/>
          <w:sz w:val="17"/>
        </w:rPr>
        <w:t>exposure = public capital+on-budget debt+MAX(guaranteed debt+PPA guarantee,termination)</w:t>
      </w:r>
    </w:p>
    <w:p>
      <w:pPr>
        <w:spacing w:after="40"/>
      </w:pPr>
    </w:p>
    <w:p>
      <w:pPr>
        <w:jc w:val="both"/>
      </w:pPr>
      <w:r>
        <w:rPr/>
        <w:t>où la dette commerciale est supposée égale au plafond d'endettement moins la dette concessionnelle. Les chiffres à citer sont ceux de la simulation figée du moteur complet sur la même feuille et du tarif requis calculé par le programme d'exécution pour les structures 2 à 5.</w:t>
      </w:r>
    </w:p>
    <w:p>
      <w:pPr>
        <w:pStyle w:val="Heading2"/>
      </w:pPr>
      <w:r>
        <w:t>6.9 Dimensionnement de la dette (17_PROJECT_FINANCE, 18_DEBT)</w:t>
      </w:r>
    </w:p>
    <w:p>
      <w:pPr>
        <w:jc w:val="both"/>
      </w:pPr>
      <w:r>
        <w:rPr>
          <w:b/>
        </w:rPr>
        <w:t>Assiette de financement et emplois.</w:t>
      </w:r>
    </w:p>
    <w:p>
      <w:pPr>
        <w:spacing w:after="0"/>
        <w:ind w:left="283"/>
      </w:pPr>
      <w:r>
        <w:rPr>
          <w:rFonts w:ascii="Courier New" w:hAnsi="Courier New"/>
          <w:sz w:val="17"/>
        </w:rPr>
        <w:t>fund_base = u_capex+u_tx+u_devprem        (coût de la centrale en nominal, transport du projet pendant la construction, prime de développement)</w:t>
      </w:r>
    </w:p>
    <w:p>
      <w:pPr>
        <w:spacing w:after="0"/>
        <w:ind w:left="283"/>
      </w:pPr>
      <w:r>
        <w:rPr>
          <w:rFonts w:ascii="Courier New" w:hAnsi="Courier New"/>
          <w:sz w:val="17"/>
        </w:rPr>
        <w:t>uses      = fund_base+u_idc+u_fee+u_dsra</w:t>
      </w:r>
    </w:p>
    <w:p>
      <w:pPr>
        <w:spacing w:after="0"/>
        <w:ind w:left="283"/>
      </w:pPr>
      <w:r>
        <w:rPr>
          <w:rFonts w:ascii="Courier New" w:hAnsi="Courier New"/>
          <w:sz w:val="17"/>
        </w:rPr>
        <w:t>u_fee     = upfront_fee*(debt_c+debt_m)</w:t>
      </w:r>
    </w:p>
    <w:p>
      <w:pPr>
        <w:spacing w:after="40"/>
      </w:pPr>
    </w:p>
    <w:p>
      <w:pPr>
        <w:jc w:val="both"/>
      </w:pPr>
      <w:r>
        <w:rPr/>
        <w:t>Kasiri : 164,8 + 17,8 + 4,7 = assiette de financement de 187,3 ; intérêts intercalaires (IDC) 17,4 ; commissions 2,9 ; dotation initiale du compte de réserve du service de la dette (DSRA) 7,3 ; total des emplois 215,0.</w:t>
      </w:r>
    </w:p>
    <w:p>
      <w:pPr>
        <w:jc w:val="both"/>
      </w:pPr>
      <w:r>
        <w:rPr>
          <w:b/>
        </w:rPr>
        <w:t>Facteurs d'IDC sous forme fermée.</w:t>
      </w:r>
      <w:r>
        <w:rPr/>
        <w:t xml:space="preserve"> La dette est tirée au prorata de la part de dépenses de la centrale, et les intérêts courent sur le solde d'ouverture augmenté de la moitié du tirage de l'année. Les IDC par dollar de chaque tranche sont donc une constante :</w:t>
      </w:r>
    </w:p>
    <w:p>
      <w:pPr>
        <w:spacing w:after="0"/>
        <w:ind w:left="283"/>
      </w:pPr>
      <w:r>
        <w:rPr>
          <w:rFonts w:ascii="Courier New" w:hAnsi="Courier New"/>
          <w:sz w:val="17"/>
        </w:rPr>
        <w:t>idc_kc = str_rc*SUMPRODUCT(consflag,cumsh-0.5*share)</w:t>
      </w:r>
    </w:p>
    <w:p>
      <w:pPr>
        <w:spacing w:after="0"/>
        <w:ind w:left="283"/>
      </w:pPr>
      <w:r>
        <w:rPr>
          <w:rFonts w:ascii="Courier New" w:hAnsi="Courier New"/>
          <w:sz w:val="17"/>
        </w:rPr>
        <w:t>idc_km = rm_eff*SUMPRODUCT(consflag,cumsh-0.5*share)</w:t>
      </w:r>
    </w:p>
    <w:p>
      <w:pPr>
        <w:spacing w:after="0"/>
        <w:ind w:left="283"/>
      </w:pPr>
      <w:r>
        <w:rPr>
          <w:rFonts w:ascii="Courier New" w:hAnsi="Courier New"/>
          <w:sz w:val="17"/>
        </w:rPr>
        <w:t>rm_eff = str_rm+eff_rate_add*(1-hedge)</w:t>
      </w:r>
    </w:p>
    <w:p>
      <w:pPr>
        <w:spacing w:after="40"/>
      </w:pPr>
    </w:p>
    <w:p>
      <w:pPr>
        <w:jc w:val="both"/>
      </w:pPr>
      <w:r>
        <w:rPr/>
        <w:t xml:space="preserve">Pour Kasiri, la somme vaut 1,5, d'où </w:t>
      </w:r>
      <w:r>
        <w:rPr>
          <w:rFonts w:ascii="Courier New" w:hAnsi="Courier New"/>
        </w:rPr>
        <w:t>idc_km</w:t>
      </w:r>
      <w:r>
        <w:rPr/>
        <w:t xml:space="preserve"> = 0,12.</w:t>
      </w:r>
    </w:p>
    <w:p>
      <w:pPr>
        <w:jc w:val="both"/>
      </w:pPr>
      <w:r>
        <w:rPr>
          <w:b/>
        </w:rPr>
        <w:t>Flux de trésorerie disponibles pour le service de la dette (CFADS) du cas prêteurs et sculptage.</w:t>
      </w:r>
      <w:r>
        <w:rPr/>
        <w:t xml:space="preserve"> Le cas prêteurs retient l'impôt et l'amortissement hors effet de levier, sans IDC ni commissions, ce qui évite toute circularité dans le dimensionnement :</w:t>
      </w:r>
    </w:p>
    <w:p>
      <w:pPr>
        <w:spacing w:after="0"/>
        <w:ind w:left="283"/>
      </w:pPr>
      <w:r>
        <w:rPr>
          <w:rFonts w:ascii="Courier New" w:hAnsi="Courier New"/>
          <w:sz w:val="17"/>
        </w:rPr>
        <w:t>cfads_len = rev_len-opex-o_roy_len-IF(opyr&gt;tax_hol,tax_rate*MAX(0,rev_len-opex-o_roy_len-dep_len),0)</w:t>
      </w:r>
    </w:p>
    <w:p>
      <w:pPr>
        <w:spacing w:after="0"/>
        <w:ind w:left="283"/>
      </w:pPr>
      <w:r>
        <w:rPr>
          <w:rFonts w:ascii="Courier New" w:hAnsi="Courier New"/>
          <w:sz w:val="17"/>
        </w:rPr>
        <w:t>inloan    = IF(AND(opyr&gt;=1,opyr&lt;=str_nm),1,0)</w:t>
      </w:r>
    </w:p>
    <w:p>
      <w:pPr>
        <w:spacing w:after="0"/>
        <w:ind w:left="283"/>
      </w:pPr>
      <w:r>
        <w:rPr>
          <w:rFonts w:ascii="Courier New" w:hAnsi="Courier New"/>
          <w:sz w:val="17"/>
        </w:rPr>
        <w:t>dfm       = IF(opyr&gt;=1,1/(1+rm_eff)^opyr,0)</w:t>
      </w:r>
    </w:p>
    <w:p>
      <w:pPr>
        <w:spacing w:after="0"/>
        <w:ind w:left="283"/>
      </w:pPr>
      <w:r>
        <w:rPr>
          <w:rFonts w:ascii="Courier New" w:hAnsi="Courier New"/>
          <w:sz w:val="17"/>
        </w:rPr>
        <w:t>sculpt    = inloan*MAX(0,cfads_len/str_dscr-c_ds)</w:t>
      </w:r>
    </w:p>
    <w:p>
      <w:pPr>
        <w:spacing w:after="0"/>
        <w:ind w:left="283"/>
      </w:pPr>
      <w:r>
        <w:rPr>
          <w:rFonts w:ascii="Courier New" w:hAnsi="Courier New"/>
          <w:sz w:val="17"/>
        </w:rPr>
        <w:t>comm_cap  = SUMPRODUCT(sculpt,dfm)</w:t>
      </w:r>
    </w:p>
    <w:p>
      <w:pPr>
        <w:spacing w:after="40"/>
      </w:pPr>
    </w:p>
    <w:p>
      <w:pPr>
        <w:jc w:val="both"/>
      </w:pPr>
      <w:r>
        <w:rPr/>
        <w:t>Le service de la dette commerciale est sculpté sur le ratio de couverture du service de la dette (DSCR) cible, après le service de la dette concessionnelle, et la capacité d'emprunt est sa valeur actualisée au taux commercial, ramenée à la date de mise en service commerciale (COD).</w:t>
      </w:r>
    </w:p>
    <w:p>
      <w:pPr>
        <w:jc w:val="both"/>
      </w:pPr>
      <w:r>
        <w:rPr>
          <w:b/>
        </w:rPr>
        <w:t>Plafond du taux d'endettement (gearing).</w:t>
      </w:r>
      <w:r>
        <w:rPr/>
        <w:t xml:space="preserve"> La dette senior totale ne peut dépasser le plafond multiplié par l'assiette de financement augmentée des IDC et commissions financés par la dette. En résolvant pour la dette commerciale, on obtient une forme fermée :</w:t>
      </w:r>
    </w:p>
    <w:p>
      <w:pPr>
        <w:spacing w:after="0"/>
        <w:ind w:left="283"/>
      </w:pPr>
      <w:r>
        <w:rPr>
          <w:rFonts w:ascii="Courier New" w:hAnsi="Courier New"/>
          <w:sz w:val="17"/>
        </w:rPr>
        <w:t>gearing amount = MAX(0,(str_maxdebt*(fund_base+debt_c*(idc_kc+upfront_fee))-debt_c)/(1-str_maxdebt*(idc_km+upfront_fee)))</w:t>
      </w:r>
    </w:p>
    <w:p>
      <w:pPr>
        <w:spacing w:after="0"/>
        <w:ind w:left="283"/>
      </w:pPr>
      <w:r>
        <w:rPr>
          <w:rFonts w:ascii="Courier New" w:hAnsi="Courier New"/>
          <w:sz w:val="17"/>
        </w:rPr>
        <w:t>debt_c (sized) = MIN(str_conc,str_maxdebt)*fund_base</w:t>
      </w:r>
    </w:p>
    <w:p>
      <w:pPr>
        <w:spacing w:after="0"/>
        <w:ind w:left="283"/>
      </w:pPr>
      <w:r>
        <w:rPr>
          <w:rFonts w:ascii="Courier New" w:hAnsi="Courier New"/>
          <w:sz w:val="17"/>
        </w:rPr>
        <w:t>debt_m (sized) = MIN(comm_cap,gearing amount)</w:t>
      </w:r>
    </w:p>
    <w:p>
      <w:pPr>
        <w:spacing w:after="40"/>
      </w:pPr>
    </w:p>
    <w:p>
      <w:pPr>
        <w:jc w:val="both"/>
      </w:pPr>
      <w:r>
        <w:rPr/>
        <w:t>Kasiri : montant au plafond de gearing 0,70 × 187,3 / (1 − 0,70 × 0,14) = 145,4, juste sous la capacité sculptée de 147,8 ; c'est donc le plafond de gearing qui s'applique. Le taux d'endettement rapporté au total des emplois est de 67,6 %.</w:t>
      </w:r>
    </w:p>
    <w:p>
      <w:pPr>
        <w:jc w:val="both"/>
      </w:pPr>
      <w:r>
        <w:rPr>
          <w:b/>
        </w:rPr>
        <w:t>Mode verrouillé (`debt_mode` = 2).</w:t>
      </w:r>
      <w:r>
        <w:rPr/>
        <w:t xml:space="preserve"> Les subventions, les fonds propres de l'État et la dette concessionnelle prennent les valeurs verrouillées </w:t>
      </w:r>
      <w:r>
        <w:rPr>
          <w:rFonts w:ascii="Courier New" w:hAnsi="Courier New"/>
        </w:rPr>
        <w:t>lock_grant</w:t>
      </w:r>
      <w:r>
        <w:rPr/>
        <w:t xml:space="preserve">, </w:t>
      </w:r>
      <w:r>
        <w:rPr>
          <w:rFonts w:ascii="Courier New" w:hAnsi="Courier New"/>
        </w:rPr>
        <w:t>lock_goveq</w:t>
      </w:r>
      <w:r>
        <w:rPr/>
        <w:t xml:space="preserve"> et </w:t>
      </w:r>
      <w:r>
        <w:rPr>
          <w:rFonts w:ascii="Courier New" w:hAnsi="Courier New"/>
        </w:rPr>
        <w:t>lock_c</w:t>
      </w:r>
      <w:r>
        <w:rPr/>
        <w:t xml:space="preserve">. La dette commerciale vaut </w:t>
      </w:r>
      <w:r>
        <w:rPr>
          <w:rFonts w:ascii="Courier New" w:hAnsi="Courier New"/>
        </w:rPr>
        <w:t>MIN(lock_m,gearing amount)</w:t>
      </w:r>
      <w:r>
        <w:rPr/>
        <w:t>, et son service de la dette cible suit l'échéancier de principal verrouillé par année d'exploitation, mis à l'échelle si le montant diffère :</w:t>
      </w:r>
    </w:p>
    <w:p>
      <w:pPr>
        <w:spacing w:after="0"/>
        <w:ind w:left="283"/>
      </w:pPr>
      <w:r>
        <w:rPr>
          <w:rFonts w:ascii="Courier New" w:hAnsi="Courier New"/>
          <w:sz w:val="17"/>
        </w:rPr>
        <w:t>m_target = IF(inloan=1,IF(debt_mode=1,IF(comm_cap&gt;0,sculpt*debt_m/comm_cap,0),</w:t>
      </w:r>
    </w:p>
    <w:p>
      <w:pPr>
        <w:spacing w:after="0"/>
        <w:ind w:left="283"/>
      </w:pPr>
      <w:r>
        <w:rPr>
          <w:rFonts w:ascii="Courier New" w:hAnsi="Courier New"/>
          <w:sz w:val="17"/>
        </w:rPr>
        <w:t xml:space="preserve">           IF(lock_m&gt;0,INDEX(lock_ds,1,opyr)*debt_m/lock_m,0)+m_int),0)</w:t>
      </w:r>
    </w:p>
    <w:p>
      <w:pPr>
        <w:spacing w:after="0"/>
        <w:ind w:left="283"/>
      </w:pPr>
      <w:r>
        <w:rPr>
          <w:rFonts w:ascii="Courier New" w:hAnsi="Courier New"/>
          <w:sz w:val="17"/>
        </w:rPr>
        <w:t>m_prin   = IF(inloan=1,MAX(0,MIN(m_open,IF(opyr=str_nm,m_open,m_target-m_int))),0)</w:t>
      </w:r>
    </w:p>
    <w:p>
      <w:pPr>
        <w:spacing w:after="40"/>
      </w:pPr>
    </w:p>
    <w:p>
      <w:pPr>
        <w:jc w:val="both"/>
      </w:pPr>
      <w:r>
        <w:rPr/>
        <w:t xml:space="preserve">Le taux n'est variable que sur la part non couverte, via </w:t>
      </w:r>
      <w:r>
        <w:rPr>
          <w:rFonts w:ascii="Courier New" w:hAnsi="Courier New"/>
        </w:rPr>
        <w:t>rm_eff</w:t>
      </w:r>
      <w:r>
        <w:rPr/>
        <w:t>. Les fonds propres absorbent tout écart sur les emplois.</w:t>
      </w:r>
    </w:p>
    <w:p>
      <w:pPr>
        <w:jc w:val="both"/>
      </w:pPr>
      <w:r>
        <w:rPr>
          <w:b/>
        </w:rPr>
        <w:t>Tranches.</w:t>
      </w:r>
    </w:p>
    <w:p>
      <w:pPr>
        <w:spacing w:after="0"/>
        <w:ind w:left="283"/>
      </w:pPr>
      <w:r>
        <w:rPr>
          <w:rFonts w:ascii="Courier New" w:hAnsi="Courier New"/>
          <w:sz w:val="17"/>
        </w:rPr>
        <w:t>c_draw = debt_c*share       c_int = str_rc*(c_open+0.5*c_draw*consflag)</w:t>
      </w:r>
    </w:p>
    <w:p>
      <w:pPr>
        <w:spacing w:after="0"/>
        <w:ind w:left="283"/>
      </w:pPr>
      <w:r>
        <w:rPr>
          <w:rFonts w:ascii="Courier New" w:hAnsi="Courier New"/>
          <w:sz w:val="17"/>
        </w:rPr>
        <w:t>c_prin = IF(AND(opyr&gt;str_gc,opyr&lt;=str_gc+str_nc),MIN(c_open,debt_c/str_nc),0)</w:t>
      </w:r>
    </w:p>
    <w:p>
      <w:pPr>
        <w:spacing w:after="0"/>
        <w:ind w:left="283"/>
      </w:pPr>
      <w:r>
        <w:rPr>
          <w:rFonts w:ascii="Courier New" w:hAnsi="Courier New"/>
          <w:sz w:val="17"/>
        </w:rPr>
        <w:t>m_draw = debt_m*share       m_int = rm_eff*(m_open+0.5*m_draw*consflag)</w:t>
      </w:r>
    </w:p>
    <w:p>
      <w:pPr>
        <w:spacing w:after="0"/>
        <w:ind w:left="283"/>
      </w:pPr>
      <w:r>
        <w:rPr>
          <w:rFonts w:ascii="Courier New" w:hAnsi="Courier New"/>
          <w:sz w:val="17"/>
        </w:rPr>
        <w:t>ds     = c_ds+m_ds          c_ds, m_ds = opflag*(interest+principal)</w:t>
      </w:r>
    </w:p>
    <w:p>
      <w:pPr>
        <w:spacing w:after="0"/>
        <w:ind w:left="283"/>
      </w:pPr>
      <w:r>
        <w:rPr>
          <w:rFonts w:ascii="Courier New" w:hAnsi="Courier New"/>
          <w:sz w:val="17"/>
        </w:rPr>
        <w:t>idc    = consflag*(c_int+m_int)</w:t>
      </w:r>
    </w:p>
    <w:p>
      <w:pPr>
        <w:spacing w:after="40"/>
      </w:pPr>
    </w:p>
    <w:p>
      <w:pPr>
        <w:jc w:val="both"/>
      </w:pPr>
      <w:r>
        <w:rPr>
          <w:b/>
        </w:rPr>
        <w:t>DSRA.</w:t>
      </w:r>
      <w:r>
        <w:rPr/>
        <w:t xml:space="preserve"> La cible est </w:t>
      </w:r>
      <w:r>
        <w:rPr>
          <w:rFonts w:ascii="Courier New" w:hAnsi="Courier New"/>
        </w:rPr>
        <w:t>IF(OR(opflag=1,lastcons=1),dsra_m/12*next-year ds,0)</w:t>
      </w:r>
      <w:r>
        <w:rPr/>
        <w:t>. Le solde initial est financé à la fin de la construction par les fonds propres (il figure dans les emplois).</w:t>
      </w:r>
    </w:p>
    <w:p>
      <w:pPr>
        <w:jc w:val="both"/>
      </w:pPr>
      <w:r>
        <w:rPr>
          <w:b/>
        </w:rPr>
        <w:t>Ratios.</w:t>
      </w:r>
    </w:p>
    <w:p>
      <w:pPr>
        <w:spacing w:after="0"/>
        <w:ind w:left="283"/>
      </w:pPr>
      <w:r>
        <w:rPr>
          <w:rFonts w:ascii="Courier New" w:hAnsi="Courier New"/>
          <w:sz w:val="17"/>
        </w:rPr>
        <w:t>kpi_min_dscr = IF(COUNT(dscr)=0,99,MIN(dscr))</w:t>
      </w:r>
    </w:p>
    <w:p>
      <w:pPr>
        <w:spacing w:after="0"/>
        <w:ind w:left="283"/>
      </w:pPr>
      <w:r>
        <w:rPr>
          <w:rFonts w:ascii="Courier New" w:hAnsi="Courier New"/>
          <w:sz w:val="17"/>
        </w:rPr>
        <w:t>kpi_avg_dscr = IF(COUNT(dscr)=0,99,AVERAGE(dscr))</w:t>
      </w:r>
    </w:p>
    <w:p>
      <w:pPr>
        <w:spacing w:after="0"/>
        <w:ind w:left="283"/>
      </w:pPr>
      <w:r>
        <w:rPr>
          <w:rFonts w:ascii="Courier New" w:hAnsi="Courier New"/>
          <w:sz w:val="17"/>
        </w:rPr>
        <w:t>kpi_llcr     = SUMPRODUCT(cfads,dfw,inloan_all)/(debt_c+debt_m)</w:t>
      </w:r>
    </w:p>
    <w:p>
      <w:pPr>
        <w:spacing w:after="0"/>
        <w:ind w:left="283"/>
      </w:pPr>
      <w:r>
        <w:rPr>
          <w:rFonts w:ascii="Courier New" w:hAnsi="Courier New"/>
          <w:sz w:val="17"/>
        </w:rPr>
        <w:t>kpi_plcr     = SUMPRODUCT(cfads,dfm)/(debt_c+debt_m)</w:t>
      </w:r>
    </w:p>
    <w:p>
      <w:pPr>
        <w:spacing w:after="40"/>
      </w:pPr>
    </w:p>
    <w:p>
      <w:pPr>
        <w:jc w:val="both"/>
      </w:pPr>
      <w:r>
        <w:rPr>
          <w:rFonts w:ascii="Courier New" w:hAnsi="Courier New"/>
        </w:rPr>
        <w:t>dfw</w:t>
      </w:r>
      <w:r>
        <w:rPr/>
        <w:t xml:space="preserve"> actualise au taux senior pondéré ; </w:t>
      </w:r>
      <w:r>
        <w:rPr>
          <w:rFonts w:ascii="Courier New" w:hAnsi="Courier New"/>
        </w:rPr>
        <w:t>inloan_all</w:t>
      </w:r>
      <w:r>
        <w:rPr/>
        <w:t xml:space="preserve"> couvre la durée de la tranche la plus longue. La valeur 99 signifie qu'il n'y a pas de service de la dette.</w:t>
      </w:r>
    </w:p>
    <w:p>
      <w:pPr>
        <w:pStyle w:val="Heading2"/>
      </w:pPr>
      <w:r>
        <w:t>6.10 Cascade des flux (20_CASH_FLOW)</w:t>
      </w:r>
    </w:p>
    <w:p>
      <w:pPr>
        <w:jc w:val="both"/>
      </w:pPr>
      <w:r>
        <w:rPr>
          <w:b/>
        </w:rPr>
        <w:t>Financement de la construction.</w:t>
      </w:r>
      <w:r>
        <w:rPr/>
        <w:t xml:space="preserve"> Les emplois de chaque année sont le coût de la centrale, le transport du projet, les IDC, les commissions et la prime à t = 1, ainsi que la dotation initiale du DSRA. Les subventions et la dette sont tirées au prorata de la part de dépenses ; les fonds propres constituent le solde, réparti entre l'État et les actionnaires privés selon leurs parts.</w:t>
      </w:r>
    </w:p>
    <w:p>
      <w:pPr>
        <w:jc w:val="both"/>
      </w:pPr>
      <w:r>
        <w:rPr>
          <w:b/>
        </w:rPr>
        <w:t>Exploitation.</w:t>
      </w:r>
    </w:p>
    <w:p>
      <w:pPr>
        <w:spacing w:after="0"/>
        <w:ind w:left="283"/>
      </w:pPr>
      <w:r>
        <w:rPr>
          <w:rFonts w:ascii="Courier New" w:hAnsi="Courier New"/>
          <w:sz w:val="17"/>
        </w:rPr>
        <w:t>ebitda     = rev_cash-opex-o_roy</w:t>
      </w:r>
    </w:p>
    <w:p>
      <w:pPr>
        <w:spacing w:after="0"/>
        <w:ind w:left="283"/>
      </w:pPr>
      <w:r>
        <w:rPr>
          <w:rFonts w:ascii="Courier New" w:hAnsi="Courier New"/>
          <w:sz w:val="17"/>
        </w:rPr>
        <w:t>cfads      = opflag*(ebitda-tax-tx_spend_prj)</w:t>
      </w:r>
    </w:p>
    <w:p>
      <w:pPr>
        <w:spacing w:after="0"/>
        <w:ind w:left="283"/>
      </w:pPr>
      <w:r>
        <w:rPr>
          <w:rFonts w:ascii="Courier New" w:hAnsi="Courier New"/>
          <w:sz w:val="17"/>
        </w:rPr>
        <w:t>dscr       = IF(ds&gt;0.001,cfads/ds,"")</w:t>
      </w:r>
    </w:p>
    <w:p>
      <w:pPr>
        <w:spacing w:after="0"/>
        <w:ind w:left="283"/>
      </w:pPr>
      <w:r>
        <w:rPr>
          <w:rFonts w:ascii="Courier New" w:hAnsi="Courier New"/>
          <w:sz w:val="17"/>
        </w:rPr>
        <w:t>avail0     = cfads-ds+cash_bf</w:t>
      </w:r>
    </w:p>
    <w:p>
      <w:pPr>
        <w:spacing w:after="0"/>
        <w:ind w:left="283"/>
      </w:pPr>
      <w:r>
        <w:rPr>
          <w:rFonts w:ascii="Courier New" w:hAnsi="Courier New"/>
          <w:sz w:val="17"/>
        </w:rPr>
        <w:t>dsra_draw  = opflag*MIN(previous dsra_act,MAX(0,-avail0))</w:t>
      </w:r>
    </w:p>
    <w:p>
      <w:pPr>
        <w:spacing w:after="0"/>
        <w:ind w:left="283"/>
      </w:pPr>
      <w:r>
        <w:rPr>
          <w:rFonts w:ascii="Courier New" w:hAnsi="Courier New"/>
          <w:sz w:val="17"/>
        </w:rPr>
        <w:t>dsra_relx  = opflag*MAX(0,previous dsra_act-dsra_draw-dsra_tgt)</w:t>
      </w:r>
    </w:p>
    <w:p>
      <w:pPr>
        <w:spacing w:after="0"/>
        <w:ind w:left="283"/>
      </w:pPr>
      <w:r>
        <w:rPr>
          <w:rFonts w:ascii="Courier New" w:hAnsi="Courier New"/>
          <w:sz w:val="17"/>
        </w:rPr>
        <w:t>dsra_top   = opflag*MIN(MAX(0,dsra_tgt-previous dsra_act+dsra_draw),MAX(0,avail0))</w:t>
      </w:r>
    </w:p>
    <w:p>
      <w:pPr>
        <w:spacing w:after="0"/>
        <w:ind w:left="283"/>
      </w:pPr>
      <w:r>
        <w:rPr>
          <w:rFonts w:ascii="Courier New" w:hAnsi="Courier New"/>
          <w:sz w:val="17"/>
        </w:rPr>
        <w:t>cash_avail = cfads-ds+dsra_draw+dsra_relx-dsra_top</w:t>
      </w:r>
    </w:p>
    <w:p>
      <w:pPr>
        <w:spacing w:after="0"/>
        <w:ind w:left="283"/>
      </w:pPr>
      <w:r>
        <w:rPr>
          <w:rFonts w:ascii="Courier New" w:hAnsi="Courier New"/>
          <w:sz w:val="17"/>
        </w:rPr>
        <w:t>shortfall  = MAX(0,-(cash_avail+cash_bf))</w:t>
      </w:r>
    </w:p>
    <w:p>
      <w:pPr>
        <w:spacing w:after="0"/>
        <w:ind w:left="283"/>
      </w:pPr>
      <w:r>
        <w:rPr>
          <w:rFonts w:ascii="Courier New" w:hAnsi="Courier New"/>
          <w:sz w:val="17"/>
        </w:rPr>
        <w:t>lock_ok    = IF(opflag=1,IF(ds&gt;0.001,IF(dscr&gt;=lockup,1,0),1),0)</w:t>
      </w:r>
    </w:p>
    <w:p>
      <w:pPr>
        <w:spacing w:after="0"/>
        <w:ind w:left="283"/>
      </w:pPr>
      <w:r>
        <w:rPr>
          <w:rFonts w:ascii="Courier New" w:hAnsi="Courier New"/>
          <w:sz w:val="17"/>
        </w:rPr>
        <w:t>pool       = cash_avail+cash_bf+shortfall</w:t>
      </w:r>
    </w:p>
    <w:p>
      <w:pPr>
        <w:spacing w:after="0"/>
        <w:ind w:left="283"/>
      </w:pPr>
      <w:r>
        <w:rPr>
          <w:rFonts w:ascii="Courier New" w:hAnsi="Courier New"/>
          <w:sz w:val="17"/>
        </w:rPr>
        <w:t>grepay     = IF(OR(lock_ok=1,opyr=ops_years),MIN(previous gclaim,MAX(0,pool)),0)</w:t>
      </w:r>
    </w:p>
    <w:p>
      <w:pPr>
        <w:spacing w:after="0"/>
        <w:ind w:left="283"/>
      </w:pPr>
      <w:r>
        <w:rPr>
          <w:rFonts w:ascii="Courier New" w:hAnsi="Courier New"/>
          <w:sz w:val="17"/>
        </w:rPr>
        <w:t>dist       = IF(OR(lock_ok=1,opyr=ops_years),MAX(0,pool-grepay),0)</w:t>
      </w:r>
    </w:p>
    <w:p>
      <w:pPr>
        <w:spacing w:after="0"/>
        <w:ind w:left="283"/>
      </w:pPr>
      <w:r>
        <w:rPr>
          <w:rFonts w:ascii="Courier New" w:hAnsi="Courier New"/>
          <w:sz w:val="17"/>
        </w:rPr>
        <w:t>cash_cf    = pool-grepay-dist</w:t>
      </w:r>
    </w:p>
    <w:p>
      <w:pPr>
        <w:spacing w:after="40"/>
      </w:pPr>
    </w:p>
    <w:p>
      <w:pPr>
        <w:jc w:val="both"/>
      </w:pPr>
      <w:r>
        <w:rPr/>
        <w:t xml:space="preserve">En cas d'insuffisance, le DSRA est mobilisé en premier ; il ne libère que son excédent au-delà de la cible et n'est reconstitué qu'à partir de la trésorerie disponible. L'insuffisance restante est couverte par la garantie souveraine (part </w:t>
      </w:r>
      <w:r>
        <w:rPr>
          <w:rFonts w:ascii="Courier New" w:hAnsi="Courier New"/>
        </w:rPr>
        <w:t>str_guar</w:t>
      </w:r>
      <w:r>
        <w:rPr/>
        <w:t>) et par les promoteurs (le reste). La créance de l'État est remboursée sur la trésorerie ultérieure, avant les distributions. La trésorerie est bloquée quand le DSCR est inférieur au seuil de blocage (lock-up), puis libérée lors de la dernière année d'exploitation.</w:t>
      </w:r>
    </w:p>
    <w:p>
      <w:pPr>
        <w:pStyle w:val="Heading2"/>
      </w:pPr>
      <w:r>
        <w:t>6.11 Impôt (21_TAX)</w:t>
      </w:r>
    </w:p>
    <w:p>
      <w:pPr>
        <w:spacing w:after="0"/>
        <w:ind w:left="283"/>
      </w:pPr>
      <w:r>
        <w:rPr>
          <w:rFonts w:ascii="Courier New" w:hAnsi="Courier New"/>
          <w:sz w:val="17"/>
        </w:rPr>
        <w:t>dep_base = fund_base+u_idc+u_fee-s_grant</w:t>
      </w:r>
    </w:p>
    <w:p>
      <w:pPr>
        <w:spacing w:after="0"/>
        <w:ind w:left="283"/>
      </w:pPr>
      <w:r>
        <w:rPr>
          <w:rFonts w:ascii="Courier New" w:hAnsi="Courier New"/>
          <w:sz w:val="17"/>
        </w:rPr>
        <w:t>dep      = IF(AND(opyr&gt;=1,opyr&lt;=dep_yrs),dep_base/dep_yrs,0)</w:t>
      </w:r>
    </w:p>
    <w:p>
      <w:pPr>
        <w:spacing w:after="0"/>
        <w:ind w:left="283"/>
      </w:pPr>
      <w:r>
        <w:rPr>
          <w:rFonts w:ascii="Courier New" w:hAnsi="Courier New"/>
          <w:sz w:val="17"/>
        </w:rPr>
        <w:t>taxable  = ebitda-dep-interest in operations</w:t>
      </w:r>
    </w:p>
    <w:p>
      <w:pPr>
        <w:spacing w:after="0"/>
        <w:ind w:left="283"/>
      </w:pPr>
      <w:r>
        <w:rPr>
          <w:rFonts w:ascii="Courier New" w:hAnsi="Courier New"/>
          <w:sz w:val="17"/>
        </w:rPr>
        <w:t>loss_use = IF(AND(taxable&gt;0,opyr&gt;tax_hol),MIN(taxable,loss_bf),0)</w:t>
      </w:r>
    </w:p>
    <w:p>
      <w:pPr>
        <w:spacing w:after="0"/>
        <w:ind w:left="283"/>
      </w:pPr>
      <w:r>
        <w:rPr>
          <w:rFonts w:ascii="Courier New" w:hAnsi="Courier New"/>
          <w:sz w:val="17"/>
        </w:rPr>
        <w:t>tax      = IF(opyr&gt;tax_hol,tax_rate*MAX(0,taxable-loss_use),0)</w:t>
      </w:r>
    </w:p>
    <w:p>
      <w:pPr>
        <w:spacing w:after="0"/>
        <w:ind w:left="283"/>
      </w:pPr>
      <w:r>
        <w:rPr>
          <w:rFonts w:ascii="Courier New" w:hAnsi="Courier New"/>
          <w:sz w:val="17"/>
        </w:rPr>
        <w:t>tax_unlev= IF(opyr&gt;tax_hol,tax_rate*MAX(0,ebitda-dep),0)</w:t>
      </w:r>
    </w:p>
    <w:p>
      <w:pPr>
        <w:spacing w:after="40"/>
      </w:pPr>
    </w:p>
    <w:p>
      <w:pPr>
        <w:jc w:val="both"/>
      </w:pPr>
      <w:r>
        <w:rPr/>
        <w:t>Les pertes sont reportées et ne sont pas imputées pendant l'exonération fiscale. L'impôt auquel l'État renonce du fait de l'exonération est indiqué (8,6 millions USD en nominal pour Kasiri).</w:t>
      </w:r>
    </w:p>
    <w:p>
      <w:pPr>
        <w:pStyle w:val="Heading2"/>
      </w:pPr>
      <w:r>
        <w:t>6.12 Rentabilité (17_PROJECT_FINANCE, 19_EQUITY)</w:t>
      </w:r>
    </w:p>
    <w:p>
      <w:pPr>
        <w:spacing w:after="0"/>
        <w:ind w:left="283"/>
      </w:pPr>
      <w:r>
        <w:rPr>
          <w:rFonts w:ascii="Courier New" w:hAnsi="Courier New"/>
          <w:sz w:val="17"/>
        </w:rPr>
        <w:t>ucf      = -capex_nom-tx_spend_prj-premium at t=1+opflag*(ebitda-tax_unlev)</w:t>
      </w:r>
    </w:p>
    <w:p>
      <w:pPr>
        <w:spacing w:after="0"/>
        <w:ind w:left="283"/>
      </w:pPr>
      <w:r>
        <w:rPr>
          <w:rFonts w:ascii="Courier New" w:hAnsi="Courier New"/>
          <w:sz w:val="17"/>
        </w:rPr>
        <w:t>kpi_pirr = IFERROR(IRR(ucf,0.08),"n/a")</w:t>
      </w:r>
    </w:p>
    <w:p>
      <w:pPr>
        <w:spacing w:after="0"/>
        <w:ind w:left="283"/>
      </w:pPr>
      <w:r>
        <w:rPr>
          <w:rFonts w:ascii="Courier New" w:hAnsi="Courier New"/>
          <w:sz w:val="17"/>
        </w:rPr>
        <w:t>kpi_npv  = NPV(disc_rate,ucf)</w:t>
      </w:r>
    </w:p>
    <w:p>
      <w:pPr>
        <w:spacing w:after="0"/>
        <w:ind w:left="283"/>
      </w:pPr>
      <w:r>
        <w:rPr>
          <w:rFonts w:ascii="Courier New" w:hAnsi="Courier New"/>
          <w:sz w:val="17"/>
        </w:rPr>
        <w:t>kpi_eirr = IF(s_priv&gt;0,IFERROR(IRR(eq_priv_cf,0.1),IFERROR(IRR(eq_priv_cf,-0.1),IFERROR(IRR(eq_priv_cf,-0.5),-1))),"n/a")</w:t>
      </w:r>
    </w:p>
    <w:p>
      <w:pPr>
        <w:spacing w:after="0"/>
        <w:ind w:left="283"/>
      </w:pPr>
      <w:r>
        <w:rPr>
          <w:rFonts w:ascii="Courier New" w:hAnsi="Courier New"/>
          <w:sz w:val="17"/>
        </w:rPr>
        <w:t>eq_priv_cf = -eq_priv_in+(dist-sf_eq)*(1-gov_eq_share)</w:t>
      </w:r>
    </w:p>
    <w:p>
      <w:pPr>
        <w:spacing w:after="0"/>
        <w:ind w:left="283"/>
      </w:pPr>
      <w:r>
        <w:rPr>
          <w:rFonts w:ascii="Courier New" w:hAnsi="Courier New"/>
          <w:sz w:val="17"/>
        </w:rPr>
        <w:t>lcoe     = NPV(disc_rate,lc_cost)/NPV(disc_rate,delivered+deemed)*1000</w:t>
      </w:r>
    </w:p>
    <w:p>
      <w:pPr>
        <w:spacing w:after="0"/>
        <w:ind w:left="283"/>
      </w:pPr>
      <w:r>
        <w:rPr>
          <w:rFonts w:ascii="Courier New" w:hAnsi="Courier New"/>
          <w:sz w:val="17"/>
        </w:rPr>
        <w:t>lcoe_sys = NPV(disc_rate,lc_cost_sys)/NPV(disc_rate,delivered*(1-tx_loss))*1000</w:t>
      </w:r>
    </w:p>
    <w:p>
      <w:pPr>
        <w:spacing w:after="40"/>
      </w:pPr>
    </w:p>
    <w:p>
      <w:pPr>
        <w:jc w:val="both"/>
      </w:pPr>
      <w:r>
        <w:rPr>
          <w:rFonts w:ascii="Courier New" w:hAnsi="Courier New"/>
        </w:rPr>
        <w:t>lc_cost</w:t>
      </w:r>
      <w:r>
        <w:rPr/>
        <w:t xml:space="preserve"> regroupe les dépenses de la centrale et du transport du projet, la prime, les charges d'exploitation (OPEX) et la redevance ; </w:t>
      </w:r>
      <w:r>
        <w:rPr>
          <w:rFonts w:ascii="Courier New" w:hAnsi="Courier New"/>
        </w:rPr>
        <w:t>lc_cost_sys</w:t>
      </w:r>
      <w:r>
        <w:rPr/>
        <w:t xml:space="preserve"> y ajoute les dépenses de transport public et leur exploitation et maintenance (O&amp;M). La valeur actuelle nette (VAN) suit la convention d'Excel (le premier flux est actualisé d'une période).</w:t>
      </w:r>
    </w:p>
    <w:p>
      <w:pPr>
        <w:jc w:val="both"/>
      </w:pPr>
      <w:r>
        <w:rPr/>
        <w:t xml:space="preserve">Pour la résiliation, </w:t>
      </w:r>
      <w:r>
        <w:rPr>
          <w:i/>
        </w:rPr>
        <w:t>19_EQUITY</w:t>
      </w:r>
      <w:r>
        <w:rPr/>
        <w:t xml:space="preserve"> calcule par récurrence à rebours la valeur des distributions privées restantes au taux de rendement interne (TRI) cible, </w:t>
      </w:r>
      <w:r>
        <w:rPr>
          <w:rFonts w:ascii="Courier New" w:hAnsi="Courier New"/>
        </w:rPr>
        <w:t>e_pvfwd = (next e_out+next e_pvfwd)/(1+str_hurdle)</w:t>
      </w:r>
      <w:r>
        <w:rPr/>
        <w:t xml:space="preserve">, ainsi que les fonds propres privés non récupérés, </w:t>
      </w:r>
      <w:r>
        <w:rPr>
          <w:rFonts w:ascii="Courier New" w:hAnsi="Courier New"/>
        </w:rPr>
        <w:t>e_unrec = MAX(0,-cumulative private equity cash flow)</w:t>
      </w:r>
      <w:r>
        <w:rPr/>
        <w:t>.</w:t>
      </w:r>
    </w:p>
    <w:p>
      <w:pPr>
        <w:jc w:val="both"/>
      </w:pPr>
      <w:r>
        <w:rPr/>
        <w:t>Le besoin de financement non couvert (écart de financement) correspond aux fonds propres privés requis au-delà de ceux qui sont disponibles :</w:t>
      </w:r>
    </w:p>
    <w:p>
      <w:pPr>
        <w:spacing w:after="0"/>
        <w:ind w:left="283"/>
      </w:pPr>
      <w:r>
        <w:rPr>
          <w:rFonts w:ascii="Courier New" w:hAnsi="Courier New"/>
          <w:sz w:val="17"/>
        </w:rPr>
        <w:t>priv_avail = str_privmax*fund_base</w:t>
      </w:r>
    </w:p>
    <w:p>
      <w:pPr>
        <w:spacing w:after="0"/>
        <w:ind w:left="283"/>
      </w:pPr>
      <w:r>
        <w:rPr>
          <w:rFonts w:ascii="Courier New" w:hAnsi="Courier New"/>
          <w:sz w:val="17"/>
        </w:rPr>
        <w:t>fin_gap    = IF(str_resid=1,MAX(0,s_priv-priv_avail),0)</w:t>
      </w:r>
    </w:p>
    <w:p>
      <w:pPr>
        <w:spacing w:after="40"/>
      </w:pPr>
    </w:p>
    <w:p>
      <w:pPr>
        <w:jc w:val="both"/>
      </w:pPr>
      <w:r>
        <w:rPr/>
        <w:t>Kasiri : fonds propres privés de 69,6 pour 65,6 disponibles, soit un écart de 4,1 millions USD (1,9 % des emplois).</w:t>
      </w:r>
    </w:p>
    <w:p>
      <w:pPr>
        <w:pStyle w:val="Heading2"/>
      </w:pPr>
      <w:r>
        <w:t>6.13 Capacité de paiement de la compagnie d'électricité et scénario contrefactuel (12_UTILITY)</w:t>
      </w:r>
    </w:p>
    <w:p>
      <w:pPr>
        <w:jc w:val="both"/>
      </w:pPr>
      <w:r>
        <w:rPr/>
        <w:t>Le modèle de la compagnie d'électricité vérifie que l'acheteur peut payer, au lieu de le supposer.</w:t>
      </w:r>
    </w:p>
    <w:p>
      <w:pPr>
        <w:jc w:val="both"/>
      </w:pPr>
      <w:r>
        <w:rPr>
          <w:b/>
        </w:rPr>
        <w:t>Bilan énergétique.</w:t>
      </w:r>
      <w:r>
        <w:rPr/>
        <w:t xml:space="preserve"> La demande adressée à la compagnie d'électricité est la demande intérieure, diminuée de la charge minière éventuellement desservie directement par le projet. Le projet fournit sa part destinée à la compagnie, nette des pertes de transport ; les autres approvisionnements sont plafonnés à l'offre disponible (</w:t>
      </w:r>
      <w:r>
        <w:rPr>
          <w:rFonts w:ascii="Courier New" w:hAnsi="Courier New"/>
        </w:rPr>
        <w:t>d_sup</w:t>
      </w:r>
      <w:r>
        <w:rPr/>
        <w:t>) ; la demande au-delà de ce plafond n'est pas servie.</w:t>
      </w:r>
    </w:p>
    <w:p>
      <w:pPr>
        <w:jc w:val="both"/>
      </w:pPr>
      <w:r>
        <w:rPr>
          <w:b/>
        </w:rPr>
        <w:t>Trésorerie et capacité.</w:t>
      </w:r>
    </w:p>
    <w:p>
      <w:pPr>
        <w:spacing w:after="0"/>
        <w:ind w:left="283"/>
      </w:pPr>
      <w:r>
        <w:rPr>
          <w:rFonts w:ascii="Courier New" w:hAnsi="Courier New"/>
          <w:sz w:val="17"/>
        </w:rPr>
        <w:t>u_tar     = previous tariff*(1+lc_cpi*IF(AND(opyr&gt;=1,opyr&lt;=eff_freeze),0,ut_pt))</w:t>
      </w:r>
    </w:p>
    <w:p>
      <w:pPr>
        <w:spacing w:after="0"/>
        <w:ind w:left="283"/>
      </w:pPr>
      <w:r>
        <w:rPr>
          <w:rFonts w:ascii="Courier New" w:hAnsi="Courier New"/>
          <w:sz w:val="17"/>
        </w:rPr>
        <w:t>u_bill    = u_sales*u_tar/fx</w:t>
      </w:r>
    </w:p>
    <w:p>
      <w:pPr>
        <w:spacing w:after="0"/>
        <w:ind w:left="283"/>
      </w:pPr>
      <w:r>
        <w:rPr>
          <w:rFonts w:ascii="Courier New" w:hAnsi="Courier New"/>
          <w:sz w:val="17"/>
        </w:rPr>
        <w:t>u_collr   = MAX(0,MIN(1,ut_coll+IF(year&gt;=cod_year,eff_coll_adj,0)))</w:t>
      </w:r>
    </w:p>
    <w:p>
      <w:pPr>
        <w:spacing w:after="0"/>
        <w:ind w:left="283"/>
      </w:pPr>
      <w:r>
        <w:rPr>
          <w:rFonts w:ascii="Courier New" w:hAnsi="Courier New"/>
          <w:sz w:val="17"/>
        </w:rPr>
        <w:t>u_subs    = ut_sub*IF(year&gt;=cod_year,eff_sub,1)*lccpi/fxidx</w:t>
      </w:r>
    </w:p>
    <w:p>
      <w:pPr>
        <w:spacing w:after="0"/>
        <w:ind w:left="283"/>
      </w:pPr>
      <w:r>
        <w:rPr>
          <w:rFonts w:ascii="Courier New" w:hAnsi="Courier New"/>
          <w:sz w:val="17"/>
        </w:rPr>
        <w:t>u_opex    = -ut_opex*lccpi/fxidx*(0.5+0.5*u_sales/base-year demand)</w:t>
      </w:r>
    </w:p>
    <w:p>
      <w:pPr>
        <w:spacing w:after="0"/>
        <w:ind w:left="283"/>
      </w:pPr>
      <w:r>
        <w:rPr>
          <w:rFonts w:ascii="Courier New" w:hAnsi="Courier New"/>
          <w:sz w:val="17"/>
        </w:rPr>
        <w:t>u_supcost = -u_other*ut_supc*(ut_supusd*uscpi+(1-ut_supusd)*lccpi/fxidx)/1000</w:t>
      </w:r>
    </w:p>
    <w:p>
      <w:pPr>
        <w:spacing w:after="0"/>
        <w:ind w:left="283"/>
      </w:pPr>
      <w:r>
        <w:rPr>
          <w:rFonts w:ascii="Courier New" w:hAnsi="Courier New"/>
          <w:sz w:val="17"/>
        </w:rPr>
        <w:t>u_cash_pre= u_bill*u_collr+u_subs+u_opex+u_supcost-ut_ds</w:t>
      </w:r>
    </w:p>
    <w:p>
      <w:pPr>
        <w:spacing w:after="0"/>
        <w:ind w:left="283"/>
      </w:pPr>
      <w:r>
        <w:rPr>
          <w:rFonts w:ascii="Courier New" w:hAnsi="Courier New"/>
          <w:sz w:val="17"/>
        </w:rPr>
        <w:t>u_maxppa  = MAX(0,u_cash_pre)/ut_cov</w:t>
      </w:r>
    </w:p>
    <w:p>
      <w:pPr>
        <w:spacing w:after="0"/>
        <w:ind w:left="283"/>
      </w:pPr>
      <w:r>
        <w:rPr>
          <w:rFonts w:ascii="Courier New" w:hAnsi="Courier New"/>
          <w:sz w:val="17"/>
        </w:rPr>
        <w:t>u_gap     = opflag*MAX(0,u_ppa-u_maxppa)</w:t>
      </w:r>
    </w:p>
    <w:p>
      <w:pPr>
        <w:spacing w:after="0"/>
        <w:ind w:left="283"/>
      </w:pPr>
      <w:r>
        <w:rPr>
          <w:rFonts w:ascii="Courier New" w:hAnsi="Courier New"/>
          <w:sz w:val="17"/>
        </w:rPr>
        <w:t>u_ratio   = IF(u_ppa&gt;0,u_maxppa/u_ppa,99)</w:t>
      </w:r>
    </w:p>
    <w:p>
      <w:pPr>
        <w:spacing w:after="40"/>
      </w:pPr>
    </w:p>
    <w:p>
      <w:pPr>
        <w:jc w:val="both"/>
      </w:pPr>
      <w:r>
        <w:rPr>
          <w:rFonts w:ascii="Courier New" w:hAnsi="Courier New"/>
        </w:rPr>
        <w:t>ut_ratio10</w:t>
      </w:r>
      <w:r>
        <w:rPr/>
        <w:t xml:space="preserve"> est le ratio le plus défavorable des années d'exploitation 1 à 10 (5,96 x pour Kasiri). Le taux de change vaut </w:t>
      </w:r>
      <w:r>
        <w:rPr>
          <w:rFonts w:ascii="Courier New" w:hAnsi="Courier New"/>
        </w:rPr>
        <w:t>fx0*(1+fx_dep)^(year-base_year)</w:t>
      </w:r>
      <w:r>
        <w:rPr/>
        <w:t xml:space="preserve">, multiplié par </w:t>
      </w:r>
      <w:r>
        <w:rPr>
          <w:rFonts w:ascii="Courier New" w:hAnsi="Courier New"/>
        </w:rPr>
        <w:t>(1+eff_fxshock)</w:t>
      </w:r>
      <w:r>
        <w:rPr/>
        <w:t xml:space="preserve"> à partir de la COD.</w:t>
      </w:r>
    </w:p>
    <w:p>
      <w:pPr>
        <w:jc w:val="both"/>
      </w:pPr>
      <w:r>
        <w:rPr>
          <w:b/>
        </w:rPr>
        <w:t>Scénario contrefactuel.</w:t>
      </w:r>
      <w:r>
        <w:rPr/>
        <w:t xml:space="preserve"> Le modèle recalcule la trésorerie de la compagnie d'électricité sans le projet (</w:t>
      </w:r>
      <w:r>
        <w:rPr>
          <w:rFonts w:ascii="Courier New" w:hAnsi="Courier New"/>
        </w:rPr>
        <w:t>u_cash_np</w:t>
      </w:r>
      <w:r>
        <w:rPr/>
        <w:t>), celle-ci achetant alors aux autres sources dans la limite de leur plafond. La trésorerie supplémentaire de la compagnie publique est :</w:t>
      </w:r>
    </w:p>
    <w:p>
      <w:pPr>
        <w:spacing w:after="0"/>
        <w:ind w:left="283"/>
      </w:pPr>
      <w:r>
        <w:rPr>
          <w:rFonts w:ascii="Courier New" w:hAnsi="Courier New"/>
          <w:sz w:val="17"/>
        </w:rPr>
        <w:t>f_soe = u_cash_post-u_cash_np-unpaid</w:t>
      </w:r>
    </w:p>
    <w:p>
      <w:pPr>
        <w:spacing w:after="40"/>
      </w:pPr>
    </w:p>
    <w:p>
      <w:pPr>
        <w:jc w:val="both"/>
      </w:pPr>
      <w:r>
        <w:rPr/>
        <w:t>de sorte que les nouveaux arriérés sont comptés comme un coût pour le secteur public. Ce terme intègre la compagnie d'électricité dans la VAN budgétaire consolidée.</w:t>
      </w:r>
    </w:p>
    <w:p>
      <w:pPr>
        <w:pStyle w:val="Heading2"/>
      </w:pPr>
      <w:r>
        <w:t>6.14 Soutien de l'État, garanties et passifs éventuels (22 à 24)</w:t>
      </w:r>
    </w:p>
    <w:p>
      <w:pPr>
        <w:jc w:val="both"/>
      </w:pPr>
      <w:r>
        <w:rPr>
          <w:b/>
        </w:rPr>
        <w:t>Soutien direct</w:t>
      </w:r>
      <w:r>
        <w:rPr/>
        <w:t xml:space="preserve"> (</w:t>
      </w:r>
      <w:r>
        <w:rPr>
          <w:i/>
        </w:rPr>
        <w:t>22_GOVERNMENT_SUPPORT</w:t>
      </w:r>
      <w:r>
        <w:rPr/>
        <w:t>) : fonds propres de l'État, subventions, investissement et O&amp;M du transport public, et garantie budgétaire couvrant l'insuffisance de paiement au titre du contrat d'achat d'électricité (CAE, PPA).</w:t>
      </w:r>
    </w:p>
    <w:p>
      <w:pPr>
        <w:jc w:val="both"/>
      </w:pPr>
      <w:r>
        <w:rPr>
          <w:b/>
        </w:rPr>
        <w:t>Exposition par instrument</w:t>
      </w:r>
      <w:r>
        <w:rPr/>
        <w:t xml:space="preserve"> (</w:t>
      </w:r>
      <w:r>
        <w:rPr>
          <w:i/>
        </w:rPr>
        <w:t>23_GUARANTEES</w:t>
      </w:r>
      <w:r>
        <w:rPr/>
        <w:t>) :</w:t>
      </w:r>
    </w:p>
    <w:p>
      <w:pPr>
        <w:spacing w:after="0"/>
        <w:ind w:left="283"/>
      </w:pPr>
      <w:r>
        <w:rPr>
          <w:rFonts w:ascii="Courier New" w:hAnsi="Courier New"/>
          <w:sz w:val="17"/>
        </w:rPr>
        <w:t>x_debt  = (1-str_onbud)*str_guar*debt_bal</w:t>
      </w:r>
    </w:p>
    <w:p>
      <w:pPr>
        <w:spacing w:after="0"/>
        <w:ind w:left="283"/>
      </w:pPr>
      <w:r>
        <w:rPr>
          <w:rFonts w:ascii="Courier New" w:hAnsi="Courier New"/>
          <w:sz w:val="17"/>
        </w:rPr>
        <w:t>x_ppa   = str_ppag*ppag_months/12*rev_util</w:t>
      </w:r>
    </w:p>
    <w:p>
      <w:pPr>
        <w:spacing w:after="0"/>
        <w:ind w:left="283"/>
      </w:pPr>
      <w:r>
        <w:rPr>
          <w:rFonts w:ascii="Courier New" w:hAnsi="Courier New"/>
          <w:sz w:val="17"/>
        </w:rPr>
        <w:t>x_term  = str_term*(opflag+consflag&gt;0)*(debt_bal+MAX(e_unrec*(1+term_prem),e_pvfwd))</w:t>
      </w:r>
    </w:p>
    <w:p>
      <w:pPr>
        <w:spacing w:after="0"/>
        <w:ind w:left="283"/>
      </w:pPr>
      <w:r>
        <w:rPr>
          <w:rFonts w:ascii="Courier New" w:hAnsi="Courier New"/>
          <w:sz w:val="17"/>
        </w:rPr>
        <w:t>x_fx    = str_fxg*(ds+e_out)</w:t>
      </w:r>
    </w:p>
    <w:p>
      <w:pPr>
        <w:spacing w:after="0"/>
        <w:ind w:left="283"/>
      </w:pPr>
      <w:r>
        <w:rPr>
          <w:rFonts w:ascii="Courier New" w:hAnsi="Courier New"/>
          <w:sz w:val="17"/>
        </w:rPr>
        <w:t>x_mrg   = opflag*MAX(0,mrg*rev_cap/MAX(0.0001,rampf)-rev_cash)</w:t>
      </w:r>
    </w:p>
    <w:p>
      <w:pPr>
        <w:spacing w:after="0"/>
        <w:ind w:left="283"/>
      </w:pPr>
      <w:r>
        <w:rPr>
          <w:rFonts w:ascii="Courier New" w:hAnsi="Courier New"/>
          <w:sz w:val="17"/>
        </w:rPr>
        <w:t>x_onbud = str_onbud*debt_bal</w:t>
      </w:r>
    </w:p>
    <w:p>
      <w:pPr>
        <w:spacing w:after="40"/>
      </w:pPr>
    </w:p>
    <w:p>
      <w:pPr>
        <w:jc w:val="both"/>
      </w:pPr>
      <w:r>
        <w:rPr>
          <w:b/>
        </w:rPr>
        <w:t>L'exposition simultanée maximale</w:t>
      </w:r>
      <w:r>
        <w:rPr/>
        <w:t xml:space="preserve"> (</w:t>
      </w:r>
      <w:r>
        <w:rPr>
          <w:i/>
        </w:rPr>
        <w:t>24_CONTINGENT_LIABILITIES</w:t>
      </w:r>
      <w:r>
        <w:rPr/>
        <w:t>) évite d'additionner l'indemnité de résiliation et les garanties qu'elle remplacerait :</w:t>
      </w:r>
    </w:p>
    <w:p>
      <w:pPr>
        <w:spacing w:after="0"/>
        <w:ind w:left="283"/>
      </w:pPr>
      <w:r>
        <w:rPr>
          <w:rFonts w:ascii="Courier New" w:hAnsi="Courier New"/>
          <w:sz w:val="17"/>
        </w:rPr>
        <w:t>cl_max = MAX(x_term,x_debt+x_ppa+x_fx)</w:t>
      </w:r>
    </w:p>
    <w:p>
      <w:pPr>
        <w:spacing w:after="40"/>
      </w:pPr>
    </w:p>
    <w:p>
      <w:pPr>
        <w:jc w:val="both"/>
      </w:pPr>
      <w:r>
        <w:rPr>
          <w:b/>
        </w:rPr>
        <w:t>Les appels déterministes</w:t>
      </w:r>
      <w:r>
        <w:rPr/>
        <w:t xml:space="preserve"> du scénario actif sont les appels de la garantie du CAE, les appels de la garantie de la dette (insuffisance multipliée par la part garantie) et les appels de la garantie de revenu minimum.</w:t>
      </w:r>
    </w:p>
    <w:p>
      <w:pPr>
        <w:jc w:val="both"/>
      </w:pPr>
      <w:r>
        <w:rPr>
          <w:b/>
        </w:rPr>
        <w:t>La perte attendue</w:t>
      </w:r>
      <w:r>
        <w:rPr/>
        <w:t xml:space="preserve"> repose sur des probabilités fixées à dire d'expert par l'utilisateur et sur une perte en cas d'appel :</w:t>
      </w:r>
    </w:p>
    <w:p>
      <w:pPr>
        <w:spacing w:after="0"/>
        <w:ind w:left="283"/>
      </w:pPr>
      <w:r>
        <w:rPr>
          <w:rFonts w:ascii="Courier New" w:hAnsi="Courier New"/>
          <w:sz w:val="17"/>
        </w:rPr>
        <w:t>el = (pr_debt*x_debt+pr_ppa*MAX(0,x_ppa-cov_guar)+pr_term*MAX(0,x_term-x_debt))*lgd</w:t>
      </w:r>
    </w:p>
    <w:p>
      <w:pPr>
        <w:spacing w:after="0"/>
        <w:ind w:left="283"/>
      </w:pPr>
      <w:r>
        <w:rPr>
          <w:rFonts w:ascii="Courier New" w:hAnsi="Courier New"/>
          <w:sz w:val="17"/>
        </w:rPr>
        <w:t>cl_pv_el = SUMPRODUCT(el,gdf)          gdf = 1/(1+gov_disc)^t</w:t>
      </w:r>
    </w:p>
    <w:p>
      <w:pPr>
        <w:spacing w:after="40"/>
      </w:pPr>
    </w:p>
    <w:p>
      <w:pPr>
        <w:jc w:val="both"/>
      </w:pPr>
      <w:r>
        <w:rPr/>
        <w:t>Kasiri : exposition maximale de 225,4 millions USD, constituée pour l'essentiel de l'indemnité de résiliation ; valeur actualisée de la perte attendue de 20,4 millions USD avec les probabilités par défaut (2 %, 8 % et 0,5 % par an ; perte en cas d'appel (LGD) de 60 %).</w:t>
      </w:r>
    </w:p>
    <w:p>
      <w:pPr>
        <w:pStyle w:val="Heading2"/>
      </w:pPr>
      <w:r>
        <w:t>6.15 VAN budgétaire, centrale et consolidée (25_FISCAL_IMPACT)</w:t>
      </w:r>
    </w:p>
    <w:p>
      <w:pPr>
        <w:spacing w:after="0"/>
        <w:ind w:left="283"/>
      </w:pPr>
      <w:r>
        <w:rPr>
          <w:rFonts w:ascii="Courier New" w:hAnsi="Courier New"/>
          <w:sz w:val="17"/>
        </w:rPr>
        <w:t>f_direct  = -g_direct</w:t>
      </w:r>
    </w:p>
    <w:p>
      <w:pPr>
        <w:spacing w:after="0"/>
        <w:ind w:left="283"/>
      </w:pPr>
      <w:r>
        <w:rPr>
          <w:rFonts w:ascii="Courier New" w:hAnsi="Courier New"/>
          <w:sz w:val="17"/>
        </w:rPr>
        <w:t>f_calls   = -call_tot</w:t>
      </w:r>
    </w:p>
    <w:p>
      <w:pPr>
        <w:spacing w:after="0"/>
        <w:ind w:left="283"/>
      </w:pPr>
      <w:r>
        <w:rPr>
          <w:rFonts w:ascii="Courier New" w:hAnsi="Courier New"/>
          <w:sz w:val="17"/>
        </w:rPr>
        <w:t>f_tax     = tax</w:t>
      </w:r>
    </w:p>
    <w:p>
      <w:pPr>
        <w:spacing w:after="0"/>
        <w:ind w:left="283"/>
      </w:pPr>
      <w:r>
        <w:rPr>
          <w:rFonts w:ascii="Courier New" w:hAnsi="Courier New"/>
          <w:sz w:val="17"/>
        </w:rPr>
        <w:t>f_roy     = o_roy</w:t>
      </w:r>
    </w:p>
    <w:p>
      <w:pPr>
        <w:spacing w:after="0"/>
        <w:ind w:left="283"/>
      </w:pPr>
      <w:r>
        <w:rPr>
          <w:rFonts w:ascii="Courier New" w:hAnsi="Courier New"/>
          <w:sz w:val="17"/>
        </w:rPr>
        <w:t>f_div     = e_g_out-sf_eq*gov_eq_share</w:t>
      </w:r>
    </w:p>
    <w:p>
      <w:pPr>
        <w:spacing w:after="0"/>
        <w:ind w:left="283"/>
      </w:pPr>
      <w:r>
        <w:rPr>
          <w:rFonts w:ascii="Courier New" w:hAnsi="Courier New"/>
          <w:sz w:val="17"/>
        </w:rPr>
        <w:t>f_grep    = grepay+ppag_reimb</w:t>
      </w:r>
    </w:p>
    <w:p>
      <w:pPr>
        <w:spacing w:after="0"/>
        <w:ind w:left="283"/>
      </w:pPr>
      <w:r>
        <w:rPr>
          <w:rFonts w:ascii="Courier New" w:hAnsi="Courier New"/>
          <w:sz w:val="17"/>
        </w:rPr>
        <w:t>f_net     = f_direct+f_calls+f_tax+f_roy+f_div+f_grep</w:t>
      </w:r>
    </w:p>
    <w:p>
      <w:pPr>
        <w:spacing w:after="0"/>
        <w:ind w:left="283"/>
      </w:pPr>
      <w:r>
        <w:rPr>
          <w:rFonts w:ascii="Courier New" w:hAnsi="Courier New"/>
          <w:sz w:val="17"/>
        </w:rPr>
        <w:t>f_net_cons= f_net+f_soe</w:t>
      </w:r>
    </w:p>
    <w:p>
      <w:pPr>
        <w:spacing w:after="0"/>
        <w:ind w:left="283"/>
      </w:pPr>
      <w:r>
        <w:rPr>
          <w:rFonts w:ascii="Courier New" w:hAnsi="Courier New"/>
          <w:sz w:val="17"/>
        </w:rPr>
        <w:t>fis_npv      = SUMPRODUCT(f_net,gdf)</w:t>
      </w:r>
    </w:p>
    <w:p>
      <w:pPr>
        <w:spacing w:after="0"/>
        <w:ind w:left="283"/>
      </w:pPr>
      <w:r>
        <w:rPr>
          <w:rFonts w:ascii="Courier New" w:hAnsi="Courier New"/>
          <w:sz w:val="17"/>
        </w:rPr>
        <w:t>fis_npv_cons = SUMPRODUCT(f_net_cons,gdf)</w:t>
      </w:r>
    </w:p>
    <w:p>
      <w:pPr>
        <w:spacing w:after="0"/>
        <w:ind w:left="283"/>
      </w:pPr>
      <w:r>
        <w:rPr>
          <w:rFonts w:ascii="Courier New" w:hAnsi="Courier New"/>
          <w:sz w:val="17"/>
        </w:rPr>
        <w:t>fis_npv_el   = fis_npv-cl_pv_el</w:t>
      </w:r>
    </w:p>
    <w:p>
      <w:pPr>
        <w:spacing w:after="40"/>
      </w:pPr>
    </w:p>
    <w:p>
      <w:pPr>
        <w:jc w:val="both"/>
      </w:pPr>
      <w:r>
        <w:rPr/>
        <w:t>Kasiri à 8 % : VAN de l'administration centrale de +34,8 millions USD, grâce aux impôts et aux redevances ; VAN consolidée de −27,6 millions USD, car la compagnie d'électricité paie l'énergie de Kasiri plus cher qu'elle n'encaisse par MWh. La feuille indique aussi le besoin de trésorerie annuel maximal, ce besoin maximal en part des recettes publiques, la sortie de fonds cumulée la plus profonde et l'impôt auquel l'État renonce.</w:t>
      </w:r>
    </w:p>
    <w:p>
      <w:pPr>
        <w:pStyle w:val="Heading2"/>
      </w:pPr>
      <w:r>
        <w:t>6.16 Filtre budgétaire (26_DEBT_SUSTAINABILITY)</w:t>
      </w:r>
    </w:p>
    <w:p>
      <w:pPr>
        <w:jc w:val="both"/>
      </w:pPr>
      <w:r>
        <w:rPr/>
        <w:t>Le filtre cherche à savoir si ce seul projet crée une pression budgétaire supplémentaire significative. Il ne s'agit pas d'une analyse de soutenabilité de la dette (DSA).</w:t>
      </w:r>
    </w:p>
    <w:p>
      <w:pPr>
        <w:spacing w:after="0"/>
        <w:ind w:left="283"/>
      </w:pPr>
      <w:r>
        <w:rPr>
          <w:rFonts w:ascii="Courier New" w:hAnsi="Courier New"/>
          <w:sz w:val="17"/>
        </w:rPr>
        <w:t>s_onbud = x_onbud/gdp          s_cl   = cl_max/gdp</w:t>
      </w:r>
    </w:p>
    <w:p>
      <w:pPr>
        <w:spacing w:after="0"/>
        <w:ind w:left="283"/>
      </w:pPr>
      <w:r>
        <w:rPr>
          <w:rFonts w:ascii="Courier New" w:hAnsi="Courier New"/>
          <w:sz w:val="17"/>
        </w:rPr>
        <w:t>s_cash  = f_need/gov_rev       s_cumout = MAX(0,-f_cum)/gdp</w:t>
      </w:r>
    </w:p>
    <w:p>
      <w:pPr>
        <w:spacing w:after="0"/>
        <w:ind w:left="283"/>
      </w:pPr>
      <w:r>
        <w:rPr>
          <w:rFonts w:ascii="Courier New" w:hAnsi="Courier New"/>
          <w:sz w:val="17"/>
        </w:rPr>
        <w:t>s_arr   = u_arrears/gdp        s_inc  = s_onbud+s_cumout+s_arr</w:t>
      </w:r>
    </w:p>
    <w:p>
      <w:pPr>
        <w:spacing w:after="0"/>
        <w:ind w:left="283"/>
      </w:pPr>
      <w:r>
        <w:rPr>
          <w:rFonts w:ascii="Courier New" w:hAnsi="Courier New"/>
          <w:sz w:val="17"/>
        </w:rPr>
        <w:t>sc_debt = MAX(s_inc)   sc_cl = MAX(s_cl)   sc_cash = MAX(s_cash)</w:t>
      </w:r>
    </w:p>
    <w:p>
      <w:pPr>
        <w:spacing w:after="0"/>
        <w:ind w:left="283"/>
      </w:pPr>
      <w:r>
        <w:rPr>
          <w:rFonts w:ascii="Courier New" w:hAnsi="Courier New"/>
          <w:sz w:val="17"/>
        </w:rPr>
        <w:t>sc_post = debt_gdp+sc_debt</w:t>
      </w:r>
    </w:p>
    <w:p>
      <w:pPr>
        <w:spacing w:after="0"/>
        <w:ind w:left="283"/>
      </w:pPr>
      <w:r>
        <w:rPr>
          <w:rFonts w:ascii="Courier New" w:hAnsi="Courier New"/>
          <w:sz w:val="17"/>
        </w:rPr>
        <w:t>sc_flags= (sc_debt&gt;th_incr)+(sc_cl&gt;th_cl)+(sc_cash&gt;th_cash)+AND(sc_post&gt;th_debt,debt_gdp&lt;=th_debt)</w:t>
      </w:r>
    </w:p>
    <w:p>
      <w:pPr>
        <w:spacing w:after="40"/>
      </w:pPr>
    </w:p>
    <w:p>
      <w:pPr>
        <w:jc w:val="both"/>
      </w:pPr>
      <w:r>
        <w:rPr/>
        <w:t>Seuils par défaut : augmentation significative à 1 % du PIB, exposition éventuelle significative à 2 % du PIB, besoin de trésorerie significatif à 1 % des recettes, référence d'endettement à 55 % du PIB. Le résultat :</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Condition</w:t>
            </w:r>
          </w:p>
        </w:tc>
        <w:tc>
          <w:tcPr>
            <w:tcW w:type="dxa" w:w="4819"/>
            <w:shd w:val="clear" w:color="auto" w:fill="0B3020"/>
          </w:tcPr>
          <w:p>
            <w:pPr>
              <w:spacing w:after="0"/>
            </w:pPr>
            <w:r>
              <w:rPr>
                <w:b/>
                <w:color w:val="FFFFFF"/>
                <w:sz w:val="16"/>
              </w:rPr>
              <w:t>Résultat</w:t>
            </w:r>
          </w:p>
        </w:tc>
      </w:tr>
      <w:tr>
        <w:tc>
          <w:tcPr>
            <w:tcW w:type="dxa" w:w="4819"/>
          </w:tcPr>
          <w:p>
            <w:pPr>
              <w:spacing w:after="0"/>
            </w:pPr>
            <w:r>
              <w:rPr>
                <w:color w:val="1D1D1D"/>
                <w:sz w:val="16"/>
              </w:rPr>
              <w:t>Aucune alerte et note DSA de 1 ou 2</w:t>
            </w:r>
          </w:p>
        </w:tc>
        <w:tc>
          <w:tcPr>
            <w:tcW w:type="dxa" w:w="4819"/>
          </w:tcPr>
          <w:p>
            <w:pPr>
              <w:spacing w:after="0"/>
            </w:pPr>
            <w:r>
              <w:rPr>
                <w:i/>
                <w:color w:val="1D1D1D"/>
                <w:sz w:val="16"/>
              </w:rPr>
              <w:t>LOW additional fiscal pressure</w:t>
            </w:r>
            <w:r>
              <w:rPr>
                <w:color w:val="1D1D1D"/>
                <w:sz w:val="16"/>
              </w:rPr>
              <w:t xml:space="preserve"> (pression budgétaire supplémentaire faible)</w:t>
            </w:r>
          </w:p>
        </w:tc>
      </w:tr>
      <w:tr>
        <w:tc>
          <w:tcPr>
            <w:tcW w:type="dxa" w:w="4819"/>
            <w:shd w:val="clear" w:color="auto" w:fill="FAF8F2"/>
          </w:tcPr>
          <w:p>
            <w:pPr>
              <w:spacing w:after="0"/>
            </w:pPr>
            <w:r>
              <w:rPr>
                <w:color w:val="1D1D1D"/>
                <w:sz w:val="16"/>
              </w:rPr>
              <w:t>Trois alertes ou plus, ou au moins une alerte avec une note DSA de 3 ou 4 ou une dette publique déjà supérieure à la référence</w:t>
            </w:r>
          </w:p>
        </w:tc>
        <w:tc>
          <w:tcPr>
            <w:tcW w:type="dxa" w:w="4819"/>
            <w:shd w:val="clear" w:color="auto" w:fill="FAF8F2"/>
          </w:tcPr>
          <w:p>
            <w:pPr>
              <w:spacing w:after="0"/>
            </w:pPr>
            <w:r>
              <w:rPr>
                <w:i/>
                <w:color w:val="1D1D1D"/>
                <w:sz w:val="16"/>
              </w:rPr>
              <w:t>HIGH additional fiscal pressure</w:t>
            </w:r>
            <w:r>
              <w:rPr>
                <w:color w:val="1D1D1D"/>
                <w:sz w:val="16"/>
              </w:rPr>
              <w:t xml:space="preserve"> (pression budgétaire supplémentaire élevée), avec l'instruction de saisir le ministère des Finances et l'équipe DSA</w:t>
            </w:r>
          </w:p>
        </w:tc>
      </w:tr>
      <w:tr>
        <w:tc>
          <w:tcPr>
            <w:tcW w:type="dxa" w:w="4819"/>
          </w:tcPr>
          <w:p>
            <w:pPr>
              <w:spacing w:after="0"/>
            </w:pPr>
            <w:r>
              <w:rPr>
                <w:color w:val="1D1D1D"/>
                <w:sz w:val="16"/>
              </w:rPr>
              <w:t>Autres cas</w:t>
            </w:r>
          </w:p>
        </w:tc>
        <w:tc>
          <w:tcPr>
            <w:tcW w:type="dxa" w:w="4819"/>
          </w:tcPr>
          <w:p>
            <w:pPr>
              <w:spacing w:after="0"/>
            </w:pPr>
            <w:r>
              <w:rPr>
                <w:i/>
                <w:color w:val="1D1D1D"/>
                <w:sz w:val="16"/>
              </w:rPr>
              <w:t>MODERATE additional fiscal pressure</w:t>
            </w:r>
            <w:r>
              <w:rPr>
                <w:color w:val="1D1D1D"/>
                <w:sz w:val="16"/>
              </w:rPr>
              <w:t xml:space="preserve"> (pression budgétaire supplémentaire modérée)</w:t>
            </w:r>
          </w:p>
        </w:tc>
      </w:tr>
    </w:tbl>
    <w:p>
      <w:pPr>
        <w:spacing w:after="40"/>
      </w:pPr>
    </w:p>
    <w:p>
      <w:pPr>
        <w:jc w:val="both"/>
      </w:pPr>
      <w:r>
        <w:rPr/>
        <w:t>Kasiri : aucune alerte, note DSA de 2, résultat LOW.</w:t>
      </w:r>
    </w:p>
    <w:p>
      <w:pPr>
        <w:pStyle w:val="Heading2"/>
      </w:pPr>
      <w:r>
        <w:t>6.17 Le filtre de développement à neuf portes (30_BANKABILITY)</w:t>
      </w:r>
    </w:p>
    <w:p>
      <w:pPr>
        <w:jc w:val="both"/>
      </w:pPr>
      <w:r>
        <w:rPr/>
        <w:t>Chaque test associe un indicateur à une note au moyen de trois seuils explicites et modifiables. Le sens H signifie que plus la valeur est élevée, mieux c'est :</w:t>
      </w:r>
    </w:p>
    <w:p>
      <w:pPr>
        <w:spacing w:after="0"/>
        <w:ind w:left="283"/>
      </w:pPr>
      <w:r>
        <w:rPr>
          <w:rFonts w:ascii="Courier New" w:hAnsi="Courier New"/>
          <w:sz w:val="17"/>
        </w:rPr>
        <w:t>H: score = IF(metric&gt;=READY,3,IF(metric&gt;=COND,2,IF(metric&gt;=DEV,1,0)))</w:t>
      </w:r>
    </w:p>
    <w:p>
      <w:pPr>
        <w:spacing w:after="0"/>
        <w:ind w:left="283"/>
      </w:pPr>
      <w:r>
        <w:rPr>
          <w:rFonts w:ascii="Courier New" w:hAnsi="Courier New"/>
          <w:sz w:val="17"/>
        </w:rPr>
        <w:t>L: score = IF(metric&lt;=READY,3,IF(metric&lt;=COND,2,IF(metric&lt;=DEV,1,0)))</w:t>
      </w:r>
    </w:p>
    <w:p>
      <w:pPr>
        <w:spacing w:after="40"/>
      </w:pPr>
    </w:p>
    <w:p>
      <w:pPr>
        <w:jc w:val="both"/>
      </w:pPr>
      <w:r>
        <w:rPr/>
        <w:t>Les notes correspondent à READY (prêt, 3), CONDITIONAL (sous conditions, 2), DEVELOPMENT GAP (lacune de développement, 1) et CRITICAL GAP (lacune critique, 0). La note d'une porte est le minimum de ses tests : ni moyenne, ni pondération.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606"/>
            <w:shd w:val="clear" w:color="auto" w:fill="0B3020"/>
          </w:tcPr>
          <w:p>
            <w:pPr>
              <w:spacing w:after="0"/>
            </w:pPr>
            <w:r>
              <w:rPr>
                <w:b/>
                <w:color w:val="FFFFFF"/>
                <w:sz w:val="16"/>
              </w:rPr>
              <w:t>Porte</w:t>
            </w:r>
          </w:p>
        </w:tc>
        <w:tc>
          <w:tcPr>
            <w:tcW w:type="dxa" w:w="4257"/>
            <w:shd w:val="clear" w:color="auto" w:fill="0B3020"/>
          </w:tcPr>
          <w:p>
            <w:pPr>
              <w:spacing w:after="0"/>
            </w:pPr>
            <w:r>
              <w:rPr>
                <w:b/>
                <w:color w:val="FFFFFF"/>
                <w:sz w:val="16"/>
              </w:rPr>
              <w:t>Test</w:t>
            </w:r>
          </w:p>
        </w:tc>
        <w:tc>
          <w:tcPr>
            <w:tcW w:type="dxa" w:w="482"/>
            <w:shd w:val="clear" w:color="auto" w:fill="0B3020"/>
          </w:tcPr>
          <w:p>
            <w:pPr>
              <w:spacing w:after="0"/>
            </w:pPr>
            <w:r>
              <w:rPr>
                <w:b/>
                <w:color w:val="FFFFFF"/>
                <w:sz w:val="16"/>
              </w:rPr>
              <w:t>Sens</w:t>
            </w:r>
          </w:p>
        </w:tc>
        <w:tc>
          <w:tcPr>
            <w:tcW w:type="dxa" w:w="803"/>
            <w:shd w:val="clear" w:color="auto" w:fill="0B3020"/>
          </w:tcPr>
          <w:p>
            <w:pPr>
              <w:spacing w:after="0"/>
            </w:pPr>
            <w:r>
              <w:rPr>
                <w:b/>
                <w:color w:val="FFFFFF"/>
                <w:sz w:val="16"/>
              </w:rPr>
              <w:t>READY</w:t>
            </w:r>
          </w:p>
        </w:tc>
        <w:tc>
          <w:tcPr>
            <w:tcW w:type="dxa" w:w="964"/>
            <w:shd w:val="clear" w:color="auto" w:fill="0B3020"/>
          </w:tcPr>
          <w:p>
            <w:pPr>
              <w:spacing w:after="0"/>
            </w:pPr>
            <w:r>
              <w:rPr>
                <w:b/>
                <w:color w:val="FFFFFF"/>
                <w:sz w:val="16"/>
              </w:rPr>
              <w:t>COND.</w:t>
            </w:r>
          </w:p>
        </w:tc>
        <w:tc>
          <w:tcPr>
            <w:tcW w:type="dxa" w:w="964"/>
            <w:shd w:val="clear" w:color="auto" w:fill="0B3020"/>
          </w:tcPr>
          <w:p>
            <w:pPr>
              <w:spacing w:after="0"/>
            </w:pPr>
            <w:r>
              <w:rPr>
                <w:b/>
                <w:color w:val="FFFFFF"/>
                <w:sz w:val="16"/>
              </w:rPr>
              <w:t>DEV. GAP</w:t>
            </w:r>
          </w:p>
        </w:tc>
        <w:tc>
          <w:tcPr>
            <w:tcW w:type="dxa" w:w="562"/>
            <w:shd w:val="clear" w:color="auto" w:fill="0B3020"/>
          </w:tcPr>
          <w:p>
            <w:pPr>
              <w:spacing w:after="0"/>
            </w:pPr>
            <w:r>
              <w:rPr>
                <w:b/>
                <w:color w:val="FFFFFF"/>
                <w:sz w:val="16"/>
              </w:rPr>
              <w:t>Kasiri</w:t>
            </w:r>
          </w:p>
        </w:tc>
      </w:tr>
      <w:tr>
        <w:tc>
          <w:tcPr>
            <w:tcW w:type="dxa" w:w="1606"/>
          </w:tcPr>
          <w:p>
            <w:pPr>
              <w:spacing w:after="0"/>
            </w:pPr>
            <w:r>
              <w:rPr>
                <w:color w:val="1D1D1D"/>
                <w:sz w:val="16"/>
              </w:rPr>
              <w:t>1 Ressource</w:t>
            </w:r>
          </w:p>
        </w:tc>
        <w:tc>
          <w:tcPr>
            <w:tcW w:type="dxa" w:w="4257"/>
          </w:tcPr>
          <w:p>
            <w:pPr>
              <w:spacing w:after="0"/>
            </w:pPr>
            <w:r>
              <w:rPr>
                <w:color w:val="1D1D1D"/>
                <w:sz w:val="16"/>
              </w:rPr>
              <w:t>Série de débits fiable (années)</w:t>
            </w:r>
          </w:p>
        </w:tc>
        <w:tc>
          <w:tcPr>
            <w:tcW w:type="dxa" w:w="482"/>
          </w:tcPr>
          <w:p>
            <w:pPr>
              <w:spacing w:after="0"/>
            </w:pPr>
            <w:r>
              <w:rPr>
                <w:color w:val="1D1D1D"/>
                <w:sz w:val="16"/>
              </w:rPr>
              <w:t>H</w:t>
            </w:r>
          </w:p>
        </w:tc>
        <w:tc>
          <w:tcPr>
            <w:tcW w:type="dxa" w:w="803"/>
          </w:tcPr>
          <w:p>
            <w:pPr>
              <w:spacing w:after="0"/>
            </w:pPr>
            <w:r>
              <w:rPr>
                <w:color w:val="1D1D1D"/>
                <w:sz w:val="16"/>
              </w:rPr>
              <w:t>25</w:t>
            </w:r>
          </w:p>
        </w:tc>
        <w:tc>
          <w:tcPr>
            <w:tcW w:type="dxa" w:w="964"/>
          </w:tcPr>
          <w:p>
            <w:pPr>
              <w:spacing w:after="0"/>
            </w:pPr>
            <w:r>
              <w:rPr>
                <w:color w:val="1D1D1D"/>
                <w:sz w:val="16"/>
              </w:rPr>
              <w:t>15</w:t>
            </w:r>
          </w:p>
        </w:tc>
        <w:tc>
          <w:tcPr>
            <w:tcW w:type="dxa" w:w="964"/>
          </w:tcPr>
          <w:p>
            <w:pPr>
              <w:spacing w:after="0"/>
            </w:pPr>
            <w:r>
              <w:rPr>
                <w:color w:val="1D1D1D"/>
                <w:sz w:val="16"/>
              </w:rPr>
              <w:t>8</w:t>
            </w:r>
          </w:p>
        </w:tc>
        <w:tc>
          <w:tcPr>
            <w:tcW w:type="dxa" w:w="562"/>
          </w:tcPr>
          <w:p>
            <w:pPr>
              <w:spacing w:after="0"/>
            </w:pPr>
            <w:r>
              <w:rPr>
                <w:color w:val="1D1D1D"/>
                <w:sz w:val="16"/>
              </w:rPr>
              <w:t>12</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Ratio d'énergie P90/P50</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0,85</w:t>
            </w:r>
          </w:p>
        </w:tc>
        <w:tc>
          <w:tcPr>
            <w:tcW w:type="dxa" w:w="964"/>
            <w:shd w:val="clear" w:color="auto" w:fill="FAF8F2"/>
          </w:tcPr>
          <w:p>
            <w:pPr>
              <w:spacing w:after="0"/>
            </w:pPr>
            <w:r>
              <w:rPr>
                <w:color w:val="1D1D1D"/>
                <w:sz w:val="16"/>
              </w:rPr>
              <w:t>0,78</w:t>
            </w:r>
          </w:p>
        </w:tc>
        <w:tc>
          <w:tcPr>
            <w:tcW w:type="dxa" w:w="964"/>
            <w:shd w:val="clear" w:color="auto" w:fill="FAF8F2"/>
          </w:tcPr>
          <w:p>
            <w:pPr>
              <w:spacing w:after="0"/>
            </w:pPr>
            <w:r>
              <w:rPr>
                <w:color w:val="1D1D1D"/>
                <w:sz w:val="16"/>
              </w:rPr>
              <w:t>0,70</w:t>
            </w:r>
          </w:p>
        </w:tc>
        <w:tc>
          <w:tcPr>
            <w:tcW w:type="dxa" w:w="562"/>
            <w:shd w:val="clear" w:color="auto" w:fill="FAF8F2"/>
          </w:tcPr>
          <w:p>
            <w:pPr>
              <w:spacing w:after="0"/>
            </w:pPr>
            <w:r>
              <w:rPr>
                <w:color w:val="1D1D1D"/>
                <w:sz w:val="16"/>
              </w:rPr>
              <w:t>0,81</w:t>
            </w:r>
          </w:p>
        </w:tc>
      </w:tr>
      <w:tr>
        <w:tc>
          <w:tcPr>
            <w:tcW w:type="dxa" w:w="1606"/>
          </w:tcPr>
          <w:p>
            <w:pPr>
              <w:spacing w:after="0"/>
            </w:pPr>
          </w:p>
        </w:tc>
        <w:tc>
          <w:tcPr>
            <w:tcW w:type="dxa" w:w="4257"/>
          </w:tcPr>
          <w:p>
            <w:pPr>
              <w:spacing w:after="0"/>
            </w:pPr>
            <w:r>
              <w:rPr>
                <w:color w:val="1D1D1D"/>
                <w:sz w:val="16"/>
              </w:rPr>
              <w:t>Maturité de l'étude hydrologique (1 à 3)</w:t>
            </w:r>
          </w:p>
        </w:tc>
        <w:tc>
          <w:tcPr>
            <w:tcW w:type="dxa" w:w="482"/>
          </w:tcPr>
          <w:p>
            <w:pPr>
              <w:spacing w:after="0"/>
            </w:pPr>
            <w:r>
              <w:rPr>
                <w:color w:val="1D1D1D"/>
                <w:sz w:val="16"/>
              </w:rPr>
              <w:t>H</w:t>
            </w:r>
          </w:p>
        </w:tc>
        <w:tc>
          <w:tcPr>
            <w:tcW w:type="dxa" w:w="803"/>
          </w:tcPr>
          <w:p>
            <w:pPr>
              <w:spacing w:after="0"/>
            </w:pPr>
            <w:r>
              <w:rPr>
                <w:color w:val="1D1D1D"/>
                <w:sz w:val="16"/>
              </w:rPr>
              <w:t>3</w:t>
            </w:r>
          </w:p>
        </w:tc>
        <w:tc>
          <w:tcPr>
            <w:tcW w:type="dxa" w:w="964"/>
          </w:tcPr>
          <w:p>
            <w:pPr>
              <w:spacing w:after="0"/>
            </w:pPr>
            <w:r>
              <w:rPr>
                <w:color w:val="1D1D1D"/>
                <w:sz w:val="16"/>
              </w:rPr>
              <w:t>2</w:t>
            </w:r>
          </w:p>
        </w:tc>
        <w:tc>
          <w:tcPr>
            <w:tcW w:type="dxa" w:w="964"/>
          </w:tcPr>
          <w:p>
            <w:pPr>
              <w:spacing w:after="0"/>
            </w:pPr>
            <w:r>
              <w:rPr>
                <w:color w:val="1D1D1D"/>
                <w:sz w:val="16"/>
              </w:rPr>
              <w:t>1</w:t>
            </w:r>
          </w:p>
        </w:tc>
        <w:tc>
          <w:tcPr>
            <w:tcW w:type="dxa" w:w="562"/>
          </w:tcPr>
          <w:p>
            <w:pPr>
              <w:spacing w:after="0"/>
            </w:pPr>
            <w:r>
              <w:rPr>
                <w:color w:val="1D1D1D"/>
                <w:sz w:val="16"/>
              </w:rPr>
              <w:t>2</w:t>
            </w:r>
          </w:p>
        </w:tc>
      </w:tr>
      <w:tr>
        <w:tc>
          <w:tcPr>
            <w:tcW w:type="dxa" w:w="1606"/>
            <w:shd w:val="clear" w:color="auto" w:fill="FAF8F2"/>
          </w:tcPr>
          <w:p>
            <w:pPr>
              <w:spacing w:after="0"/>
            </w:pPr>
            <w:r>
              <w:rPr>
                <w:color w:val="1D1D1D"/>
                <w:sz w:val="16"/>
              </w:rPr>
              <w:t>2 Demande</w:t>
            </w:r>
          </w:p>
        </w:tc>
        <w:tc>
          <w:tcPr>
            <w:tcW w:type="dxa" w:w="4257"/>
            <w:shd w:val="clear" w:color="auto" w:fill="FAF8F2"/>
          </w:tcPr>
          <w:p>
            <w:pPr>
              <w:spacing w:after="0"/>
            </w:pPr>
            <w:r>
              <w:rPr>
                <w:color w:val="1D1D1D"/>
                <w:sz w:val="16"/>
              </w:rPr>
              <w:t>Demande bancable ou contractée, pire des années 1 à 5</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1,0</w:t>
            </w:r>
          </w:p>
        </w:tc>
        <w:tc>
          <w:tcPr>
            <w:tcW w:type="dxa" w:w="964"/>
            <w:shd w:val="clear" w:color="auto" w:fill="FAF8F2"/>
          </w:tcPr>
          <w:p>
            <w:pPr>
              <w:spacing w:after="0"/>
            </w:pPr>
            <w:r>
              <w:rPr>
                <w:color w:val="1D1D1D"/>
                <w:sz w:val="16"/>
              </w:rPr>
              <w:t>0,9</w:t>
            </w:r>
          </w:p>
        </w:tc>
        <w:tc>
          <w:tcPr>
            <w:tcW w:type="dxa" w:w="964"/>
            <w:shd w:val="clear" w:color="auto" w:fill="FAF8F2"/>
          </w:tcPr>
          <w:p>
            <w:pPr>
              <w:spacing w:after="0"/>
            </w:pPr>
            <w:r>
              <w:rPr>
                <w:color w:val="1D1D1D"/>
                <w:sz w:val="16"/>
              </w:rPr>
              <w:t>0,7</w:t>
            </w:r>
          </w:p>
        </w:tc>
        <w:tc>
          <w:tcPr>
            <w:tcW w:type="dxa" w:w="562"/>
            <w:shd w:val="clear" w:color="auto" w:fill="FAF8F2"/>
          </w:tcPr>
          <w:p>
            <w:pPr>
              <w:spacing w:after="0"/>
            </w:pPr>
            <w:r>
              <w:rPr>
                <w:color w:val="1D1D1D"/>
                <w:sz w:val="16"/>
              </w:rPr>
              <w:t>1,0</w:t>
            </w:r>
          </w:p>
        </w:tc>
      </w:tr>
      <w:tr>
        <w:tc>
          <w:tcPr>
            <w:tcW w:type="dxa" w:w="1606"/>
          </w:tcPr>
          <w:p>
            <w:pPr>
              <w:spacing w:after="0"/>
            </w:pPr>
          </w:p>
        </w:tc>
        <w:tc>
          <w:tcPr>
            <w:tcW w:type="dxa" w:w="4257"/>
          </w:tcPr>
          <w:p>
            <w:pPr>
              <w:spacing w:after="0"/>
            </w:pPr>
            <w:r>
              <w:rPr>
                <w:color w:val="1D1D1D"/>
                <w:sz w:val="16"/>
              </w:rPr>
              <w:t>Part de la pointe du système à la COD</w:t>
            </w:r>
          </w:p>
        </w:tc>
        <w:tc>
          <w:tcPr>
            <w:tcW w:type="dxa" w:w="482"/>
          </w:tcPr>
          <w:p>
            <w:pPr>
              <w:spacing w:after="0"/>
            </w:pPr>
            <w:r>
              <w:rPr>
                <w:color w:val="1D1D1D"/>
                <w:sz w:val="16"/>
              </w:rPr>
              <w:t>L</w:t>
            </w:r>
          </w:p>
        </w:tc>
        <w:tc>
          <w:tcPr>
            <w:tcW w:type="dxa" w:w="803"/>
          </w:tcPr>
          <w:p>
            <w:pPr>
              <w:spacing w:after="0"/>
            </w:pPr>
            <w:r>
              <w:rPr>
                <w:color w:val="1D1D1D"/>
                <w:sz w:val="16"/>
              </w:rPr>
              <w:t>15 %</w:t>
            </w:r>
          </w:p>
        </w:tc>
        <w:tc>
          <w:tcPr>
            <w:tcW w:type="dxa" w:w="964"/>
          </w:tcPr>
          <w:p>
            <w:pPr>
              <w:spacing w:after="0"/>
            </w:pPr>
            <w:r>
              <w:rPr>
                <w:color w:val="1D1D1D"/>
                <w:sz w:val="16"/>
              </w:rPr>
              <w:t>25 %</w:t>
            </w:r>
          </w:p>
        </w:tc>
        <w:tc>
          <w:tcPr>
            <w:tcW w:type="dxa" w:w="964"/>
          </w:tcPr>
          <w:p>
            <w:pPr>
              <w:spacing w:after="0"/>
            </w:pPr>
            <w:r>
              <w:rPr>
                <w:color w:val="1D1D1D"/>
                <w:sz w:val="16"/>
              </w:rPr>
              <w:t>35 %</w:t>
            </w:r>
          </w:p>
        </w:tc>
        <w:tc>
          <w:tcPr>
            <w:tcW w:type="dxa" w:w="562"/>
          </w:tcPr>
          <w:p>
            <w:pPr>
              <w:spacing w:after="0"/>
            </w:pPr>
            <w:r>
              <w:rPr>
                <w:color w:val="1D1D1D"/>
                <w:sz w:val="16"/>
              </w:rPr>
              <w:t>3,3 %</w:t>
            </w:r>
          </w:p>
        </w:tc>
      </w:tr>
      <w:tr>
        <w:tc>
          <w:tcPr>
            <w:tcW w:type="dxa" w:w="1606"/>
            <w:shd w:val="clear" w:color="auto" w:fill="FAF8F2"/>
          </w:tcPr>
          <w:p>
            <w:pPr>
              <w:spacing w:after="0"/>
            </w:pPr>
            <w:r>
              <w:rPr>
                <w:color w:val="1D1D1D"/>
                <w:sz w:val="16"/>
              </w:rPr>
              <w:t>3 Configuration</w:t>
            </w:r>
          </w:p>
        </w:tc>
        <w:tc>
          <w:tcPr>
            <w:tcW w:type="dxa" w:w="4257"/>
            <w:shd w:val="clear" w:color="auto" w:fill="FAF8F2"/>
          </w:tcPr>
          <w:p>
            <w:pPr>
              <w:spacing w:after="0"/>
            </w:pPr>
            <w:r>
              <w:rPr>
                <w:color w:val="1D1D1D"/>
                <w:sz w:val="16"/>
              </w:rPr>
              <w:t>Coût unitaire / référence</w:t>
            </w:r>
          </w:p>
        </w:tc>
        <w:tc>
          <w:tcPr>
            <w:tcW w:type="dxa" w:w="482"/>
            <w:shd w:val="clear" w:color="auto" w:fill="FAF8F2"/>
          </w:tcPr>
          <w:p>
            <w:pPr>
              <w:spacing w:after="0"/>
            </w:pPr>
            <w:r>
              <w:rPr>
                <w:color w:val="1D1D1D"/>
                <w:sz w:val="16"/>
              </w:rPr>
              <w:t>L</w:t>
            </w:r>
          </w:p>
        </w:tc>
        <w:tc>
          <w:tcPr>
            <w:tcW w:type="dxa" w:w="803"/>
            <w:shd w:val="clear" w:color="auto" w:fill="FAF8F2"/>
          </w:tcPr>
          <w:p>
            <w:pPr>
              <w:spacing w:after="0"/>
            </w:pPr>
            <w:r>
              <w:rPr>
                <w:color w:val="1D1D1D"/>
                <w:sz w:val="16"/>
              </w:rPr>
              <w:t>1,00</w:t>
            </w:r>
          </w:p>
        </w:tc>
        <w:tc>
          <w:tcPr>
            <w:tcW w:type="dxa" w:w="964"/>
            <w:shd w:val="clear" w:color="auto" w:fill="FAF8F2"/>
          </w:tcPr>
          <w:p>
            <w:pPr>
              <w:spacing w:after="0"/>
            </w:pPr>
            <w:r>
              <w:rPr>
                <w:color w:val="1D1D1D"/>
                <w:sz w:val="16"/>
              </w:rPr>
              <w:t>1,25</w:t>
            </w:r>
          </w:p>
        </w:tc>
        <w:tc>
          <w:tcPr>
            <w:tcW w:type="dxa" w:w="964"/>
            <w:shd w:val="clear" w:color="auto" w:fill="FAF8F2"/>
          </w:tcPr>
          <w:p>
            <w:pPr>
              <w:spacing w:after="0"/>
            </w:pPr>
            <w:r>
              <w:rPr>
                <w:color w:val="1D1D1D"/>
                <w:sz w:val="16"/>
              </w:rPr>
              <w:t>1,50</w:t>
            </w:r>
          </w:p>
        </w:tc>
        <w:tc>
          <w:tcPr>
            <w:tcW w:type="dxa" w:w="562"/>
            <w:shd w:val="clear" w:color="auto" w:fill="FAF8F2"/>
          </w:tcPr>
          <w:p>
            <w:pPr>
              <w:spacing w:after="0"/>
            </w:pPr>
            <w:r>
              <w:rPr>
                <w:color w:val="1D1D1D"/>
                <w:sz w:val="16"/>
              </w:rPr>
              <w:t>1,04</w:t>
            </w:r>
          </w:p>
        </w:tc>
      </w:tr>
      <w:tr>
        <w:tc>
          <w:tcPr>
            <w:tcW w:type="dxa" w:w="1606"/>
          </w:tcPr>
          <w:p>
            <w:pPr>
              <w:spacing w:after="0"/>
            </w:pPr>
          </w:p>
        </w:tc>
        <w:tc>
          <w:tcPr>
            <w:tcW w:type="dxa" w:w="4257"/>
          </w:tcPr>
          <w:p>
            <w:pPr>
              <w:spacing w:after="0"/>
            </w:pPr>
            <w:r>
              <w:rPr>
                <w:color w:val="1D1D1D"/>
                <w:sz w:val="16"/>
              </w:rPr>
              <w:t>Facteur de charge (P50)</w:t>
            </w:r>
          </w:p>
        </w:tc>
        <w:tc>
          <w:tcPr>
            <w:tcW w:type="dxa" w:w="482"/>
          </w:tcPr>
          <w:p>
            <w:pPr>
              <w:spacing w:after="0"/>
            </w:pPr>
            <w:r>
              <w:rPr>
                <w:color w:val="1D1D1D"/>
                <w:sz w:val="16"/>
              </w:rPr>
              <w:t>H</w:t>
            </w:r>
          </w:p>
        </w:tc>
        <w:tc>
          <w:tcPr>
            <w:tcW w:type="dxa" w:w="803"/>
          </w:tcPr>
          <w:p>
            <w:pPr>
              <w:spacing w:after="0"/>
            </w:pPr>
            <w:r>
              <w:rPr>
                <w:color w:val="1D1D1D"/>
                <w:sz w:val="16"/>
              </w:rPr>
              <w:t>45 %</w:t>
            </w:r>
          </w:p>
        </w:tc>
        <w:tc>
          <w:tcPr>
            <w:tcW w:type="dxa" w:w="964"/>
          </w:tcPr>
          <w:p>
            <w:pPr>
              <w:spacing w:after="0"/>
            </w:pPr>
            <w:r>
              <w:rPr>
                <w:color w:val="1D1D1D"/>
                <w:sz w:val="16"/>
              </w:rPr>
              <w:t>35 %</w:t>
            </w:r>
          </w:p>
        </w:tc>
        <w:tc>
          <w:tcPr>
            <w:tcW w:type="dxa" w:w="964"/>
          </w:tcPr>
          <w:p>
            <w:pPr>
              <w:spacing w:after="0"/>
            </w:pPr>
            <w:r>
              <w:rPr>
                <w:color w:val="1D1D1D"/>
                <w:sz w:val="16"/>
              </w:rPr>
              <w:t>25 %</w:t>
            </w:r>
          </w:p>
        </w:tc>
        <w:tc>
          <w:tcPr>
            <w:tcW w:type="dxa" w:w="562"/>
          </w:tcPr>
          <w:p>
            <w:pPr>
              <w:spacing w:after="0"/>
            </w:pPr>
            <w:r>
              <w:rPr>
                <w:color w:val="1D1D1D"/>
                <w:sz w:val="16"/>
              </w:rPr>
              <w:t>55,6 %</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Maturité de la faisabilité (1 à 3)</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3</w:t>
            </w:r>
          </w:p>
        </w:tc>
        <w:tc>
          <w:tcPr>
            <w:tcW w:type="dxa" w:w="964"/>
            <w:shd w:val="clear" w:color="auto" w:fill="FAF8F2"/>
          </w:tcPr>
          <w:p>
            <w:pPr>
              <w:spacing w:after="0"/>
            </w:pPr>
            <w:r>
              <w:rPr>
                <w:color w:val="1D1D1D"/>
                <w:sz w:val="16"/>
              </w:rPr>
              <w:t>2</w:t>
            </w:r>
          </w:p>
        </w:tc>
        <w:tc>
          <w:tcPr>
            <w:tcW w:type="dxa" w:w="964"/>
            <w:shd w:val="clear" w:color="auto" w:fill="FAF8F2"/>
          </w:tcPr>
          <w:p>
            <w:pPr>
              <w:spacing w:after="0"/>
            </w:pPr>
            <w:r>
              <w:rPr>
                <w:color w:val="1D1D1D"/>
                <w:sz w:val="16"/>
              </w:rPr>
              <w:t>1</w:t>
            </w:r>
          </w:p>
        </w:tc>
        <w:tc>
          <w:tcPr>
            <w:tcW w:type="dxa" w:w="562"/>
            <w:shd w:val="clear" w:color="auto" w:fill="FAF8F2"/>
          </w:tcPr>
          <w:p>
            <w:pPr>
              <w:spacing w:after="0"/>
            </w:pPr>
            <w:r>
              <w:rPr>
                <w:color w:val="1D1D1D"/>
                <w:sz w:val="16"/>
              </w:rPr>
              <w:t>2</w:t>
            </w:r>
          </w:p>
        </w:tc>
      </w:tr>
      <w:tr>
        <w:tc>
          <w:tcPr>
            <w:tcW w:type="dxa" w:w="1606"/>
          </w:tcPr>
          <w:p>
            <w:pPr>
              <w:spacing w:after="0"/>
            </w:pPr>
            <w:r>
              <w:rPr>
                <w:color w:val="1D1D1D"/>
                <w:sz w:val="16"/>
              </w:rPr>
              <w:t>4 Transport</w:t>
            </w:r>
          </w:p>
        </w:tc>
        <w:tc>
          <w:tcPr>
            <w:tcW w:type="dxa" w:w="4257"/>
          </w:tcPr>
          <w:p>
            <w:pPr>
              <w:spacing w:after="0"/>
            </w:pPr>
            <w:r>
              <w:rPr>
                <w:color w:val="1D1D1D"/>
                <w:sz w:val="16"/>
              </w:rPr>
              <w:t>Capacité d'évacuation à la COD / puissance installée</w:t>
            </w:r>
          </w:p>
        </w:tc>
        <w:tc>
          <w:tcPr>
            <w:tcW w:type="dxa" w:w="482"/>
          </w:tcPr>
          <w:p>
            <w:pPr>
              <w:spacing w:after="0"/>
            </w:pPr>
            <w:r>
              <w:rPr>
                <w:color w:val="1D1D1D"/>
                <w:sz w:val="16"/>
              </w:rPr>
              <w:t>H</w:t>
            </w:r>
          </w:p>
        </w:tc>
        <w:tc>
          <w:tcPr>
            <w:tcW w:type="dxa" w:w="803"/>
          </w:tcPr>
          <w:p>
            <w:pPr>
              <w:spacing w:after="0"/>
            </w:pPr>
            <w:r>
              <w:rPr>
                <w:color w:val="1D1D1D"/>
                <w:sz w:val="16"/>
              </w:rPr>
              <w:t>1,0</w:t>
            </w:r>
          </w:p>
        </w:tc>
        <w:tc>
          <w:tcPr>
            <w:tcW w:type="dxa" w:w="964"/>
          </w:tcPr>
          <w:p>
            <w:pPr>
              <w:spacing w:after="0"/>
            </w:pPr>
            <w:r>
              <w:rPr>
                <w:color w:val="1D1D1D"/>
                <w:sz w:val="16"/>
              </w:rPr>
              <w:t>0,8</w:t>
            </w:r>
          </w:p>
        </w:tc>
        <w:tc>
          <w:tcPr>
            <w:tcW w:type="dxa" w:w="964"/>
          </w:tcPr>
          <w:p>
            <w:pPr>
              <w:spacing w:after="0"/>
            </w:pPr>
            <w:r>
              <w:rPr>
                <w:color w:val="1D1D1D"/>
                <w:sz w:val="16"/>
              </w:rPr>
              <w:t>0,5</w:t>
            </w:r>
          </w:p>
        </w:tc>
        <w:tc>
          <w:tcPr>
            <w:tcW w:type="dxa" w:w="562"/>
          </w:tcPr>
          <w:p>
            <w:pPr>
              <w:spacing w:after="0"/>
            </w:pPr>
            <w:r>
              <w:rPr>
                <w:color w:val="1D1D1D"/>
                <w:sz w:val="16"/>
              </w:rPr>
              <w:t>2,0</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Retard du transport (années)</w:t>
            </w:r>
          </w:p>
        </w:tc>
        <w:tc>
          <w:tcPr>
            <w:tcW w:type="dxa" w:w="482"/>
            <w:shd w:val="clear" w:color="auto" w:fill="FAF8F2"/>
          </w:tcPr>
          <w:p>
            <w:pPr>
              <w:spacing w:after="0"/>
            </w:pPr>
            <w:r>
              <w:rPr>
                <w:color w:val="1D1D1D"/>
                <w:sz w:val="16"/>
              </w:rPr>
              <w:t>L</w:t>
            </w:r>
          </w:p>
        </w:tc>
        <w:tc>
          <w:tcPr>
            <w:tcW w:type="dxa" w:w="803"/>
            <w:shd w:val="clear" w:color="auto" w:fill="FAF8F2"/>
          </w:tcPr>
          <w:p>
            <w:pPr>
              <w:spacing w:after="0"/>
            </w:pPr>
            <w:r>
              <w:rPr>
                <w:color w:val="1D1D1D"/>
                <w:sz w:val="16"/>
              </w:rPr>
              <w:t>0</w:t>
            </w:r>
          </w:p>
        </w:tc>
        <w:tc>
          <w:tcPr>
            <w:tcW w:type="dxa" w:w="964"/>
            <w:shd w:val="clear" w:color="auto" w:fill="FAF8F2"/>
          </w:tcPr>
          <w:p>
            <w:pPr>
              <w:spacing w:after="0"/>
            </w:pPr>
            <w:r>
              <w:rPr>
                <w:color w:val="1D1D1D"/>
                <w:sz w:val="16"/>
              </w:rPr>
              <w:t>1</w:t>
            </w:r>
          </w:p>
        </w:tc>
        <w:tc>
          <w:tcPr>
            <w:tcW w:type="dxa" w:w="964"/>
            <w:shd w:val="clear" w:color="auto" w:fill="FAF8F2"/>
          </w:tcPr>
          <w:p>
            <w:pPr>
              <w:spacing w:after="0"/>
            </w:pPr>
            <w:r>
              <w:rPr>
                <w:color w:val="1D1D1D"/>
                <w:sz w:val="16"/>
              </w:rPr>
              <w:t>2</w:t>
            </w:r>
          </w:p>
        </w:tc>
        <w:tc>
          <w:tcPr>
            <w:tcW w:type="dxa" w:w="562"/>
            <w:shd w:val="clear" w:color="auto" w:fill="FAF8F2"/>
          </w:tcPr>
          <w:p>
            <w:pPr>
              <w:spacing w:after="0"/>
            </w:pPr>
            <w:r>
              <w:rPr>
                <w:color w:val="1D1D1D"/>
                <w:sz w:val="16"/>
              </w:rPr>
              <w:t>0</w:t>
            </w:r>
          </w:p>
        </w:tc>
      </w:tr>
      <w:tr>
        <w:tc>
          <w:tcPr>
            <w:tcW w:type="dxa" w:w="1606"/>
          </w:tcPr>
          <w:p>
            <w:pPr>
              <w:spacing w:after="0"/>
            </w:pPr>
          </w:p>
        </w:tc>
        <w:tc>
          <w:tcPr>
            <w:tcW w:type="dxa" w:w="4257"/>
          </w:tcPr>
          <w:p>
            <w:pPr>
              <w:spacing w:after="0"/>
            </w:pPr>
            <w:r>
              <w:rPr>
                <w:color w:val="1D1D1D"/>
                <w:sz w:val="16"/>
              </w:rPr>
              <w:t>Financement du transport acquis</w:t>
            </w:r>
          </w:p>
        </w:tc>
        <w:tc>
          <w:tcPr>
            <w:tcW w:type="dxa" w:w="482"/>
          </w:tcPr>
          <w:p>
            <w:pPr>
              <w:spacing w:after="0"/>
            </w:pPr>
            <w:r>
              <w:rPr>
                <w:color w:val="1D1D1D"/>
                <w:sz w:val="16"/>
              </w:rPr>
              <w:t>H</w:t>
            </w:r>
          </w:p>
        </w:tc>
        <w:tc>
          <w:tcPr>
            <w:tcW w:type="dxa" w:w="803"/>
          </w:tcPr>
          <w:p>
            <w:pPr>
              <w:spacing w:after="0"/>
            </w:pPr>
            <w:r>
              <w:rPr>
                <w:color w:val="1D1D1D"/>
                <w:sz w:val="16"/>
              </w:rPr>
              <w:t>1</w:t>
            </w:r>
          </w:p>
        </w:tc>
        <w:tc>
          <w:tcPr>
            <w:tcW w:type="dxa" w:w="964"/>
          </w:tcPr>
          <w:p>
            <w:pPr>
              <w:spacing w:after="0"/>
            </w:pPr>
            <w:r>
              <w:rPr>
                <w:color w:val="1D1D1D"/>
                <w:sz w:val="16"/>
              </w:rPr>
              <w:t>1</w:t>
            </w:r>
          </w:p>
        </w:tc>
        <w:tc>
          <w:tcPr>
            <w:tcW w:type="dxa" w:w="964"/>
          </w:tcPr>
          <w:p>
            <w:pPr>
              <w:spacing w:after="0"/>
            </w:pPr>
            <w:r>
              <w:rPr>
                <w:color w:val="1D1D1D"/>
                <w:sz w:val="16"/>
              </w:rPr>
              <w:t>0</w:t>
            </w:r>
          </w:p>
        </w:tc>
        <w:tc>
          <w:tcPr>
            <w:tcW w:type="dxa" w:w="562"/>
          </w:tcPr>
          <w:p>
            <w:pPr>
              <w:spacing w:after="0"/>
            </w:pPr>
            <w:r>
              <w:rPr>
                <w:color w:val="1D1D1D"/>
                <w:sz w:val="16"/>
              </w:rPr>
              <w:t>1</w:t>
            </w:r>
          </w:p>
        </w:tc>
      </w:tr>
      <w:tr>
        <w:tc>
          <w:tcPr>
            <w:tcW w:type="dxa" w:w="1606"/>
            <w:shd w:val="clear" w:color="auto" w:fill="FAF8F2"/>
          </w:tcPr>
          <w:p>
            <w:pPr>
              <w:spacing w:after="0"/>
            </w:pPr>
            <w:r>
              <w:rPr>
                <w:color w:val="1D1D1D"/>
                <w:sz w:val="16"/>
              </w:rPr>
              <w:t>5 Acheteur</w:t>
            </w:r>
          </w:p>
        </w:tc>
        <w:tc>
          <w:tcPr>
            <w:tcW w:type="dxa" w:w="4257"/>
            <w:shd w:val="clear" w:color="auto" w:fill="FAF8F2"/>
          </w:tcPr>
          <w:p>
            <w:pPr>
              <w:spacing w:after="0"/>
            </w:pPr>
            <w:r>
              <w:rPr>
                <w:color w:val="1D1D1D"/>
                <w:sz w:val="16"/>
              </w:rPr>
              <w:t>Capacité de paiement / CAE, pire des années 1 à 10</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1,2</w:t>
            </w:r>
          </w:p>
        </w:tc>
        <w:tc>
          <w:tcPr>
            <w:tcW w:type="dxa" w:w="964"/>
            <w:shd w:val="clear" w:color="auto" w:fill="FAF8F2"/>
          </w:tcPr>
          <w:p>
            <w:pPr>
              <w:spacing w:after="0"/>
            </w:pPr>
            <w:r>
              <w:rPr>
                <w:color w:val="1D1D1D"/>
                <w:sz w:val="16"/>
              </w:rPr>
              <w:t>1,0</w:t>
            </w:r>
          </w:p>
        </w:tc>
        <w:tc>
          <w:tcPr>
            <w:tcW w:type="dxa" w:w="964"/>
            <w:shd w:val="clear" w:color="auto" w:fill="FAF8F2"/>
          </w:tcPr>
          <w:p>
            <w:pPr>
              <w:spacing w:after="0"/>
            </w:pPr>
            <w:r>
              <w:rPr>
                <w:color w:val="1D1D1D"/>
                <w:sz w:val="16"/>
              </w:rPr>
              <w:t>0,8</w:t>
            </w:r>
          </w:p>
        </w:tc>
        <w:tc>
          <w:tcPr>
            <w:tcW w:type="dxa" w:w="562"/>
            <w:shd w:val="clear" w:color="auto" w:fill="FAF8F2"/>
          </w:tcPr>
          <w:p>
            <w:pPr>
              <w:spacing w:after="0"/>
            </w:pPr>
            <w:r>
              <w:rPr>
                <w:color w:val="1D1D1D"/>
                <w:sz w:val="16"/>
              </w:rPr>
              <w:t>5,96</w:t>
            </w:r>
          </w:p>
        </w:tc>
      </w:tr>
      <w:tr>
        <w:tc>
          <w:tcPr>
            <w:tcW w:type="dxa" w:w="1606"/>
          </w:tcPr>
          <w:p>
            <w:pPr>
              <w:spacing w:after="0"/>
            </w:pPr>
          </w:p>
        </w:tc>
        <w:tc>
          <w:tcPr>
            <w:tcW w:type="dxa" w:w="4257"/>
          </w:tcPr>
          <w:p>
            <w:pPr>
              <w:spacing w:after="0"/>
            </w:pPr>
            <w:r>
              <w:rPr>
                <w:color w:val="1D1D1D"/>
                <w:sz w:val="16"/>
              </w:rPr>
              <w:t>Taux de recouvrement</w:t>
            </w:r>
          </w:p>
        </w:tc>
        <w:tc>
          <w:tcPr>
            <w:tcW w:type="dxa" w:w="482"/>
          </w:tcPr>
          <w:p>
            <w:pPr>
              <w:spacing w:after="0"/>
            </w:pPr>
            <w:r>
              <w:rPr>
                <w:color w:val="1D1D1D"/>
                <w:sz w:val="16"/>
              </w:rPr>
              <w:t>H</w:t>
            </w:r>
          </w:p>
        </w:tc>
        <w:tc>
          <w:tcPr>
            <w:tcW w:type="dxa" w:w="803"/>
          </w:tcPr>
          <w:p>
            <w:pPr>
              <w:spacing w:after="0"/>
            </w:pPr>
            <w:r>
              <w:rPr>
                <w:color w:val="1D1D1D"/>
                <w:sz w:val="16"/>
              </w:rPr>
              <w:t>95 %</w:t>
            </w:r>
          </w:p>
        </w:tc>
        <w:tc>
          <w:tcPr>
            <w:tcW w:type="dxa" w:w="964"/>
          </w:tcPr>
          <w:p>
            <w:pPr>
              <w:spacing w:after="0"/>
            </w:pPr>
            <w:r>
              <w:rPr>
                <w:color w:val="1D1D1D"/>
                <w:sz w:val="16"/>
              </w:rPr>
              <w:t>90 %</w:t>
            </w:r>
          </w:p>
        </w:tc>
        <w:tc>
          <w:tcPr>
            <w:tcW w:type="dxa" w:w="964"/>
          </w:tcPr>
          <w:p>
            <w:pPr>
              <w:spacing w:after="0"/>
            </w:pPr>
            <w:r>
              <w:rPr>
                <w:color w:val="1D1D1D"/>
                <w:sz w:val="16"/>
              </w:rPr>
              <w:t>80 %</w:t>
            </w:r>
          </w:p>
        </w:tc>
        <w:tc>
          <w:tcPr>
            <w:tcW w:type="dxa" w:w="562"/>
          </w:tcPr>
          <w:p>
            <w:pPr>
              <w:spacing w:after="0"/>
            </w:pPr>
            <w:r>
              <w:rPr>
                <w:color w:val="1D1D1D"/>
                <w:sz w:val="16"/>
              </w:rPr>
              <w:t>88 %</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Garantie de paiement (mois)</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6</w:t>
            </w:r>
          </w:p>
        </w:tc>
        <w:tc>
          <w:tcPr>
            <w:tcW w:type="dxa" w:w="964"/>
            <w:shd w:val="clear" w:color="auto" w:fill="FAF8F2"/>
          </w:tcPr>
          <w:p>
            <w:pPr>
              <w:spacing w:after="0"/>
            </w:pPr>
            <w:r>
              <w:rPr>
                <w:color w:val="1D1D1D"/>
                <w:sz w:val="16"/>
              </w:rPr>
              <w:t>3</w:t>
            </w:r>
          </w:p>
        </w:tc>
        <w:tc>
          <w:tcPr>
            <w:tcW w:type="dxa" w:w="964"/>
            <w:shd w:val="clear" w:color="auto" w:fill="FAF8F2"/>
          </w:tcPr>
          <w:p>
            <w:pPr>
              <w:spacing w:after="0"/>
            </w:pPr>
            <w:r>
              <w:rPr>
                <w:color w:val="1D1D1D"/>
                <w:sz w:val="16"/>
              </w:rPr>
              <w:t>1</w:t>
            </w:r>
          </w:p>
        </w:tc>
        <w:tc>
          <w:tcPr>
            <w:tcW w:type="dxa" w:w="562"/>
            <w:shd w:val="clear" w:color="auto" w:fill="FAF8F2"/>
          </w:tcPr>
          <w:p>
            <w:pPr>
              <w:spacing w:after="0"/>
            </w:pPr>
            <w:r>
              <w:rPr>
                <w:color w:val="1D1D1D"/>
                <w:sz w:val="16"/>
              </w:rPr>
              <w:t>3</w:t>
            </w:r>
          </w:p>
        </w:tc>
      </w:tr>
      <w:tr>
        <w:tc>
          <w:tcPr>
            <w:tcW w:type="dxa" w:w="1606"/>
          </w:tcPr>
          <w:p>
            <w:pPr>
              <w:spacing w:after="0"/>
            </w:pPr>
            <w:r>
              <w:rPr>
                <w:color w:val="1D1D1D"/>
                <w:sz w:val="16"/>
              </w:rPr>
              <w:t>6 Réglementation/CAE</w:t>
            </w:r>
          </w:p>
        </w:tc>
        <w:tc>
          <w:tcPr>
            <w:tcW w:type="dxa" w:w="4257"/>
          </w:tcPr>
          <w:p>
            <w:pPr>
              <w:spacing w:after="0"/>
            </w:pPr>
            <w:r>
              <w:rPr>
                <w:color w:val="1D1D1D"/>
                <w:sz w:val="16"/>
              </w:rPr>
              <w:t>Éléments en CRITICAL GAP</w:t>
            </w:r>
          </w:p>
        </w:tc>
        <w:tc>
          <w:tcPr>
            <w:tcW w:type="dxa" w:w="482"/>
          </w:tcPr>
          <w:p>
            <w:pPr>
              <w:spacing w:after="0"/>
            </w:pPr>
            <w:r>
              <w:rPr>
                <w:color w:val="1D1D1D"/>
                <w:sz w:val="16"/>
              </w:rPr>
              <w:t>L</w:t>
            </w:r>
          </w:p>
        </w:tc>
        <w:tc>
          <w:tcPr>
            <w:tcW w:type="dxa" w:w="803"/>
          </w:tcPr>
          <w:p>
            <w:pPr>
              <w:spacing w:after="0"/>
            </w:pPr>
            <w:r>
              <w:rPr>
                <w:color w:val="1D1D1D"/>
                <w:sz w:val="16"/>
              </w:rPr>
              <w:t>0</w:t>
            </w:r>
          </w:p>
        </w:tc>
        <w:tc>
          <w:tcPr>
            <w:tcW w:type="dxa" w:w="964"/>
          </w:tcPr>
          <w:p>
            <w:pPr>
              <w:spacing w:after="0"/>
            </w:pPr>
            <w:r>
              <w:rPr>
                <w:color w:val="1D1D1D"/>
                <w:sz w:val="16"/>
              </w:rPr>
              <w:t>0</w:t>
            </w:r>
          </w:p>
        </w:tc>
        <w:tc>
          <w:tcPr>
            <w:tcW w:type="dxa" w:w="964"/>
          </w:tcPr>
          <w:p>
            <w:pPr>
              <w:spacing w:after="0"/>
            </w:pPr>
            <w:r>
              <w:rPr>
                <w:color w:val="1D1D1D"/>
                <w:sz w:val="16"/>
              </w:rPr>
              <w:t>0</w:t>
            </w:r>
          </w:p>
        </w:tc>
        <w:tc>
          <w:tcPr>
            <w:tcW w:type="dxa" w:w="562"/>
          </w:tcPr>
          <w:p>
            <w:pPr>
              <w:spacing w:after="0"/>
            </w:pPr>
            <w:r>
              <w:rPr>
                <w:color w:val="1D1D1D"/>
                <w:sz w:val="16"/>
              </w:rPr>
              <w:t>0</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Éléments en GAP</w:t>
            </w:r>
          </w:p>
        </w:tc>
        <w:tc>
          <w:tcPr>
            <w:tcW w:type="dxa" w:w="482"/>
            <w:shd w:val="clear" w:color="auto" w:fill="FAF8F2"/>
          </w:tcPr>
          <w:p>
            <w:pPr>
              <w:spacing w:after="0"/>
            </w:pPr>
            <w:r>
              <w:rPr>
                <w:color w:val="1D1D1D"/>
                <w:sz w:val="16"/>
              </w:rPr>
              <w:t>L</w:t>
            </w:r>
          </w:p>
        </w:tc>
        <w:tc>
          <w:tcPr>
            <w:tcW w:type="dxa" w:w="803"/>
            <w:shd w:val="clear" w:color="auto" w:fill="FAF8F2"/>
          </w:tcPr>
          <w:p>
            <w:pPr>
              <w:spacing w:after="0"/>
            </w:pPr>
            <w:r>
              <w:rPr>
                <w:color w:val="1D1D1D"/>
                <w:sz w:val="16"/>
              </w:rPr>
              <w:t>1</w:t>
            </w:r>
          </w:p>
        </w:tc>
        <w:tc>
          <w:tcPr>
            <w:tcW w:type="dxa" w:w="964"/>
            <w:shd w:val="clear" w:color="auto" w:fill="FAF8F2"/>
          </w:tcPr>
          <w:p>
            <w:pPr>
              <w:spacing w:after="0"/>
            </w:pPr>
            <w:r>
              <w:rPr>
                <w:color w:val="1D1D1D"/>
                <w:sz w:val="16"/>
              </w:rPr>
              <w:t>3</w:t>
            </w:r>
          </w:p>
        </w:tc>
        <w:tc>
          <w:tcPr>
            <w:tcW w:type="dxa" w:w="964"/>
            <w:shd w:val="clear" w:color="auto" w:fill="FAF8F2"/>
          </w:tcPr>
          <w:p>
            <w:pPr>
              <w:spacing w:after="0"/>
            </w:pPr>
            <w:r>
              <w:rPr>
                <w:color w:val="1D1D1D"/>
                <w:sz w:val="16"/>
              </w:rPr>
              <w:t>5</w:t>
            </w:r>
          </w:p>
        </w:tc>
        <w:tc>
          <w:tcPr>
            <w:tcW w:type="dxa" w:w="562"/>
            <w:shd w:val="clear" w:color="auto" w:fill="FAF8F2"/>
          </w:tcPr>
          <w:p>
            <w:pPr>
              <w:spacing w:after="0"/>
            </w:pPr>
            <w:r>
              <w:rPr>
                <w:color w:val="1D1D1D"/>
                <w:sz w:val="16"/>
              </w:rPr>
              <w:t>4</w:t>
            </w:r>
          </w:p>
        </w:tc>
      </w:tr>
      <w:tr>
        <w:tc>
          <w:tcPr>
            <w:tcW w:type="dxa" w:w="1606"/>
          </w:tcPr>
          <w:p>
            <w:pPr>
              <w:spacing w:after="0"/>
            </w:pPr>
          </w:p>
        </w:tc>
        <w:tc>
          <w:tcPr>
            <w:tcW w:type="dxa" w:w="4257"/>
          </w:tcPr>
          <w:p>
            <w:pPr>
              <w:spacing w:after="0"/>
            </w:pPr>
            <w:r>
              <w:rPr>
                <w:color w:val="1D1D1D"/>
                <w:sz w:val="16"/>
              </w:rPr>
              <w:t>Part fixe (capacité) du chiffre d'affaires</w:t>
            </w:r>
          </w:p>
        </w:tc>
        <w:tc>
          <w:tcPr>
            <w:tcW w:type="dxa" w:w="482"/>
          </w:tcPr>
          <w:p>
            <w:pPr>
              <w:spacing w:after="0"/>
            </w:pPr>
            <w:r>
              <w:rPr>
                <w:color w:val="1D1D1D"/>
                <w:sz w:val="16"/>
              </w:rPr>
              <w:t>H</w:t>
            </w:r>
          </w:p>
        </w:tc>
        <w:tc>
          <w:tcPr>
            <w:tcW w:type="dxa" w:w="803"/>
          </w:tcPr>
          <w:p>
            <w:pPr>
              <w:spacing w:after="0"/>
            </w:pPr>
            <w:r>
              <w:rPr>
                <w:color w:val="1D1D1D"/>
                <w:sz w:val="16"/>
              </w:rPr>
              <w:t>60 %</w:t>
            </w:r>
          </w:p>
        </w:tc>
        <w:tc>
          <w:tcPr>
            <w:tcW w:type="dxa" w:w="964"/>
          </w:tcPr>
          <w:p>
            <w:pPr>
              <w:spacing w:after="0"/>
            </w:pPr>
            <w:r>
              <w:rPr>
                <w:color w:val="1D1D1D"/>
                <w:sz w:val="16"/>
              </w:rPr>
              <w:t>40 %</w:t>
            </w:r>
          </w:p>
        </w:tc>
        <w:tc>
          <w:tcPr>
            <w:tcW w:type="dxa" w:w="964"/>
          </w:tcPr>
          <w:p>
            <w:pPr>
              <w:spacing w:after="0"/>
            </w:pPr>
            <w:r>
              <w:rPr>
                <w:color w:val="1D1D1D"/>
                <w:sz w:val="16"/>
              </w:rPr>
              <w:t>20 %</w:t>
            </w:r>
          </w:p>
        </w:tc>
        <w:tc>
          <w:tcPr>
            <w:tcW w:type="dxa" w:w="562"/>
          </w:tcPr>
          <w:p>
            <w:pPr>
              <w:spacing w:after="0"/>
            </w:pPr>
            <w:r>
              <w:rPr>
                <w:color w:val="1D1D1D"/>
                <w:sz w:val="16"/>
              </w:rPr>
              <w:t>0 %</w:t>
            </w:r>
          </w:p>
        </w:tc>
      </w:tr>
      <w:tr>
        <w:tc>
          <w:tcPr>
            <w:tcW w:type="dxa" w:w="1606"/>
            <w:shd w:val="clear" w:color="auto" w:fill="FAF8F2"/>
          </w:tcPr>
          <w:p>
            <w:pPr>
              <w:spacing w:after="0"/>
            </w:pPr>
            <w:r>
              <w:rPr>
                <w:color w:val="1D1D1D"/>
                <w:sz w:val="16"/>
              </w:rPr>
              <w:t>7 Financement</w:t>
            </w:r>
          </w:p>
        </w:tc>
        <w:tc>
          <w:tcPr>
            <w:tcW w:type="dxa" w:w="4257"/>
            <w:shd w:val="clear" w:color="auto" w:fill="FAF8F2"/>
          </w:tcPr>
          <w:p>
            <w:pPr>
              <w:spacing w:after="0"/>
            </w:pPr>
            <w:r>
              <w:rPr>
                <w:color w:val="1D1D1D"/>
                <w:sz w:val="16"/>
              </w:rPr>
              <w:t>DSCR minimum, cas réel</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rFonts w:ascii="Courier New" w:hAnsi="Courier New"/>
                <w:color w:val="1D1D1D"/>
                <w:sz w:val="16"/>
              </w:rPr>
              <w:t>str_dscr</w:t>
            </w:r>
          </w:p>
        </w:tc>
        <w:tc>
          <w:tcPr>
            <w:tcW w:type="dxa" w:w="964"/>
            <w:shd w:val="clear" w:color="auto" w:fill="FAF8F2"/>
          </w:tcPr>
          <w:p>
            <w:pPr>
              <w:spacing w:after="0"/>
            </w:pPr>
            <w:r>
              <w:rPr>
                <w:rFonts w:ascii="Courier New" w:hAnsi="Courier New"/>
                <w:color w:val="1D1D1D"/>
                <w:sz w:val="16"/>
              </w:rPr>
              <w:t>lockup</w:t>
            </w:r>
          </w:p>
        </w:tc>
        <w:tc>
          <w:tcPr>
            <w:tcW w:type="dxa" w:w="964"/>
            <w:shd w:val="clear" w:color="auto" w:fill="FAF8F2"/>
          </w:tcPr>
          <w:p>
            <w:pPr>
              <w:spacing w:after="0"/>
            </w:pPr>
            <w:r>
              <w:rPr>
                <w:color w:val="1D1D1D"/>
                <w:sz w:val="16"/>
              </w:rPr>
              <w:t>1,0</w:t>
            </w:r>
          </w:p>
        </w:tc>
        <w:tc>
          <w:tcPr>
            <w:tcW w:type="dxa" w:w="562"/>
            <w:shd w:val="clear" w:color="auto" w:fill="FAF8F2"/>
          </w:tcPr>
          <w:p>
            <w:pPr>
              <w:spacing w:after="0"/>
            </w:pPr>
            <w:r>
              <w:rPr>
                <w:color w:val="1D1D1D"/>
                <w:sz w:val="16"/>
              </w:rPr>
              <w:t>1,53</w:t>
            </w:r>
          </w:p>
        </w:tc>
      </w:tr>
      <w:tr>
        <w:tc>
          <w:tcPr>
            <w:tcW w:type="dxa" w:w="1606"/>
          </w:tcPr>
          <w:p>
            <w:pPr>
              <w:spacing w:after="0"/>
            </w:pPr>
          </w:p>
        </w:tc>
        <w:tc>
          <w:tcPr>
            <w:tcW w:type="dxa" w:w="4257"/>
          </w:tcPr>
          <w:p>
            <w:pPr>
              <w:spacing w:after="0"/>
            </w:pPr>
            <w:r>
              <w:rPr>
                <w:color w:val="1D1D1D"/>
                <w:sz w:val="16"/>
              </w:rPr>
              <w:t>Écart de financement / emplois</w:t>
            </w:r>
          </w:p>
        </w:tc>
        <w:tc>
          <w:tcPr>
            <w:tcW w:type="dxa" w:w="482"/>
          </w:tcPr>
          <w:p>
            <w:pPr>
              <w:spacing w:after="0"/>
            </w:pPr>
            <w:r>
              <w:rPr>
                <w:color w:val="1D1D1D"/>
                <w:sz w:val="16"/>
              </w:rPr>
              <w:t>L</w:t>
            </w:r>
          </w:p>
        </w:tc>
        <w:tc>
          <w:tcPr>
            <w:tcW w:type="dxa" w:w="803"/>
          </w:tcPr>
          <w:p>
            <w:pPr>
              <w:spacing w:after="0"/>
            </w:pPr>
            <w:r>
              <w:rPr>
                <w:color w:val="1D1D1D"/>
                <w:sz w:val="16"/>
              </w:rPr>
              <w:t>0 %</w:t>
            </w:r>
          </w:p>
        </w:tc>
        <w:tc>
          <w:tcPr>
            <w:tcW w:type="dxa" w:w="964"/>
          </w:tcPr>
          <w:p>
            <w:pPr>
              <w:spacing w:after="0"/>
            </w:pPr>
            <w:r>
              <w:rPr>
                <w:color w:val="1D1D1D"/>
                <w:sz w:val="16"/>
              </w:rPr>
              <w:t>5 %</w:t>
            </w:r>
          </w:p>
        </w:tc>
        <w:tc>
          <w:tcPr>
            <w:tcW w:type="dxa" w:w="964"/>
          </w:tcPr>
          <w:p>
            <w:pPr>
              <w:spacing w:after="0"/>
            </w:pPr>
            <w:r>
              <w:rPr>
                <w:color w:val="1D1D1D"/>
                <w:sz w:val="16"/>
              </w:rPr>
              <w:t>15 %</w:t>
            </w:r>
          </w:p>
        </w:tc>
        <w:tc>
          <w:tcPr>
            <w:tcW w:type="dxa" w:w="562"/>
          </w:tcPr>
          <w:p>
            <w:pPr>
              <w:spacing w:after="0"/>
            </w:pPr>
            <w:r>
              <w:rPr>
                <w:color w:val="1D1D1D"/>
                <w:sz w:val="16"/>
              </w:rPr>
              <w:t>1,9 %</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TRI des fonds propres privés par rapport à la cible</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cible</w:t>
            </w:r>
          </w:p>
        </w:tc>
        <w:tc>
          <w:tcPr>
            <w:tcW w:type="dxa" w:w="964"/>
            <w:shd w:val="clear" w:color="auto" w:fill="FAF8F2"/>
          </w:tcPr>
          <w:p>
            <w:pPr>
              <w:spacing w:after="0"/>
            </w:pPr>
            <w:r>
              <w:rPr>
                <w:color w:val="1D1D1D"/>
                <w:sz w:val="16"/>
              </w:rPr>
              <w:t>cible −2 pts</w:t>
            </w:r>
          </w:p>
        </w:tc>
        <w:tc>
          <w:tcPr>
            <w:tcW w:type="dxa" w:w="964"/>
            <w:shd w:val="clear" w:color="auto" w:fill="FAF8F2"/>
          </w:tcPr>
          <w:p>
            <w:pPr>
              <w:spacing w:after="0"/>
            </w:pPr>
            <w:r>
              <w:rPr>
                <w:color w:val="1D1D1D"/>
                <w:sz w:val="16"/>
              </w:rPr>
              <w:t>cible −5 pts</w:t>
            </w:r>
          </w:p>
        </w:tc>
        <w:tc>
          <w:tcPr>
            <w:tcW w:type="dxa" w:w="562"/>
            <w:shd w:val="clear" w:color="auto" w:fill="FAF8F2"/>
          </w:tcPr>
          <w:p>
            <w:pPr>
              <w:spacing w:after="0"/>
            </w:pPr>
            <w:r>
              <w:rPr>
                <w:color w:val="1D1D1D"/>
                <w:sz w:val="16"/>
              </w:rPr>
              <w:t>13,8 %</w:t>
            </w:r>
          </w:p>
        </w:tc>
      </w:tr>
      <w:tr>
        <w:tc>
          <w:tcPr>
            <w:tcW w:type="dxa" w:w="1606"/>
          </w:tcPr>
          <w:p>
            <w:pPr>
              <w:spacing w:after="0"/>
            </w:pPr>
            <w:r>
              <w:rPr>
                <w:color w:val="1D1D1D"/>
                <w:sz w:val="16"/>
              </w:rPr>
              <w:t>8 Finances publiques</w:t>
            </w:r>
          </w:p>
        </w:tc>
        <w:tc>
          <w:tcPr>
            <w:tcW w:type="dxa" w:w="4257"/>
          </w:tcPr>
          <w:p>
            <w:pPr>
              <w:spacing w:after="0"/>
            </w:pPr>
            <w:r>
              <w:rPr>
                <w:color w:val="1D1D1D"/>
                <w:sz w:val="16"/>
              </w:rPr>
              <w:t>Besoin de trésorerie maximal / recettes</w:t>
            </w:r>
          </w:p>
        </w:tc>
        <w:tc>
          <w:tcPr>
            <w:tcW w:type="dxa" w:w="482"/>
          </w:tcPr>
          <w:p>
            <w:pPr>
              <w:spacing w:after="0"/>
            </w:pPr>
            <w:r>
              <w:rPr>
                <w:color w:val="1D1D1D"/>
                <w:sz w:val="16"/>
              </w:rPr>
              <w:t>L</w:t>
            </w:r>
          </w:p>
        </w:tc>
        <w:tc>
          <w:tcPr>
            <w:tcW w:type="dxa" w:w="803"/>
          </w:tcPr>
          <w:p>
            <w:pPr>
              <w:spacing w:after="0"/>
            </w:pPr>
            <w:r>
              <w:rPr>
                <w:color w:val="1D1D1D"/>
                <w:sz w:val="16"/>
              </w:rPr>
              <w:t>0,5 %</w:t>
            </w:r>
          </w:p>
        </w:tc>
        <w:tc>
          <w:tcPr>
            <w:tcW w:type="dxa" w:w="964"/>
          </w:tcPr>
          <w:p>
            <w:pPr>
              <w:spacing w:after="0"/>
            </w:pPr>
            <w:r>
              <w:rPr>
                <w:color w:val="1D1D1D"/>
                <w:sz w:val="16"/>
              </w:rPr>
              <w:t>1 %</w:t>
            </w:r>
          </w:p>
        </w:tc>
        <w:tc>
          <w:tcPr>
            <w:tcW w:type="dxa" w:w="964"/>
          </w:tcPr>
          <w:p>
            <w:pPr>
              <w:spacing w:after="0"/>
            </w:pPr>
            <w:r>
              <w:rPr>
                <w:color w:val="1D1D1D"/>
                <w:sz w:val="16"/>
              </w:rPr>
              <w:t>2 %</w:t>
            </w:r>
          </w:p>
        </w:tc>
        <w:tc>
          <w:tcPr>
            <w:tcW w:type="dxa" w:w="562"/>
          </w:tcPr>
          <w:p>
            <w:pPr>
              <w:spacing w:after="0"/>
            </w:pPr>
            <w:r>
              <w:rPr>
                <w:color w:val="1D1D1D"/>
                <w:sz w:val="16"/>
              </w:rPr>
              <w:t>0 %</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Exposition éventuelle maximale / PIB</w:t>
            </w:r>
          </w:p>
        </w:tc>
        <w:tc>
          <w:tcPr>
            <w:tcW w:type="dxa" w:w="482"/>
            <w:shd w:val="clear" w:color="auto" w:fill="FAF8F2"/>
          </w:tcPr>
          <w:p>
            <w:pPr>
              <w:spacing w:after="0"/>
            </w:pPr>
            <w:r>
              <w:rPr>
                <w:color w:val="1D1D1D"/>
                <w:sz w:val="16"/>
              </w:rPr>
              <w:t>L</w:t>
            </w:r>
          </w:p>
        </w:tc>
        <w:tc>
          <w:tcPr>
            <w:tcW w:type="dxa" w:w="803"/>
            <w:shd w:val="clear" w:color="auto" w:fill="FAF8F2"/>
          </w:tcPr>
          <w:p>
            <w:pPr>
              <w:spacing w:after="0"/>
            </w:pPr>
            <w:r>
              <w:rPr>
                <w:color w:val="1D1D1D"/>
                <w:sz w:val="16"/>
              </w:rPr>
              <w:t>1 %</w:t>
            </w:r>
          </w:p>
        </w:tc>
        <w:tc>
          <w:tcPr>
            <w:tcW w:type="dxa" w:w="964"/>
            <w:shd w:val="clear" w:color="auto" w:fill="FAF8F2"/>
          </w:tcPr>
          <w:p>
            <w:pPr>
              <w:spacing w:after="0"/>
            </w:pPr>
            <w:r>
              <w:rPr>
                <w:color w:val="1D1D1D"/>
                <w:sz w:val="16"/>
              </w:rPr>
              <w:t>2 %</w:t>
            </w:r>
          </w:p>
        </w:tc>
        <w:tc>
          <w:tcPr>
            <w:tcW w:type="dxa" w:w="964"/>
            <w:shd w:val="clear" w:color="auto" w:fill="FAF8F2"/>
          </w:tcPr>
          <w:p>
            <w:pPr>
              <w:spacing w:after="0"/>
            </w:pPr>
            <w:r>
              <w:rPr>
                <w:color w:val="1D1D1D"/>
                <w:sz w:val="16"/>
              </w:rPr>
              <w:t>4 %</w:t>
            </w:r>
          </w:p>
        </w:tc>
        <w:tc>
          <w:tcPr>
            <w:tcW w:type="dxa" w:w="562"/>
            <w:shd w:val="clear" w:color="auto" w:fill="FAF8F2"/>
          </w:tcPr>
          <w:p>
            <w:pPr>
              <w:spacing w:after="0"/>
            </w:pPr>
            <w:r>
              <w:rPr>
                <w:color w:val="1D1D1D"/>
                <w:sz w:val="16"/>
              </w:rPr>
              <w:t>0,56 %</w:t>
            </w:r>
          </w:p>
        </w:tc>
      </w:tr>
      <w:tr>
        <w:tc>
          <w:tcPr>
            <w:tcW w:type="dxa" w:w="1606"/>
          </w:tcPr>
          <w:p>
            <w:pPr>
              <w:spacing w:after="0"/>
            </w:pPr>
          </w:p>
        </w:tc>
        <w:tc>
          <w:tcPr>
            <w:tcW w:type="dxa" w:w="4257"/>
          </w:tcPr>
          <w:p>
            <w:pPr>
              <w:spacing w:after="0"/>
            </w:pPr>
            <w:r>
              <w:rPr>
                <w:color w:val="1D1D1D"/>
                <w:sz w:val="16"/>
              </w:rPr>
              <w:t>Augmentation budgétaire maximale / PIB</w:t>
            </w:r>
          </w:p>
        </w:tc>
        <w:tc>
          <w:tcPr>
            <w:tcW w:type="dxa" w:w="482"/>
          </w:tcPr>
          <w:p>
            <w:pPr>
              <w:spacing w:after="0"/>
            </w:pPr>
            <w:r>
              <w:rPr>
                <w:color w:val="1D1D1D"/>
                <w:sz w:val="16"/>
              </w:rPr>
              <w:t>L</w:t>
            </w:r>
          </w:p>
        </w:tc>
        <w:tc>
          <w:tcPr>
            <w:tcW w:type="dxa" w:w="803"/>
          </w:tcPr>
          <w:p>
            <w:pPr>
              <w:spacing w:after="0"/>
            </w:pPr>
            <w:r>
              <w:rPr>
                <w:color w:val="1D1D1D"/>
                <w:sz w:val="16"/>
              </w:rPr>
              <w:t>0,5 %</w:t>
            </w:r>
          </w:p>
        </w:tc>
        <w:tc>
          <w:tcPr>
            <w:tcW w:type="dxa" w:w="964"/>
          </w:tcPr>
          <w:p>
            <w:pPr>
              <w:spacing w:after="0"/>
            </w:pPr>
            <w:r>
              <w:rPr>
                <w:color w:val="1D1D1D"/>
                <w:sz w:val="16"/>
              </w:rPr>
              <w:t>1 %</w:t>
            </w:r>
          </w:p>
        </w:tc>
        <w:tc>
          <w:tcPr>
            <w:tcW w:type="dxa" w:w="964"/>
          </w:tcPr>
          <w:p>
            <w:pPr>
              <w:spacing w:after="0"/>
            </w:pPr>
            <w:r>
              <w:rPr>
                <w:color w:val="1D1D1D"/>
                <w:sz w:val="16"/>
              </w:rPr>
              <w:t>2 %</w:t>
            </w:r>
          </w:p>
        </w:tc>
        <w:tc>
          <w:tcPr>
            <w:tcW w:type="dxa" w:w="562"/>
          </w:tcPr>
          <w:p>
            <w:pPr>
              <w:spacing w:after="0"/>
            </w:pPr>
            <w:r>
              <w:rPr>
                <w:color w:val="1D1D1D"/>
                <w:sz w:val="16"/>
              </w:rPr>
              <w:t>0 %</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VAN budgétaire consolidée / PIB</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0 %</w:t>
            </w:r>
          </w:p>
        </w:tc>
        <w:tc>
          <w:tcPr>
            <w:tcW w:type="dxa" w:w="964"/>
            <w:shd w:val="clear" w:color="auto" w:fill="FAF8F2"/>
          </w:tcPr>
          <w:p>
            <w:pPr>
              <w:spacing w:after="0"/>
            </w:pPr>
            <w:r>
              <w:rPr>
                <w:color w:val="1D1D1D"/>
                <w:sz w:val="16"/>
              </w:rPr>
              <w:t>−0,5 %</w:t>
            </w:r>
          </w:p>
        </w:tc>
        <w:tc>
          <w:tcPr>
            <w:tcW w:type="dxa" w:w="964"/>
            <w:shd w:val="clear" w:color="auto" w:fill="FAF8F2"/>
          </w:tcPr>
          <w:p>
            <w:pPr>
              <w:spacing w:after="0"/>
            </w:pPr>
            <w:r>
              <w:rPr>
                <w:color w:val="1D1D1D"/>
                <w:sz w:val="16"/>
              </w:rPr>
              <w:t>−2 %</w:t>
            </w:r>
          </w:p>
        </w:tc>
        <w:tc>
          <w:tcPr>
            <w:tcW w:type="dxa" w:w="562"/>
            <w:shd w:val="clear" w:color="auto" w:fill="FAF8F2"/>
          </w:tcPr>
          <w:p>
            <w:pPr>
              <w:spacing w:after="0"/>
            </w:pPr>
            <w:r>
              <w:rPr>
                <w:color w:val="1D1D1D"/>
                <w:sz w:val="16"/>
              </w:rPr>
              <w:t>−0,08 %</w:t>
            </w:r>
          </w:p>
        </w:tc>
      </w:tr>
      <w:tr>
        <w:tc>
          <w:tcPr>
            <w:tcW w:type="dxa" w:w="1606"/>
          </w:tcPr>
          <w:p>
            <w:pPr>
              <w:spacing w:after="0"/>
            </w:pPr>
          </w:p>
        </w:tc>
        <w:tc>
          <w:tcPr>
            <w:tcW w:type="dxa" w:w="4257"/>
          </w:tcPr>
          <w:p>
            <w:pPr>
              <w:spacing w:after="0"/>
            </w:pPr>
            <w:r>
              <w:rPr>
                <w:color w:val="1D1D1D"/>
                <w:sz w:val="16"/>
              </w:rPr>
              <w:t>Note de risque DSA (1 à 4)</w:t>
            </w:r>
          </w:p>
        </w:tc>
        <w:tc>
          <w:tcPr>
            <w:tcW w:type="dxa" w:w="482"/>
          </w:tcPr>
          <w:p>
            <w:pPr>
              <w:spacing w:after="0"/>
            </w:pPr>
            <w:r>
              <w:rPr>
                <w:color w:val="1D1D1D"/>
                <w:sz w:val="16"/>
              </w:rPr>
              <w:t>L</w:t>
            </w:r>
          </w:p>
        </w:tc>
        <w:tc>
          <w:tcPr>
            <w:tcW w:type="dxa" w:w="803"/>
          </w:tcPr>
          <w:p>
            <w:pPr>
              <w:spacing w:after="0"/>
            </w:pPr>
            <w:r>
              <w:rPr>
                <w:color w:val="1D1D1D"/>
                <w:sz w:val="16"/>
              </w:rPr>
              <w:t>1</w:t>
            </w:r>
          </w:p>
        </w:tc>
        <w:tc>
          <w:tcPr>
            <w:tcW w:type="dxa" w:w="964"/>
          </w:tcPr>
          <w:p>
            <w:pPr>
              <w:spacing w:after="0"/>
            </w:pPr>
            <w:r>
              <w:rPr>
                <w:color w:val="1D1D1D"/>
                <w:sz w:val="16"/>
              </w:rPr>
              <w:t>2</w:t>
            </w:r>
          </w:p>
        </w:tc>
        <w:tc>
          <w:tcPr>
            <w:tcW w:type="dxa" w:w="964"/>
          </w:tcPr>
          <w:p>
            <w:pPr>
              <w:spacing w:after="0"/>
            </w:pPr>
            <w:r>
              <w:rPr>
                <w:color w:val="1D1D1D"/>
                <w:sz w:val="16"/>
              </w:rPr>
              <w:t>3</w:t>
            </w:r>
          </w:p>
        </w:tc>
        <w:tc>
          <w:tcPr>
            <w:tcW w:type="dxa" w:w="562"/>
          </w:tcPr>
          <w:p>
            <w:pPr>
              <w:spacing w:after="0"/>
            </w:pPr>
            <w:r>
              <w:rPr>
                <w:color w:val="1D1D1D"/>
                <w:sz w:val="16"/>
              </w:rPr>
              <w:t>2</w:t>
            </w:r>
          </w:p>
        </w:tc>
      </w:tr>
      <w:tr>
        <w:tc>
          <w:tcPr>
            <w:tcW w:type="dxa" w:w="1606"/>
            <w:shd w:val="clear" w:color="auto" w:fill="FAF8F2"/>
          </w:tcPr>
          <w:p>
            <w:pPr>
              <w:spacing w:after="0"/>
            </w:pPr>
            <w:r>
              <w:rPr>
                <w:color w:val="1D1D1D"/>
                <w:sz w:val="16"/>
              </w:rPr>
              <w:t>9 E&amp;S</w:t>
            </w:r>
          </w:p>
        </w:tc>
        <w:tc>
          <w:tcPr>
            <w:tcW w:type="dxa" w:w="4257"/>
            <w:shd w:val="clear" w:color="auto" w:fill="FAF8F2"/>
          </w:tcPr>
          <w:p>
            <w:pPr>
              <w:spacing w:after="0"/>
            </w:pPr>
            <w:r>
              <w:rPr>
                <w:color w:val="1D1D1D"/>
                <w:sz w:val="16"/>
              </w:rPr>
              <w:t>EIES et conformité aux normes des prêteurs</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3</w:t>
            </w:r>
          </w:p>
        </w:tc>
        <w:tc>
          <w:tcPr>
            <w:tcW w:type="dxa" w:w="964"/>
            <w:shd w:val="clear" w:color="auto" w:fill="FAF8F2"/>
          </w:tcPr>
          <w:p>
            <w:pPr>
              <w:spacing w:after="0"/>
            </w:pPr>
            <w:r>
              <w:rPr>
                <w:color w:val="1D1D1D"/>
                <w:sz w:val="16"/>
              </w:rPr>
              <w:t>2</w:t>
            </w:r>
          </w:p>
        </w:tc>
        <w:tc>
          <w:tcPr>
            <w:tcW w:type="dxa" w:w="964"/>
            <w:shd w:val="clear" w:color="auto" w:fill="FAF8F2"/>
          </w:tcPr>
          <w:p>
            <w:pPr>
              <w:spacing w:after="0"/>
            </w:pPr>
            <w:r>
              <w:rPr>
                <w:color w:val="1D1D1D"/>
                <w:sz w:val="16"/>
              </w:rPr>
              <w:t>1</w:t>
            </w:r>
          </w:p>
        </w:tc>
        <w:tc>
          <w:tcPr>
            <w:tcW w:type="dxa" w:w="562"/>
            <w:shd w:val="clear" w:color="auto" w:fill="FAF8F2"/>
          </w:tcPr>
          <w:p>
            <w:pPr>
              <w:spacing w:after="0"/>
            </w:pPr>
            <w:r>
              <w:rPr>
                <w:color w:val="1D1D1D"/>
                <w:sz w:val="16"/>
              </w:rPr>
              <w:t>2</w:t>
            </w:r>
          </w:p>
        </w:tc>
      </w:tr>
      <w:tr>
        <w:tc>
          <w:tcPr>
            <w:tcW w:type="dxa" w:w="1606"/>
          </w:tcPr>
          <w:p>
            <w:pPr>
              <w:spacing w:after="0"/>
            </w:pPr>
          </w:p>
        </w:tc>
        <w:tc>
          <w:tcPr>
            <w:tcW w:type="dxa" w:w="4257"/>
          </w:tcPr>
          <w:p>
            <w:pPr>
              <w:spacing w:after="0"/>
            </w:pPr>
            <w:r>
              <w:rPr>
                <w:color w:val="1D1D1D"/>
                <w:sz w:val="16"/>
              </w:rPr>
              <w:t>État du plan de réinstallation</w:t>
            </w:r>
          </w:p>
        </w:tc>
        <w:tc>
          <w:tcPr>
            <w:tcW w:type="dxa" w:w="482"/>
          </w:tcPr>
          <w:p>
            <w:pPr>
              <w:spacing w:after="0"/>
            </w:pPr>
            <w:r>
              <w:rPr>
                <w:color w:val="1D1D1D"/>
                <w:sz w:val="16"/>
              </w:rPr>
              <w:t>H</w:t>
            </w:r>
          </w:p>
        </w:tc>
        <w:tc>
          <w:tcPr>
            <w:tcW w:type="dxa" w:w="803"/>
          </w:tcPr>
          <w:p>
            <w:pPr>
              <w:spacing w:after="0"/>
            </w:pPr>
            <w:r>
              <w:rPr>
                <w:color w:val="1D1D1D"/>
                <w:sz w:val="16"/>
              </w:rPr>
              <w:t>3</w:t>
            </w:r>
          </w:p>
        </w:tc>
        <w:tc>
          <w:tcPr>
            <w:tcW w:type="dxa" w:w="964"/>
          </w:tcPr>
          <w:p>
            <w:pPr>
              <w:spacing w:after="0"/>
            </w:pPr>
            <w:r>
              <w:rPr>
                <w:color w:val="1D1D1D"/>
                <w:sz w:val="16"/>
              </w:rPr>
              <w:t>2</w:t>
            </w:r>
          </w:p>
        </w:tc>
        <w:tc>
          <w:tcPr>
            <w:tcW w:type="dxa" w:w="964"/>
          </w:tcPr>
          <w:p>
            <w:pPr>
              <w:spacing w:after="0"/>
            </w:pPr>
            <w:r>
              <w:rPr>
                <w:color w:val="1D1D1D"/>
                <w:sz w:val="16"/>
              </w:rPr>
              <w:t>1</w:t>
            </w:r>
          </w:p>
        </w:tc>
        <w:tc>
          <w:tcPr>
            <w:tcW w:type="dxa" w:w="562"/>
          </w:tcPr>
          <w:p>
            <w:pPr>
              <w:spacing w:after="0"/>
            </w:pPr>
            <w:r>
              <w:rPr>
                <w:color w:val="1D1D1D"/>
                <w:sz w:val="16"/>
              </w:rPr>
              <w:t>2</w:t>
            </w:r>
          </w:p>
        </w:tc>
      </w:tr>
      <w:tr>
        <w:tc>
          <w:tcPr>
            <w:tcW w:type="dxa" w:w="1606"/>
            <w:shd w:val="clear" w:color="auto" w:fill="FAF8F2"/>
          </w:tcPr>
          <w:p>
            <w:pPr>
              <w:spacing w:after="0"/>
            </w:pPr>
          </w:p>
        </w:tc>
        <w:tc>
          <w:tcPr>
            <w:tcW w:type="dxa" w:w="4257"/>
            <w:shd w:val="clear" w:color="auto" w:fill="FAF8F2"/>
          </w:tcPr>
          <w:p>
            <w:pPr>
              <w:spacing w:after="0"/>
            </w:pPr>
            <w:r>
              <w:rPr>
                <w:color w:val="1D1D1D"/>
                <w:sz w:val="16"/>
              </w:rPr>
              <w:t>Questions transfrontalières</w:t>
            </w:r>
          </w:p>
        </w:tc>
        <w:tc>
          <w:tcPr>
            <w:tcW w:type="dxa" w:w="482"/>
            <w:shd w:val="clear" w:color="auto" w:fill="FAF8F2"/>
          </w:tcPr>
          <w:p>
            <w:pPr>
              <w:spacing w:after="0"/>
            </w:pPr>
            <w:r>
              <w:rPr>
                <w:color w:val="1D1D1D"/>
                <w:sz w:val="16"/>
              </w:rPr>
              <w:t>H</w:t>
            </w:r>
          </w:p>
        </w:tc>
        <w:tc>
          <w:tcPr>
            <w:tcW w:type="dxa" w:w="803"/>
            <w:shd w:val="clear" w:color="auto" w:fill="FAF8F2"/>
          </w:tcPr>
          <w:p>
            <w:pPr>
              <w:spacing w:after="0"/>
            </w:pPr>
            <w:r>
              <w:rPr>
                <w:color w:val="1D1D1D"/>
                <w:sz w:val="16"/>
              </w:rPr>
              <w:t>3</w:t>
            </w:r>
          </w:p>
        </w:tc>
        <w:tc>
          <w:tcPr>
            <w:tcW w:type="dxa" w:w="964"/>
            <w:shd w:val="clear" w:color="auto" w:fill="FAF8F2"/>
          </w:tcPr>
          <w:p>
            <w:pPr>
              <w:spacing w:after="0"/>
            </w:pPr>
            <w:r>
              <w:rPr>
                <w:color w:val="1D1D1D"/>
                <w:sz w:val="16"/>
              </w:rPr>
              <w:t>2</w:t>
            </w:r>
          </w:p>
        </w:tc>
        <w:tc>
          <w:tcPr>
            <w:tcW w:type="dxa" w:w="964"/>
            <w:shd w:val="clear" w:color="auto" w:fill="FAF8F2"/>
          </w:tcPr>
          <w:p>
            <w:pPr>
              <w:spacing w:after="0"/>
            </w:pPr>
            <w:r>
              <w:rPr>
                <w:color w:val="1D1D1D"/>
                <w:sz w:val="16"/>
              </w:rPr>
              <w:t>1</w:t>
            </w:r>
          </w:p>
        </w:tc>
        <w:tc>
          <w:tcPr>
            <w:tcW w:type="dxa" w:w="562"/>
            <w:shd w:val="clear" w:color="auto" w:fill="FAF8F2"/>
          </w:tcPr>
          <w:p>
            <w:pPr>
              <w:spacing w:after="0"/>
            </w:pPr>
            <w:r>
              <w:rPr>
                <w:color w:val="1D1D1D"/>
                <w:sz w:val="16"/>
              </w:rPr>
              <w:t>3</w:t>
            </w:r>
          </w:p>
        </w:tc>
      </w:tr>
    </w:tbl>
    <w:p>
      <w:pPr>
        <w:spacing w:after="40"/>
      </w:pPr>
    </w:p>
    <w:p>
      <w:pPr>
        <w:jc w:val="both"/>
      </w:pPr>
      <w:r>
        <w:rPr/>
        <w:t xml:space="preserve">Le test du TRI des fonds propres utilise </w:t>
      </w:r>
      <w:r>
        <w:rPr>
          <w:rFonts w:ascii="Courier New" w:hAnsi="Courier New"/>
        </w:rPr>
        <w:t>IF(ISNUMBER(kpi_eirr),kpi_eirr,IF(s_priv&gt;0,-1,str_hurdle))</w:t>
      </w:r>
      <w:r>
        <w:rPr/>
        <w:t>, de sorte qu'une structure sans fonds propres privés le réussit. Le verdict global :</w:t>
      </w:r>
    </w:p>
    <w:tbl>
      <w:tblPr>
        <w:tblStyle w:val="TableGrid"/>
        <w:tblW w:type="auto" w:w="0"/>
        <w:jc w:val="center"/>
        <w:tblLook w:firstColumn="1" w:firstRow="1" w:lastColumn="0" w:lastRow="0" w:noHBand="0" w:noVBand="1" w:val="04A0"/>
      </w:tblPr>
      <w:tblGrid>
        <w:gridCol w:w="4819"/>
        <w:gridCol w:w="4819"/>
      </w:tblGrid>
      <w:tr>
        <w:tc>
          <w:tcPr>
            <w:tcW w:type="dxa" w:w="3551"/>
            <w:shd w:val="clear" w:color="auto" w:fill="0B3020"/>
          </w:tcPr>
          <w:p>
            <w:pPr>
              <w:spacing w:after="0"/>
            </w:pPr>
            <w:r>
              <w:rPr>
                <w:b/>
                <w:color w:val="FFFFFF"/>
                <w:sz w:val="16"/>
              </w:rPr>
              <w:t>Condition</w:t>
            </w:r>
          </w:p>
        </w:tc>
        <w:tc>
          <w:tcPr>
            <w:tcW w:type="dxa" w:w="6087"/>
            <w:shd w:val="clear" w:color="auto" w:fill="0B3020"/>
          </w:tcPr>
          <w:p>
            <w:pPr>
              <w:spacing w:after="0"/>
            </w:pPr>
            <w:r>
              <w:rPr>
                <w:b/>
                <w:color w:val="FFFFFF"/>
                <w:sz w:val="16"/>
              </w:rPr>
              <w:t>Verdict</w:t>
            </w:r>
          </w:p>
        </w:tc>
      </w:tr>
      <w:tr>
        <w:tc>
          <w:tcPr>
            <w:tcW w:type="dxa" w:w="3551"/>
          </w:tcPr>
          <w:p>
            <w:pPr>
              <w:spacing w:after="0"/>
            </w:pPr>
            <w:r>
              <w:rPr>
                <w:color w:val="1D1D1D"/>
                <w:sz w:val="16"/>
              </w:rPr>
              <w:t>Une porte au moins en CRITICAL GAP</w:t>
            </w:r>
          </w:p>
        </w:tc>
        <w:tc>
          <w:tcPr>
            <w:tcW w:type="dxa" w:w="6087"/>
          </w:tcPr>
          <w:p>
            <w:pPr>
              <w:spacing w:after="0"/>
            </w:pPr>
            <w:r>
              <w:rPr>
                <w:color w:val="1D1D1D"/>
                <w:sz w:val="16"/>
              </w:rPr>
              <w:t>NOT BANKABLE (non bancable : la ou les lacunes critiques doivent être comblées)</w:t>
            </w:r>
          </w:p>
        </w:tc>
      </w:tr>
      <w:tr>
        <w:tc>
          <w:tcPr>
            <w:tcW w:type="dxa" w:w="3551"/>
            <w:shd w:val="clear" w:color="auto" w:fill="FAF8F2"/>
          </w:tcPr>
          <w:p>
            <w:pPr>
              <w:spacing w:after="0"/>
            </w:pPr>
            <w:r>
              <w:rPr>
                <w:color w:val="1D1D1D"/>
                <w:sz w:val="16"/>
              </w:rPr>
              <w:t>Sinon, au moins une DEVELOPMENT GAP</w:t>
            </w:r>
          </w:p>
        </w:tc>
        <w:tc>
          <w:tcPr>
            <w:tcW w:type="dxa" w:w="6087"/>
            <w:shd w:val="clear" w:color="auto" w:fill="FAF8F2"/>
          </w:tcPr>
          <w:p>
            <w:pPr>
              <w:spacing w:after="0"/>
            </w:pPr>
            <w:r>
              <w:rPr>
                <w:color w:val="1D1D1D"/>
                <w:sz w:val="16"/>
              </w:rPr>
              <w:t>NOT YET BANKABLE (pas encore bancable : des lacunes de développement subsistent)</w:t>
            </w:r>
          </w:p>
        </w:tc>
      </w:tr>
      <w:tr>
        <w:tc>
          <w:tcPr>
            <w:tcW w:type="dxa" w:w="3551"/>
          </w:tcPr>
          <w:p>
            <w:pPr>
              <w:spacing w:after="0"/>
            </w:pPr>
            <w:r>
              <w:rPr>
                <w:color w:val="1D1D1D"/>
                <w:sz w:val="16"/>
              </w:rPr>
              <w:t>Sinon, note la plus basse égale à 2</w:t>
            </w:r>
          </w:p>
        </w:tc>
        <w:tc>
          <w:tcPr>
            <w:tcW w:type="dxa" w:w="6087"/>
          </w:tcPr>
          <w:p>
            <w:pPr>
              <w:spacing w:after="0"/>
            </w:pPr>
            <w:r>
              <w:rPr>
                <w:color w:val="1D1D1D"/>
                <w:sz w:val="16"/>
              </w:rPr>
              <w:t>BANKABLE SUBJECT TO CONDITIONS (bancable sous conditions)</w:t>
            </w:r>
          </w:p>
        </w:tc>
      </w:tr>
      <w:tr>
        <w:tc>
          <w:tcPr>
            <w:tcW w:type="dxa" w:w="3551"/>
            <w:shd w:val="clear" w:color="auto" w:fill="FAF8F2"/>
          </w:tcPr>
          <w:p>
            <w:pPr>
              <w:spacing w:after="0"/>
            </w:pPr>
            <w:r>
              <w:rPr>
                <w:color w:val="1D1D1D"/>
                <w:sz w:val="16"/>
              </w:rPr>
              <w:t>Toutes les portes READY</w:t>
            </w:r>
          </w:p>
        </w:tc>
        <w:tc>
          <w:tcPr>
            <w:tcW w:type="dxa" w:w="6087"/>
            <w:shd w:val="clear" w:color="auto" w:fill="FAF8F2"/>
          </w:tcPr>
          <w:p>
            <w:pPr>
              <w:spacing w:after="0"/>
            </w:pPr>
            <w:r>
              <w:rPr>
                <w:color w:val="1D1D1D"/>
                <w:sz w:val="16"/>
              </w:rPr>
              <w:t>READY FOR FINANCIAL CLOSE (prêt pour le bouclage financier)</w:t>
            </w:r>
          </w:p>
        </w:tc>
      </w:tr>
    </w:tbl>
    <w:p>
      <w:pPr>
        <w:spacing w:after="40"/>
      </w:pPr>
    </w:p>
    <w:p>
      <w:pPr>
        <w:jc w:val="both"/>
      </w:pPr>
      <w:r>
        <w:rPr/>
        <w:t>Chaque porte comporte une action prérédigée : une action corrective quand la note vaut 0 ou 1, une action conditionnelle quand elle vaut 2. Le tableau de bord classe les portes selon une clé égale à la note augmentée du numéro de la porte divisé par 100, de sorte que les égalités sont départagées dans l'ordre des portes, et affiche les cinq portes les moins bien notées avec leurs actions.</w:t>
      </w:r>
    </w:p>
    <w:p>
      <w:pPr>
        <w:jc w:val="both"/>
      </w:pPr>
      <w:r>
        <w:rPr/>
        <w:t>Note de lecture pour Kasiri : la porte 6 est en CRITICAL GAP uniquement parce que le tarif rémunère uniquement l'énergie ; la part fixe du chiffre d'affaires est donc de 0 %, sous le seuil de lacune de développement de 20 %. Ce seuil est illustratif : un tarif rémunérant uniquement l'énergie peut être bancable si le risque hydrologique est couvert par ailleurs, et l'utilisateur doit calibrer ce test selon l'appréciation des prêteurs.</w:t>
      </w:r>
    </w:p>
    <w:p>
      <w:pPr>
        <w:pStyle w:val="Heading2"/>
      </w:pPr>
      <w:r>
        <w:t>6.18 Les 23 portes de maturité pour le bouclage et l'échelle de décision (30A_CLOSE_READINESS)</w:t>
      </w:r>
    </w:p>
    <w:p>
      <w:pPr>
        <w:jc w:val="both"/>
      </w:pPr>
      <w:r>
        <w:rPr/>
        <w:t>Chaque porte comporte un domaine, un indicateur de porte critique et soit un test automatique du modèle, soit un statut de preuve saisi par l'utilisateur (MET (franchie), PARTIAL (partielle), NOT MET (non franchie) ou NO EVIDENCE (sans preuve)). Les tests automatiques renvoient MET ou NOT MET.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22"/>
            <w:shd w:val="clear" w:color="auto" w:fill="0B3020"/>
          </w:tcPr>
          <w:p>
            <w:pPr>
              <w:spacing w:after="0"/>
            </w:pPr>
            <w:r>
              <w:rPr>
                <w:b/>
                <w:color w:val="FFFFFF"/>
                <w:sz w:val="16"/>
              </w:rPr>
              <w:t>N°</w:t>
            </w:r>
          </w:p>
        </w:tc>
        <w:tc>
          <w:tcPr>
            <w:tcW w:type="dxa" w:w="4221"/>
            <w:shd w:val="clear" w:color="auto" w:fill="0B3020"/>
          </w:tcPr>
          <w:p>
            <w:pPr>
              <w:spacing w:after="0"/>
            </w:pPr>
            <w:r>
              <w:rPr>
                <w:b/>
                <w:color w:val="FFFFFF"/>
                <w:sz w:val="16"/>
              </w:rPr>
              <w:t>Porte</w:t>
            </w:r>
          </w:p>
        </w:tc>
        <w:tc>
          <w:tcPr>
            <w:tcW w:type="dxa" w:w="563"/>
            <w:shd w:val="clear" w:color="auto" w:fill="0B3020"/>
          </w:tcPr>
          <w:p>
            <w:pPr>
              <w:spacing w:after="0"/>
            </w:pPr>
            <w:r>
              <w:rPr>
                <w:b/>
                <w:color w:val="FFFFFF"/>
                <w:sz w:val="16"/>
              </w:rPr>
              <w:t>Critique</w:t>
            </w:r>
          </w:p>
        </w:tc>
        <w:tc>
          <w:tcPr>
            <w:tcW w:type="dxa" w:w="3869"/>
            <w:shd w:val="clear" w:color="auto" w:fill="0B3020"/>
          </w:tcPr>
          <w:p>
            <w:pPr>
              <w:spacing w:after="0"/>
            </w:pPr>
            <w:r>
              <w:rPr>
                <w:b/>
                <w:color w:val="FFFFFF"/>
                <w:sz w:val="16"/>
              </w:rPr>
              <w:t>Test ou preuve par défaut</w:t>
            </w:r>
          </w:p>
        </w:tc>
        <w:tc>
          <w:tcPr>
            <w:tcW w:type="dxa" w:w="563"/>
            <w:shd w:val="clear" w:color="auto" w:fill="0B3020"/>
          </w:tcPr>
          <w:p>
            <w:pPr>
              <w:spacing w:after="0"/>
            </w:pPr>
            <w:r>
              <w:rPr>
                <w:b/>
                <w:color w:val="FFFFFF"/>
                <w:sz w:val="16"/>
              </w:rPr>
              <w:t>Question</w:t>
            </w:r>
          </w:p>
        </w:tc>
      </w:tr>
      <w:tr>
        <w:tc>
          <w:tcPr>
            <w:tcW w:type="dxa" w:w="422"/>
          </w:tcPr>
          <w:p>
            <w:pPr>
              <w:spacing w:after="0"/>
            </w:pPr>
            <w:r>
              <w:rPr>
                <w:color w:val="1D1D1D"/>
                <w:sz w:val="16"/>
              </w:rPr>
              <w:t>1</w:t>
            </w:r>
          </w:p>
        </w:tc>
        <w:tc>
          <w:tcPr>
            <w:tcW w:type="dxa" w:w="4221"/>
          </w:tcPr>
          <w:p>
            <w:pPr>
              <w:spacing w:after="0"/>
            </w:pPr>
            <w:r>
              <w:rPr>
                <w:color w:val="1D1D1D"/>
                <w:sz w:val="16"/>
              </w:rPr>
              <w:t>Série de débits d'au moins 15 ans et revue hydrologique indépendante</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AND(rec_years&gt;=15,hyd_study=3)</w:t>
            </w:r>
          </w:p>
        </w:tc>
        <w:tc>
          <w:tcPr>
            <w:tcW w:type="dxa" w:w="563"/>
          </w:tcPr>
          <w:p>
            <w:pPr>
              <w:spacing w:after="0"/>
            </w:pPr>
            <w:r>
              <w:rPr>
                <w:color w:val="1D1D1D"/>
                <w:sz w:val="16"/>
              </w:rPr>
              <w:t>Q1</w:t>
            </w:r>
          </w:p>
        </w:tc>
      </w:tr>
      <w:tr>
        <w:tc>
          <w:tcPr>
            <w:tcW w:type="dxa" w:w="422"/>
            <w:shd w:val="clear" w:color="auto" w:fill="FAF8F2"/>
          </w:tcPr>
          <w:p>
            <w:pPr>
              <w:spacing w:after="0"/>
            </w:pPr>
            <w:r>
              <w:rPr>
                <w:color w:val="1D1D1D"/>
                <w:sz w:val="16"/>
              </w:rPr>
              <w:t>2</w:t>
            </w:r>
          </w:p>
        </w:tc>
        <w:tc>
          <w:tcPr>
            <w:tcW w:type="dxa" w:w="4221"/>
            <w:shd w:val="clear" w:color="auto" w:fill="FAF8F2"/>
          </w:tcPr>
          <w:p>
            <w:pPr>
              <w:spacing w:after="0"/>
            </w:pPr>
            <w:r>
              <w:rPr>
                <w:color w:val="1D1D1D"/>
                <w:sz w:val="16"/>
              </w:rPr>
              <w:t>Énergie P90 confirmée par le conseiller technique des prêteurs</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Q1</w:t>
            </w:r>
          </w:p>
        </w:tc>
      </w:tr>
      <w:tr>
        <w:tc>
          <w:tcPr>
            <w:tcW w:type="dxa" w:w="422"/>
          </w:tcPr>
          <w:p>
            <w:pPr>
              <w:spacing w:after="0"/>
            </w:pPr>
            <w:r>
              <w:rPr>
                <w:color w:val="1D1D1D"/>
                <w:sz w:val="16"/>
              </w:rPr>
              <w:t>3</w:t>
            </w:r>
          </w:p>
        </w:tc>
        <w:tc>
          <w:tcPr>
            <w:tcW w:type="dxa" w:w="4221"/>
          </w:tcPr>
          <w:p>
            <w:pPr>
              <w:spacing w:after="0"/>
            </w:pPr>
            <w:r>
              <w:rPr>
                <w:color w:val="1D1D1D"/>
                <w:sz w:val="16"/>
              </w:rPr>
              <w:t>Étude de faisabilité bancable validée par le conseiller technique des prêteurs</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fs_level=3</w:t>
            </w:r>
          </w:p>
        </w:tc>
        <w:tc>
          <w:tcPr>
            <w:tcW w:type="dxa" w:w="563"/>
          </w:tcPr>
          <w:p>
            <w:pPr>
              <w:spacing w:after="0"/>
            </w:pPr>
            <w:r>
              <w:rPr>
                <w:color w:val="1D1D1D"/>
                <w:sz w:val="16"/>
              </w:rPr>
              <w:t>Q1</w:t>
            </w:r>
          </w:p>
        </w:tc>
      </w:tr>
      <w:tr>
        <w:tc>
          <w:tcPr>
            <w:tcW w:type="dxa" w:w="422"/>
            <w:shd w:val="clear" w:color="auto" w:fill="FAF8F2"/>
          </w:tcPr>
          <w:p>
            <w:pPr>
              <w:spacing w:after="0"/>
            </w:pPr>
            <w:r>
              <w:rPr>
                <w:color w:val="1D1D1D"/>
                <w:sz w:val="16"/>
              </w:rPr>
              <w:t>4</w:t>
            </w:r>
          </w:p>
        </w:tc>
        <w:tc>
          <w:tcPr>
            <w:tcW w:type="dxa" w:w="4221"/>
            <w:shd w:val="clear" w:color="auto" w:fill="FAF8F2"/>
          </w:tcPr>
          <w:p>
            <w:pPr>
              <w:spacing w:after="0"/>
            </w:pPr>
            <w:r>
              <w:rPr>
                <w:color w:val="1D1D1D"/>
                <w:sz w:val="16"/>
              </w:rPr>
              <w:t>Reconnaissances géotechniques suffisantes pour un rapport de référence</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Q1</w:t>
            </w:r>
          </w:p>
        </w:tc>
      </w:tr>
      <w:tr>
        <w:tc>
          <w:tcPr>
            <w:tcW w:type="dxa" w:w="422"/>
          </w:tcPr>
          <w:p>
            <w:pPr>
              <w:spacing w:after="0"/>
            </w:pPr>
            <w:r>
              <w:rPr>
                <w:color w:val="1D1D1D"/>
                <w:sz w:val="16"/>
              </w:rPr>
              <w:t>5</w:t>
            </w:r>
          </w:p>
        </w:tc>
        <w:tc>
          <w:tcPr>
            <w:tcW w:type="dxa" w:w="4221"/>
          </w:tcPr>
          <w:p>
            <w:pPr>
              <w:spacing w:after="0"/>
            </w:pPr>
            <w:r>
              <w:rPr>
                <w:color w:val="1D1D1D"/>
                <w:sz w:val="16"/>
              </w:rPr>
              <w:t>EIES approuvée et conforme aux normes des prêteurs</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es_level=3</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6</w:t>
            </w:r>
          </w:p>
        </w:tc>
        <w:tc>
          <w:tcPr>
            <w:tcW w:type="dxa" w:w="4221"/>
            <w:shd w:val="clear" w:color="auto" w:fill="FAF8F2"/>
          </w:tcPr>
          <w:p>
            <w:pPr>
              <w:spacing w:after="0"/>
            </w:pPr>
            <w:r>
              <w:rPr>
                <w:color w:val="1D1D1D"/>
                <w:sz w:val="16"/>
              </w:rPr>
              <w:t>Plan d'action de réinstallation (PAR) approuvé et financé</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rFonts w:ascii="Courier New" w:hAnsi="Courier New"/>
                <w:color w:val="1D1D1D"/>
                <w:sz w:val="16"/>
              </w:rPr>
              <w:t>rap_level&gt;=2</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7</w:t>
            </w:r>
          </w:p>
        </w:tc>
        <w:tc>
          <w:tcPr>
            <w:tcW w:type="dxa" w:w="4221"/>
          </w:tcPr>
          <w:p>
            <w:pPr>
              <w:spacing w:after="0"/>
            </w:pPr>
            <w:r>
              <w:rPr>
                <w:color w:val="1D1D1D"/>
                <w:sz w:val="16"/>
              </w:rPr>
              <w:t>Licence de production et permis d'utilisation de l'eau accordés</w:t>
            </w:r>
          </w:p>
        </w:tc>
        <w:tc>
          <w:tcPr>
            <w:tcW w:type="dxa" w:w="563"/>
          </w:tcPr>
          <w:p>
            <w:pPr>
              <w:spacing w:after="0"/>
            </w:pPr>
            <w:r>
              <w:rPr>
                <w:color w:val="1D1D1D"/>
                <w:sz w:val="16"/>
              </w:rPr>
              <w:t>Oui</w:t>
            </w:r>
          </w:p>
        </w:tc>
        <w:tc>
          <w:tcPr>
            <w:tcW w:type="dxa" w:w="3869"/>
          </w:tcPr>
          <w:p>
            <w:pPr>
              <w:spacing w:after="0"/>
            </w:pPr>
            <w:r>
              <w:rPr>
                <w:color w:val="1D1D1D"/>
                <w:sz w:val="16"/>
              </w:rPr>
              <w:t>PARTIAL</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8</w:t>
            </w:r>
          </w:p>
        </w:tc>
        <w:tc>
          <w:tcPr>
            <w:tcW w:type="dxa" w:w="4221"/>
            <w:shd w:val="clear" w:color="auto" w:fill="FAF8F2"/>
          </w:tcPr>
          <w:p>
            <w:pPr>
              <w:spacing w:after="0"/>
            </w:pPr>
            <w:r>
              <w:rPr>
                <w:color w:val="1D1D1D"/>
                <w:sz w:val="16"/>
              </w:rPr>
              <w:t>Droits fonciers acquis pour toutes les emprises du projet</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color w:val="1D1D1D"/>
                <w:sz w:val="16"/>
              </w:rPr>
              <w:t>NOT MET</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9</w:t>
            </w:r>
          </w:p>
        </w:tc>
        <w:tc>
          <w:tcPr>
            <w:tcW w:type="dxa" w:w="4221"/>
          </w:tcPr>
          <w:p>
            <w:pPr>
              <w:spacing w:after="0"/>
            </w:pPr>
            <w:r>
              <w:rPr>
                <w:color w:val="1D1D1D"/>
                <w:sz w:val="16"/>
              </w:rPr>
              <w:t>CAE signé et approuvé par le régulateur</w:t>
            </w:r>
          </w:p>
        </w:tc>
        <w:tc>
          <w:tcPr>
            <w:tcW w:type="dxa" w:w="563"/>
          </w:tcPr>
          <w:p>
            <w:pPr>
              <w:spacing w:after="0"/>
            </w:pPr>
            <w:r>
              <w:rPr>
                <w:color w:val="1D1D1D"/>
                <w:sz w:val="16"/>
              </w:rPr>
              <w:t>Oui</w:t>
            </w:r>
          </w:p>
        </w:tc>
        <w:tc>
          <w:tcPr>
            <w:tcW w:type="dxa" w:w="3869"/>
          </w:tcPr>
          <w:p>
            <w:pPr>
              <w:spacing w:after="0"/>
            </w:pPr>
            <w:r>
              <w:rPr>
                <w:color w:val="1D1D1D"/>
                <w:sz w:val="16"/>
              </w:rPr>
              <w:t>PARTIAL</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10</w:t>
            </w:r>
          </w:p>
        </w:tc>
        <w:tc>
          <w:tcPr>
            <w:tcW w:type="dxa" w:w="4221"/>
            <w:shd w:val="clear" w:color="auto" w:fill="FAF8F2"/>
          </w:tcPr>
          <w:p>
            <w:pPr>
              <w:spacing w:after="0"/>
            </w:pPr>
            <w:r>
              <w:rPr>
                <w:color w:val="1D1D1D"/>
                <w:sz w:val="16"/>
              </w:rPr>
              <w:t>Convention de mise en œuvre ou de concession signée</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11</w:t>
            </w:r>
          </w:p>
        </w:tc>
        <w:tc>
          <w:tcPr>
            <w:tcW w:type="dxa" w:w="4221"/>
          </w:tcPr>
          <w:p>
            <w:pPr>
              <w:spacing w:after="0"/>
            </w:pPr>
            <w:r>
              <w:rPr>
                <w:color w:val="1D1D1D"/>
                <w:sz w:val="16"/>
              </w:rPr>
              <w:t>Contrat de raccordement au réseau signé et transport financé</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tx_fin=1</w:t>
            </w:r>
          </w:p>
        </w:tc>
        <w:tc>
          <w:tcPr>
            <w:tcW w:type="dxa" w:w="563"/>
          </w:tcPr>
          <w:p>
            <w:pPr>
              <w:spacing w:after="0"/>
            </w:pPr>
            <w:r>
              <w:rPr>
                <w:color w:val="1D1D1D"/>
                <w:sz w:val="16"/>
              </w:rPr>
              <w:t>Q3</w:t>
            </w:r>
          </w:p>
        </w:tc>
      </w:tr>
      <w:tr>
        <w:tc>
          <w:tcPr>
            <w:tcW w:type="dxa" w:w="422"/>
            <w:shd w:val="clear" w:color="auto" w:fill="FAF8F2"/>
          </w:tcPr>
          <w:p>
            <w:pPr>
              <w:spacing w:after="0"/>
            </w:pPr>
            <w:r>
              <w:rPr>
                <w:color w:val="1D1D1D"/>
                <w:sz w:val="16"/>
              </w:rPr>
              <w:t>12</w:t>
            </w:r>
          </w:p>
        </w:tc>
        <w:tc>
          <w:tcPr>
            <w:tcW w:type="dxa" w:w="4221"/>
            <w:shd w:val="clear" w:color="auto" w:fill="FAF8F2"/>
          </w:tcPr>
          <w:p>
            <w:pPr>
              <w:spacing w:after="0"/>
            </w:pPr>
            <w:r>
              <w:rPr>
                <w:color w:val="1D1D1D"/>
                <w:sz w:val="16"/>
              </w:rPr>
              <w:t>Transport en service au plus tard à la COD de la centrale</w:t>
            </w:r>
          </w:p>
        </w:tc>
        <w:tc>
          <w:tcPr>
            <w:tcW w:type="dxa" w:w="563"/>
            <w:shd w:val="clear" w:color="auto" w:fill="FAF8F2"/>
          </w:tcPr>
          <w:p>
            <w:pPr>
              <w:spacing w:after="0"/>
            </w:pPr>
            <w:r>
              <w:rPr>
                <w:color w:val="1D1D1D"/>
                <w:sz w:val="16"/>
              </w:rPr>
              <w:t>Non</w:t>
            </w:r>
          </w:p>
        </w:tc>
        <w:tc>
          <w:tcPr>
            <w:tcW w:type="dxa" w:w="3869"/>
            <w:shd w:val="clear" w:color="auto" w:fill="FAF8F2"/>
          </w:tcPr>
          <w:p>
            <w:pPr>
              <w:spacing w:after="0"/>
            </w:pPr>
            <w:r>
              <w:rPr>
                <w:rFonts w:ascii="Courier New" w:hAnsi="Courier New"/>
                <w:color w:val="1D1D1D"/>
                <w:sz w:val="16"/>
              </w:rPr>
              <w:t>tx_gap_yrs&lt;=0</w:t>
            </w:r>
          </w:p>
        </w:tc>
        <w:tc>
          <w:tcPr>
            <w:tcW w:type="dxa" w:w="563"/>
            <w:shd w:val="clear" w:color="auto" w:fill="FAF8F2"/>
          </w:tcPr>
          <w:p>
            <w:pPr>
              <w:spacing w:after="0"/>
            </w:pPr>
            <w:r>
              <w:rPr>
                <w:color w:val="1D1D1D"/>
                <w:sz w:val="16"/>
              </w:rPr>
              <w:t>Q3</w:t>
            </w:r>
          </w:p>
        </w:tc>
      </w:tr>
      <w:tr>
        <w:tc>
          <w:tcPr>
            <w:tcW w:type="dxa" w:w="422"/>
          </w:tcPr>
          <w:p>
            <w:pPr>
              <w:spacing w:after="0"/>
            </w:pPr>
            <w:r>
              <w:rPr>
                <w:color w:val="1D1D1D"/>
                <w:sz w:val="16"/>
              </w:rPr>
              <w:t>13</w:t>
            </w:r>
          </w:p>
        </w:tc>
        <w:tc>
          <w:tcPr>
            <w:tcW w:type="dxa" w:w="4221"/>
          </w:tcPr>
          <w:p>
            <w:pPr>
              <w:spacing w:after="0"/>
            </w:pPr>
            <w:r>
              <w:rPr>
                <w:color w:val="1D1D1D"/>
                <w:sz w:val="16"/>
              </w:rPr>
              <w:t>Contrat(s) EPC signé(s) avec prix ferme, date d'achèvement et pénalités forfaitaires</w:t>
            </w:r>
          </w:p>
        </w:tc>
        <w:tc>
          <w:tcPr>
            <w:tcW w:type="dxa" w:w="563"/>
          </w:tcPr>
          <w:p>
            <w:pPr>
              <w:spacing w:after="0"/>
            </w:pPr>
            <w:r>
              <w:rPr>
                <w:color w:val="1D1D1D"/>
                <w:sz w:val="16"/>
              </w:rPr>
              <w:t>Oui</w:t>
            </w:r>
          </w:p>
        </w:tc>
        <w:tc>
          <w:tcPr>
            <w:tcW w:type="dxa" w:w="3869"/>
          </w:tcPr>
          <w:p>
            <w:pPr>
              <w:spacing w:after="0"/>
            </w:pPr>
            <w:r>
              <w:rPr>
                <w:color w:val="1D1D1D"/>
                <w:sz w:val="16"/>
              </w:rPr>
              <w:t>PARTIAL</w:t>
            </w:r>
          </w:p>
        </w:tc>
        <w:tc>
          <w:tcPr>
            <w:tcW w:type="dxa" w:w="563"/>
          </w:tcPr>
          <w:p>
            <w:pPr>
              <w:spacing w:after="0"/>
            </w:pPr>
            <w:r>
              <w:rPr>
                <w:color w:val="1D1D1D"/>
                <w:sz w:val="16"/>
              </w:rPr>
              <w:t>Q6</w:t>
            </w:r>
          </w:p>
        </w:tc>
      </w:tr>
      <w:tr>
        <w:tc>
          <w:tcPr>
            <w:tcW w:type="dxa" w:w="422"/>
            <w:shd w:val="clear" w:color="auto" w:fill="FAF8F2"/>
          </w:tcPr>
          <w:p>
            <w:pPr>
              <w:spacing w:after="0"/>
            </w:pPr>
            <w:r>
              <w:rPr>
                <w:color w:val="1D1D1D"/>
                <w:sz w:val="16"/>
              </w:rPr>
              <w:t>14</w:t>
            </w:r>
          </w:p>
        </w:tc>
        <w:tc>
          <w:tcPr>
            <w:tcW w:type="dxa" w:w="4221"/>
            <w:shd w:val="clear" w:color="auto" w:fill="FAF8F2"/>
          </w:tcPr>
          <w:p>
            <w:pPr>
              <w:spacing w:after="0"/>
            </w:pPr>
            <w:r>
              <w:rPr>
                <w:color w:val="1D1D1D"/>
                <w:sz w:val="16"/>
              </w:rPr>
              <w:t>Dispositif d'O&amp;M et équipe du maître d'ouvrage en place</w:t>
            </w:r>
          </w:p>
        </w:tc>
        <w:tc>
          <w:tcPr>
            <w:tcW w:type="dxa" w:w="563"/>
            <w:shd w:val="clear" w:color="auto" w:fill="FAF8F2"/>
          </w:tcPr>
          <w:p>
            <w:pPr>
              <w:spacing w:after="0"/>
            </w:pPr>
            <w:r>
              <w:rPr>
                <w:color w:val="1D1D1D"/>
                <w:sz w:val="16"/>
              </w:rPr>
              <w:t>Non</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Q6</w:t>
            </w:r>
          </w:p>
        </w:tc>
      </w:tr>
      <w:tr>
        <w:tc>
          <w:tcPr>
            <w:tcW w:type="dxa" w:w="422"/>
          </w:tcPr>
          <w:p>
            <w:pPr>
              <w:spacing w:after="0"/>
            </w:pPr>
            <w:r>
              <w:rPr>
                <w:color w:val="1D1D1D"/>
                <w:sz w:val="16"/>
              </w:rPr>
              <w:t>15</w:t>
            </w:r>
          </w:p>
        </w:tc>
        <w:tc>
          <w:tcPr>
            <w:tcW w:type="dxa" w:w="4221"/>
          </w:tcPr>
          <w:p>
            <w:pPr>
              <w:spacing w:after="0"/>
            </w:pPr>
            <w:r>
              <w:rPr>
                <w:color w:val="1D1D1D"/>
                <w:sz w:val="16"/>
              </w:rPr>
              <w:t>Garantie de paiement d'au moins 6 mois en place</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lc_months&gt;=6</w:t>
            </w:r>
          </w:p>
        </w:tc>
        <w:tc>
          <w:tcPr>
            <w:tcW w:type="dxa" w:w="563"/>
          </w:tcPr>
          <w:p>
            <w:pPr>
              <w:spacing w:after="0"/>
            </w:pPr>
            <w:r>
              <w:rPr>
                <w:color w:val="1D1D1D"/>
                <w:sz w:val="16"/>
              </w:rPr>
              <w:t>Q7</w:t>
            </w:r>
          </w:p>
        </w:tc>
      </w:tr>
      <w:tr>
        <w:tc>
          <w:tcPr>
            <w:tcW w:type="dxa" w:w="422"/>
            <w:shd w:val="clear" w:color="auto" w:fill="FAF8F2"/>
          </w:tcPr>
          <w:p>
            <w:pPr>
              <w:spacing w:after="0"/>
            </w:pPr>
            <w:r>
              <w:rPr>
                <w:color w:val="1D1D1D"/>
                <w:sz w:val="16"/>
              </w:rPr>
              <w:t>16</w:t>
            </w:r>
          </w:p>
        </w:tc>
        <w:tc>
          <w:tcPr>
            <w:tcW w:type="dxa" w:w="4221"/>
            <w:shd w:val="clear" w:color="auto" w:fill="FAF8F2"/>
          </w:tcPr>
          <w:p>
            <w:pPr>
              <w:spacing w:after="0"/>
            </w:pPr>
            <w:r>
              <w:rPr>
                <w:color w:val="1D1D1D"/>
                <w:sz w:val="16"/>
              </w:rPr>
              <w:t>Capacité de paiement de l'acheteur au moins égale à 1,2 x la facture du CAE (pire des 10 premières années)</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rFonts w:ascii="Courier New" w:hAnsi="Courier New"/>
                <w:color w:val="1D1D1D"/>
                <w:sz w:val="16"/>
              </w:rPr>
              <w:t>ut_ratio10&gt;=1.2</w:t>
            </w:r>
          </w:p>
        </w:tc>
        <w:tc>
          <w:tcPr>
            <w:tcW w:type="dxa" w:w="563"/>
            <w:shd w:val="clear" w:color="auto" w:fill="FAF8F2"/>
          </w:tcPr>
          <w:p>
            <w:pPr>
              <w:spacing w:after="0"/>
            </w:pPr>
            <w:r>
              <w:rPr>
                <w:color w:val="1D1D1D"/>
                <w:sz w:val="16"/>
              </w:rPr>
              <w:t>Q7</w:t>
            </w:r>
          </w:p>
        </w:tc>
      </w:tr>
      <w:tr>
        <w:tc>
          <w:tcPr>
            <w:tcW w:type="dxa" w:w="422"/>
          </w:tcPr>
          <w:p>
            <w:pPr>
              <w:spacing w:after="0"/>
            </w:pPr>
            <w:r>
              <w:rPr>
                <w:color w:val="1D1D1D"/>
                <w:sz w:val="16"/>
              </w:rPr>
              <w:t>17</w:t>
            </w:r>
          </w:p>
        </w:tc>
        <w:tc>
          <w:tcPr>
            <w:tcW w:type="dxa" w:w="4221"/>
          </w:tcPr>
          <w:p>
            <w:pPr>
              <w:spacing w:after="0"/>
            </w:pPr>
            <w:r>
              <w:rPr>
                <w:color w:val="1D1D1D"/>
                <w:sz w:val="16"/>
              </w:rPr>
              <w:t>Plan de financement entièrement engagé (aucun écart de financement)</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fin_gap&lt;=0.5</w:t>
            </w:r>
          </w:p>
        </w:tc>
        <w:tc>
          <w:tcPr>
            <w:tcW w:type="dxa" w:w="563"/>
          </w:tcPr>
          <w:p>
            <w:pPr>
              <w:spacing w:after="0"/>
            </w:pPr>
            <w:r>
              <w:rPr>
                <w:color w:val="1D1D1D"/>
                <w:sz w:val="16"/>
              </w:rPr>
              <w:t>Q5</w:t>
            </w:r>
          </w:p>
        </w:tc>
      </w:tr>
      <w:tr>
        <w:tc>
          <w:tcPr>
            <w:tcW w:type="dxa" w:w="422"/>
            <w:shd w:val="clear" w:color="auto" w:fill="FAF8F2"/>
          </w:tcPr>
          <w:p>
            <w:pPr>
              <w:spacing w:after="0"/>
            </w:pPr>
            <w:r>
              <w:rPr>
                <w:color w:val="1D1D1D"/>
                <w:sz w:val="16"/>
              </w:rPr>
              <w:t>18</w:t>
            </w:r>
          </w:p>
        </w:tc>
        <w:tc>
          <w:tcPr>
            <w:tcW w:type="dxa" w:w="4221"/>
            <w:shd w:val="clear" w:color="auto" w:fill="FAF8F2"/>
          </w:tcPr>
          <w:p>
            <w:pPr>
              <w:spacing w:after="0"/>
            </w:pPr>
            <w:r>
              <w:rPr>
                <w:color w:val="1D1D1D"/>
                <w:sz w:val="16"/>
              </w:rPr>
              <w:t>DSCR minimum égal ou supérieur à la cible de dimensionnement dans le cas sélectionné</w:t>
            </w:r>
          </w:p>
        </w:tc>
        <w:tc>
          <w:tcPr>
            <w:tcW w:type="dxa" w:w="563"/>
            <w:shd w:val="clear" w:color="auto" w:fill="FAF8F2"/>
          </w:tcPr>
          <w:p>
            <w:pPr>
              <w:spacing w:after="0"/>
            </w:pPr>
            <w:r>
              <w:rPr>
                <w:color w:val="1D1D1D"/>
                <w:sz w:val="16"/>
              </w:rPr>
              <w:t>Oui</w:t>
            </w:r>
          </w:p>
        </w:tc>
        <w:tc>
          <w:tcPr>
            <w:tcW w:type="dxa" w:w="3869"/>
            <w:shd w:val="clear" w:color="auto" w:fill="FAF8F2"/>
          </w:tcPr>
          <w:p>
            <w:pPr>
              <w:spacing w:after="0"/>
            </w:pPr>
            <w:r>
              <w:rPr>
                <w:rFonts w:ascii="Courier New" w:hAnsi="Courier New"/>
                <w:color w:val="1D1D1D"/>
                <w:sz w:val="16"/>
              </w:rPr>
              <w:t>AND(debt_m+debt_c&gt;0,kpi_min_dscr&gt;=str_dscr)</w:t>
            </w:r>
          </w:p>
        </w:tc>
        <w:tc>
          <w:tcPr>
            <w:tcW w:type="dxa" w:w="563"/>
            <w:shd w:val="clear" w:color="auto" w:fill="FAF8F2"/>
          </w:tcPr>
          <w:p>
            <w:pPr>
              <w:spacing w:after="0"/>
            </w:pPr>
            <w:r>
              <w:rPr>
                <w:color w:val="1D1D1D"/>
                <w:sz w:val="16"/>
              </w:rPr>
              <w:t>Q5</w:t>
            </w:r>
          </w:p>
        </w:tc>
      </w:tr>
      <w:tr>
        <w:tc>
          <w:tcPr>
            <w:tcW w:type="dxa" w:w="422"/>
          </w:tcPr>
          <w:p>
            <w:pPr>
              <w:spacing w:after="0"/>
            </w:pPr>
            <w:r>
              <w:rPr>
                <w:color w:val="1D1D1D"/>
                <w:sz w:val="16"/>
              </w:rPr>
              <w:t>19</w:t>
            </w:r>
          </w:p>
        </w:tc>
        <w:tc>
          <w:tcPr>
            <w:tcW w:type="dxa" w:w="4221"/>
          </w:tcPr>
          <w:p>
            <w:pPr>
              <w:spacing w:after="0"/>
            </w:pPr>
            <w:r>
              <w:rPr>
                <w:color w:val="1D1D1D"/>
                <w:sz w:val="16"/>
              </w:rPr>
              <w:t>Engagements en fonds propres signés et TRI des fonds propres égal ou supérieur à la cible</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IF(ISNUMBER(kpi_eirr),kpi_eirr&gt;=str_hurdle,s_priv&lt;=0)</w:t>
            </w:r>
          </w:p>
        </w:tc>
        <w:tc>
          <w:tcPr>
            <w:tcW w:type="dxa" w:w="563"/>
          </w:tcPr>
          <w:p>
            <w:pPr>
              <w:spacing w:after="0"/>
            </w:pPr>
            <w:r>
              <w:rPr>
                <w:color w:val="1D1D1D"/>
                <w:sz w:val="16"/>
              </w:rPr>
              <w:t>Q4</w:t>
            </w:r>
          </w:p>
        </w:tc>
      </w:tr>
      <w:tr>
        <w:tc>
          <w:tcPr>
            <w:tcW w:type="dxa" w:w="422"/>
            <w:shd w:val="clear" w:color="auto" w:fill="FAF8F2"/>
          </w:tcPr>
          <w:p>
            <w:pPr>
              <w:spacing w:after="0"/>
            </w:pPr>
            <w:r>
              <w:rPr>
                <w:color w:val="1D1D1D"/>
                <w:sz w:val="16"/>
              </w:rPr>
              <w:t>20</w:t>
            </w:r>
          </w:p>
        </w:tc>
        <w:tc>
          <w:tcPr>
            <w:tcW w:type="dxa" w:w="4221"/>
            <w:shd w:val="clear" w:color="auto" w:fill="FAF8F2"/>
          </w:tcPr>
          <w:p>
            <w:pPr>
              <w:spacing w:after="0"/>
            </w:pPr>
            <w:r>
              <w:rPr>
                <w:color w:val="1D1D1D"/>
                <w:sz w:val="16"/>
              </w:rPr>
              <w:t>Assurance contre le risque politique ou garanties signées</w:t>
            </w:r>
          </w:p>
        </w:tc>
        <w:tc>
          <w:tcPr>
            <w:tcW w:type="dxa" w:w="563"/>
            <w:shd w:val="clear" w:color="auto" w:fill="FAF8F2"/>
          </w:tcPr>
          <w:p>
            <w:pPr>
              <w:spacing w:after="0"/>
            </w:pPr>
            <w:r>
              <w:rPr>
                <w:color w:val="1D1D1D"/>
                <w:sz w:val="16"/>
              </w:rPr>
              <w:t>Non</w:t>
            </w:r>
          </w:p>
        </w:tc>
        <w:tc>
          <w:tcPr>
            <w:tcW w:type="dxa" w:w="3869"/>
            <w:shd w:val="clear" w:color="auto" w:fill="FAF8F2"/>
          </w:tcPr>
          <w:p>
            <w:pPr>
              <w:spacing w:after="0"/>
            </w:pPr>
            <w:r>
              <w:rPr>
                <w:color w:val="1D1D1D"/>
                <w:sz w:val="16"/>
              </w:rPr>
              <w:t>NO EVIDENCE</w:t>
            </w:r>
          </w:p>
        </w:tc>
        <w:tc>
          <w:tcPr>
            <w:tcW w:type="dxa" w:w="563"/>
            <w:shd w:val="clear" w:color="auto" w:fill="FAF8F2"/>
          </w:tcPr>
          <w:p>
            <w:pPr>
              <w:spacing w:after="0"/>
            </w:pPr>
            <w:r>
              <w:rPr>
                <w:color w:val="1D1D1D"/>
                <w:sz w:val="16"/>
              </w:rPr>
              <w:t>Q5</w:t>
            </w:r>
          </w:p>
        </w:tc>
      </w:tr>
      <w:tr>
        <w:tc>
          <w:tcPr>
            <w:tcW w:type="dxa" w:w="422"/>
          </w:tcPr>
          <w:p>
            <w:pPr>
              <w:spacing w:after="0"/>
            </w:pPr>
            <w:r>
              <w:rPr>
                <w:color w:val="1D1D1D"/>
                <w:sz w:val="16"/>
              </w:rPr>
              <w:t>21</w:t>
            </w:r>
          </w:p>
        </w:tc>
        <w:tc>
          <w:tcPr>
            <w:tcW w:type="dxa" w:w="4221"/>
          </w:tcPr>
          <w:p>
            <w:pPr>
              <w:spacing w:after="0"/>
            </w:pPr>
            <w:r>
              <w:rPr>
                <w:color w:val="1D1D1D"/>
                <w:sz w:val="16"/>
              </w:rPr>
              <w:t>Soutien de l'État approuvé par le ministère des Finances ; filtre budgétaire autre que HIGH</w:t>
            </w:r>
          </w:p>
        </w:tc>
        <w:tc>
          <w:tcPr>
            <w:tcW w:type="dxa" w:w="563"/>
          </w:tcPr>
          <w:p>
            <w:pPr>
              <w:spacing w:after="0"/>
            </w:pPr>
            <w:r>
              <w:rPr>
                <w:color w:val="1D1D1D"/>
                <w:sz w:val="16"/>
              </w:rPr>
              <w:t>Oui</w:t>
            </w:r>
          </w:p>
        </w:tc>
        <w:tc>
          <w:tcPr>
            <w:tcW w:type="dxa" w:w="3869"/>
          </w:tcPr>
          <w:p>
            <w:pPr>
              <w:spacing w:after="0"/>
            </w:pPr>
            <w:r>
              <w:rPr>
                <w:rFonts w:ascii="Courier New" w:hAnsi="Courier New"/>
                <w:color w:val="1D1D1D"/>
                <w:sz w:val="16"/>
              </w:rPr>
              <w:t>LEFT(sc_result,4)&lt;&gt;"HIGH"</w:t>
            </w:r>
          </w:p>
        </w:tc>
        <w:tc>
          <w:tcPr>
            <w:tcW w:type="dxa" w:w="563"/>
          </w:tcPr>
          <w:p>
            <w:pPr>
              <w:spacing w:after="0"/>
            </w:pPr>
            <w:r>
              <w:rPr>
                <w:color w:val="1D1D1D"/>
                <w:sz w:val="16"/>
              </w:rPr>
              <w:t>Q7</w:t>
            </w:r>
          </w:p>
        </w:tc>
      </w:tr>
      <w:tr>
        <w:tc>
          <w:tcPr>
            <w:tcW w:type="dxa" w:w="422"/>
            <w:shd w:val="clear" w:color="auto" w:fill="FAF8F2"/>
          </w:tcPr>
          <w:p>
            <w:pPr>
              <w:spacing w:after="0"/>
            </w:pPr>
            <w:r>
              <w:rPr>
                <w:color w:val="1D1D1D"/>
                <w:sz w:val="16"/>
              </w:rPr>
              <w:t>22</w:t>
            </w:r>
          </w:p>
        </w:tc>
        <w:tc>
          <w:tcPr>
            <w:tcW w:type="dxa" w:w="4221"/>
            <w:shd w:val="clear" w:color="auto" w:fill="FAF8F2"/>
          </w:tcPr>
          <w:p>
            <w:pPr>
              <w:spacing w:after="0"/>
            </w:pPr>
            <w:r>
              <w:rPr>
                <w:color w:val="1D1D1D"/>
                <w:sz w:val="16"/>
              </w:rPr>
              <w:t>Programme d'assurances placé (tous risques chantier, pertes d'exploitation anticipées (DSU))</w:t>
            </w:r>
          </w:p>
        </w:tc>
        <w:tc>
          <w:tcPr>
            <w:tcW w:type="dxa" w:w="563"/>
            <w:shd w:val="clear" w:color="auto" w:fill="FAF8F2"/>
          </w:tcPr>
          <w:p>
            <w:pPr>
              <w:spacing w:after="0"/>
            </w:pPr>
            <w:r>
              <w:rPr>
                <w:color w:val="1D1D1D"/>
                <w:sz w:val="16"/>
              </w:rPr>
              <w:t>Non</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Q6</w:t>
            </w:r>
          </w:p>
        </w:tc>
      </w:tr>
      <w:tr>
        <w:tc>
          <w:tcPr>
            <w:tcW w:type="dxa" w:w="422"/>
          </w:tcPr>
          <w:p>
            <w:pPr>
              <w:spacing w:after="0"/>
            </w:pPr>
            <w:r>
              <w:rPr>
                <w:color w:val="1D1D1D"/>
                <w:sz w:val="16"/>
              </w:rPr>
              <w:t>23</w:t>
            </w:r>
          </w:p>
        </w:tc>
        <w:tc>
          <w:tcPr>
            <w:tcW w:type="dxa" w:w="4221"/>
          </w:tcPr>
          <w:p>
            <w:pPr>
              <w:spacing w:after="0"/>
            </w:pPr>
            <w:r>
              <w:rPr>
                <w:color w:val="1D1D1D"/>
                <w:sz w:val="16"/>
              </w:rPr>
              <w:t>Audit indépendant du modèle réalisé</w:t>
            </w:r>
          </w:p>
        </w:tc>
        <w:tc>
          <w:tcPr>
            <w:tcW w:type="dxa" w:w="563"/>
          </w:tcPr>
          <w:p>
            <w:pPr>
              <w:spacing w:after="0"/>
            </w:pPr>
            <w:r>
              <w:rPr>
                <w:color w:val="1D1D1D"/>
                <w:sz w:val="16"/>
              </w:rPr>
              <w:t>Non</w:t>
            </w:r>
          </w:p>
        </w:tc>
        <w:tc>
          <w:tcPr>
            <w:tcW w:type="dxa" w:w="3869"/>
          </w:tcPr>
          <w:p>
            <w:pPr>
              <w:spacing w:after="0"/>
            </w:pPr>
            <w:r>
              <w:rPr>
                <w:color w:val="1D1D1D"/>
                <w:sz w:val="16"/>
              </w:rPr>
              <w:t>NO EVIDENCE</w:t>
            </w:r>
          </w:p>
        </w:tc>
        <w:tc>
          <w:tcPr>
            <w:tcW w:type="dxa" w:w="563"/>
          </w:tcPr>
          <w:p>
            <w:pPr>
              <w:spacing w:after="0"/>
            </w:pPr>
            <w:r>
              <w:rPr>
                <w:color w:val="1D1D1D"/>
                <w:sz w:val="16"/>
              </w:rPr>
              <w:t>Q5</w:t>
            </w:r>
          </w:p>
        </w:tc>
      </w:tr>
    </w:tbl>
    <w:p>
      <w:pPr>
        <w:spacing w:after="40"/>
      </w:pPr>
    </w:p>
    <w:p>
      <w:pPr>
        <w:jc w:val="both"/>
      </w:pPr>
      <w:r>
        <w:rPr/>
        <w:t>La porte 17 tolère un écart de financement allant jusqu'à 0,5 million USD. La porte 18 exige l'existence d'une dette, de sorte qu'une structure sans dette senior ne la franchit pas grâce au DSCR de substitution de 99. La porte 18 lit le cas sélectionné ; elle évolue donc avec les tests de résistance.</w:t>
      </w:r>
    </w:p>
    <w:p>
      <w:pPr>
        <w:jc w:val="both"/>
      </w:pPr>
      <w:r>
        <w:rPr>
          <w:b/>
        </w:rPr>
        <w:t>Échelle de décision</w:t>
      </w:r>
      <w:r>
        <w:rPr/>
        <w:t>, évaluée dans cet ordre :</w:t>
      </w:r>
    </w:p>
    <w:p>
      <w:pPr>
        <w:spacing w:after="0"/>
        <w:ind w:left="283"/>
      </w:pPr>
      <w:r>
        <w:rPr>
          <w:rFonts w:ascii="Courier New" w:hAnsi="Courier New"/>
          <w:sz w:val="17"/>
        </w:rPr>
        <w:t>IF fc_crit_fail&gt;0     "STOP: a critical gate is not met"</w:t>
      </w:r>
    </w:p>
    <w:p>
      <w:pPr>
        <w:spacing w:after="0"/>
        <w:ind w:left="283"/>
      </w:pPr>
      <w:r>
        <w:rPr>
          <w:rFonts w:ascii="Courier New" w:hAnsi="Courier New"/>
          <w:sz w:val="17"/>
        </w:rPr>
        <w:t>ELSE IF fc_crit_noev&gt;0 "STOP: critical evidence missing"</w:t>
      </w:r>
    </w:p>
    <w:p>
      <w:pPr>
        <w:spacing w:after="0"/>
        <w:ind w:left="283"/>
      </w:pPr>
      <w:r>
        <w:rPr>
          <w:rFonts w:ascii="Courier New" w:hAnsi="Courier New"/>
          <w:sz w:val="17"/>
        </w:rPr>
        <w:t>ELSE IF fc_crit_part&gt;0 "NOT READY: critical gates partly met"</w:t>
      </w:r>
    </w:p>
    <w:p>
      <w:pPr>
        <w:spacing w:after="0"/>
        <w:ind w:left="283"/>
      </w:pPr>
      <w:r>
        <w:rPr>
          <w:rFonts w:ascii="Courier New" w:hAnsi="Courier New"/>
          <w:sz w:val="17"/>
        </w:rPr>
        <w:t>ELSE IF fc_met=fc_n    "GO: evidence complete for a close decision"</w:t>
      </w:r>
    </w:p>
    <w:p>
      <w:pPr>
        <w:spacing w:after="0"/>
        <w:ind w:left="283"/>
      </w:pPr>
      <w:r>
        <w:rPr>
          <w:rFonts w:ascii="Courier New" w:hAnsi="Courier New"/>
          <w:sz w:val="17"/>
        </w:rPr>
        <w:t>ELSE                   "CONDITIONAL GO: all critical gates met"</w:t>
      </w:r>
    </w:p>
    <w:p>
      <w:pPr>
        <w:spacing w:after="40"/>
      </w:pPr>
    </w:p>
    <w:p>
      <w:pPr>
        <w:jc w:val="both"/>
      </w:pPr>
      <w:r>
        <w:rPr/>
        <w:t>Dans l'ordre, ces libellés signifient : STOP (arrêt), une porte critique n'est pas franchie ; STOP, une preuve critique manque ; NOT READY (non prêt), des portes critiques sont partiellement franchies ; GO (feu vert), le dossier de preuves est complet pour une décision de bouclage ; CONDITIONAL GO (feu vert sous conditions), toutes les portes critiques sont franchies. Un GO indique que le dossier de preuves est complet pour que les prêteurs et les promoteurs décident ; ce n'est pas une recommandation d'investissement. Kasiri : 6 portes franchies sur 23, 7 portes critiques non franchies, 6 portes critiques partiellement franchies, décision STOP.</w:t>
      </w:r>
    </w:p>
    <w:p>
      <w:pPr>
        <w:jc w:val="both"/>
      </w:pPr>
      <w:r>
        <w:rPr/>
        <w:t>Le récapitulatif au bas de la feuille compte, pour chaque question, les portes, les portes franchies et les portes critiques non franchies ou sans preuve. Q8 correspond au total. Pour Kasiri : Q1 0 sur 4 franchie (2 critiques ouvertes), Q2 1 sur 6 (2), Q3 2 sur 2 (0), Q4 0 sur 1 (1), Q5 1 sur 4 (1), Q6 0 sur 3 (0), Q7 2 sur 3 (1), Q8 6 sur 23 (7).</w:t>
      </w:r>
    </w:p>
    <w:p>
      <w:r>
        <w:br w:type="page"/>
      </w:r>
    </w:p>
    <w:p>
      <w:pPr>
        <w:pStyle w:val="Heading1"/>
        <w:pBdr>
          <w:bottom w:val="single" w:sz="12" w:space="4" w:color="B07C0F"/>
        </w:pBdr>
      </w:pPr>
      <w:r>
        <w:t>7. Scénarios, stress, sensibilités et script d'instantanés</w:t>
      </w:r>
    </w:p>
    <w:p>
      <w:pPr>
        <w:pStyle w:val="Heading2"/>
      </w:pPr>
      <w:r>
        <w:t>7.1 Cas (mutuellement exclusifs)</w:t>
      </w:r>
    </w:p>
    <w:p>
      <w:pPr>
        <w:jc w:val="both"/>
      </w:pPr>
      <w:r>
        <w:rPr/>
        <w:t xml:space="preserve">Le cas se choisit avec </w:t>
      </w:r>
      <w:r>
        <w:rPr>
          <w:rFonts w:ascii="Courier New" w:hAnsi="Courier New"/>
        </w:rPr>
        <w:t>case</w:t>
      </w:r>
      <w:r>
        <w:rPr/>
        <w:t xml:space="preserve"> sur </w:t>
      </w:r>
      <w:r>
        <w:rPr>
          <w:i/>
        </w:rPr>
        <w:t>01_CONTROL_PANEL</w:t>
      </w:r>
      <w:r>
        <w:rPr/>
        <w:t xml:space="preserve"> ; ses paramètres figurent sur </w:t>
      </w:r>
      <w:r>
        <w:rPr>
          <w:i/>
        </w:rPr>
        <w:t>27_SCENARIOS</w:t>
      </w:r>
      <w:r>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488"/>
            <w:shd w:val="clear" w:color="auto" w:fill="0B3020"/>
          </w:tcPr>
          <w:p>
            <w:pPr>
              <w:spacing w:after="0"/>
            </w:pPr>
            <w:r>
              <w:rPr>
                <w:b/>
                <w:color w:val="FFFFFF"/>
                <w:sz w:val="16"/>
              </w:rPr>
              <w:t>Paramètre</w:t>
            </w:r>
          </w:p>
        </w:tc>
        <w:tc>
          <w:tcPr>
            <w:tcW w:type="dxa" w:w="1472"/>
            <w:shd w:val="clear" w:color="auto" w:fill="0B3020"/>
          </w:tcPr>
          <w:p>
            <w:pPr>
              <w:spacing w:after="0"/>
            </w:pPr>
            <w:r>
              <w:rPr>
                <w:b/>
                <w:color w:val="FFFFFF"/>
                <w:sz w:val="16"/>
              </w:rPr>
              <w:t>Base (</w:t>
            </w:r>
            <w:r>
              <w:rPr>
                <w:b/>
                <w:i/>
                <w:color w:val="FFFFFF"/>
                <w:sz w:val="16"/>
              </w:rPr>
              <w:t>Base</w:t>
            </w:r>
            <w:r>
              <w:rPr>
                <w:b/>
                <w:color w:val="FFFFFF"/>
                <w:sz w:val="16"/>
              </w:rPr>
              <w:t>)</w:t>
            </w:r>
          </w:p>
        </w:tc>
        <w:tc>
          <w:tcPr>
            <w:tcW w:type="dxa" w:w="1205"/>
            <w:shd w:val="clear" w:color="auto" w:fill="0B3020"/>
          </w:tcPr>
          <w:p>
            <w:pPr>
              <w:spacing w:after="0"/>
            </w:pPr>
            <w:r>
              <w:rPr>
                <w:b/>
                <w:color w:val="FFFFFF"/>
                <w:sz w:val="16"/>
              </w:rPr>
              <w:t>Bas (</w:t>
            </w:r>
            <w:r>
              <w:rPr>
                <w:b/>
                <w:i/>
                <w:color w:val="FFFFFF"/>
                <w:sz w:val="16"/>
              </w:rPr>
              <w:t>Low</w:t>
            </w:r>
            <w:r>
              <w:rPr>
                <w:b/>
                <w:color w:val="FFFFFF"/>
                <w:sz w:val="16"/>
              </w:rPr>
              <w:t>)</w:t>
            </w:r>
          </w:p>
        </w:tc>
        <w:tc>
          <w:tcPr>
            <w:tcW w:type="dxa" w:w="1472"/>
            <w:shd w:val="clear" w:color="auto" w:fill="0B3020"/>
          </w:tcPr>
          <w:p>
            <w:pPr>
              <w:spacing w:after="0"/>
            </w:pPr>
            <w:r>
              <w:rPr>
                <w:b/>
                <w:color w:val="FFFFFF"/>
                <w:sz w:val="16"/>
              </w:rPr>
              <w:t>Haut (</w:t>
            </w:r>
            <w:r>
              <w:rPr>
                <w:b/>
                <w:i/>
                <w:color w:val="FFFFFF"/>
                <w:sz w:val="16"/>
              </w:rPr>
              <w:t>High</w:t>
            </w:r>
            <w:r>
              <w:rPr>
                <w:b/>
                <w:color w:val="FFFFFF"/>
                <w:sz w:val="16"/>
              </w:rPr>
              <w:t>)</w:t>
            </w:r>
          </w:p>
        </w:tc>
      </w:tr>
      <w:tr>
        <w:tc>
          <w:tcPr>
            <w:tcW w:type="dxa" w:w="5488"/>
          </w:tcPr>
          <w:p>
            <w:pPr>
              <w:spacing w:after="0"/>
            </w:pPr>
            <w:r>
              <w:rPr>
                <w:color w:val="1D1D1D"/>
                <w:sz w:val="16"/>
              </w:rPr>
              <w:t>Facteur de débit</w:t>
            </w:r>
          </w:p>
        </w:tc>
        <w:tc>
          <w:tcPr>
            <w:tcW w:type="dxa" w:w="1472"/>
          </w:tcPr>
          <w:p>
            <w:pPr>
              <w:spacing w:after="0"/>
            </w:pPr>
            <w:r>
              <w:rPr>
                <w:color w:val="1D1D1D"/>
                <w:sz w:val="16"/>
              </w:rPr>
              <w:t>1,00</w:t>
            </w:r>
          </w:p>
        </w:tc>
        <w:tc>
          <w:tcPr>
            <w:tcW w:type="dxa" w:w="1205"/>
          </w:tcPr>
          <w:p>
            <w:pPr>
              <w:spacing w:after="0"/>
            </w:pPr>
            <w:r>
              <w:rPr>
                <w:color w:val="1D1D1D"/>
                <w:sz w:val="16"/>
              </w:rPr>
              <w:t>0,93</w:t>
            </w:r>
          </w:p>
        </w:tc>
        <w:tc>
          <w:tcPr>
            <w:tcW w:type="dxa" w:w="1472"/>
          </w:tcPr>
          <w:p>
            <w:pPr>
              <w:spacing w:after="0"/>
            </w:pPr>
            <w:r>
              <w:rPr>
                <w:color w:val="1D1D1D"/>
                <w:sz w:val="16"/>
              </w:rPr>
              <w:t>1,04</w:t>
            </w:r>
          </w:p>
        </w:tc>
      </w:tr>
      <w:tr>
        <w:tc>
          <w:tcPr>
            <w:tcW w:type="dxa" w:w="5488"/>
            <w:shd w:val="clear" w:color="auto" w:fill="FAF8F2"/>
          </w:tcPr>
          <w:p>
            <w:pPr>
              <w:spacing w:after="0"/>
            </w:pPr>
            <w:r>
              <w:rPr>
                <w:color w:val="1D1D1D"/>
                <w:sz w:val="16"/>
              </w:rPr>
              <w:t>Facteur de CAPEX (coût d'investissement)</w:t>
            </w:r>
          </w:p>
        </w:tc>
        <w:tc>
          <w:tcPr>
            <w:tcW w:type="dxa" w:w="1472"/>
            <w:shd w:val="clear" w:color="auto" w:fill="FAF8F2"/>
          </w:tcPr>
          <w:p>
            <w:pPr>
              <w:spacing w:after="0"/>
            </w:pPr>
            <w:r>
              <w:rPr>
                <w:color w:val="1D1D1D"/>
                <w:sz w:val="16"/>
              </w:rPr>
              <w:t>1,00</w:t>
            </w:r>
          </w:p>
        </w:tc>
        <w:tc>
          <w:tcPr>
            <w:tcW w:type="dxa" w:w="1205"/>
            <w:shd w:val="clear" w:color="auto" w:fill="FAF8F2"/>
          </w:tcPr>
          <w:p>
            <w:pPr>
              <w:spacing w:after="0"/>
            </w:pPr>
            <w:r>
              <w:rPr>
                <w:color w:val="1D1D1D"/>
                <w:sz w:val="16"/>
              </w:rPr>
              <w:t>1,10</w:t>
            </w:r>
          </w:p>
        </w:tc>
        <w:tc>
          <w:tcPr>
            <w:tcW w:type="dxa" w:w="1472"/>
            <w:shd w:val="clear" w:color="auto" w:fill="FAF8F2"/>
          </w:tcPr>
          <w:p>
            <w:pPr>
              <w:spacing w:after="0"/>
            </w:pPr>
            <w:r>
              <w:rPr>
                <w:color w:val="1D1D1D"/>
                <w:sz w:val="16"/>
              </w:rPr>
              <w:t>0,95</w:t>
            </w:r>
          </w:p>
        </w:tc>
      </w:tr>
      <w:tr>
        <w:tc>
          <w:tcPr>
            <w:tcW w:type="dxa" w:w="5488"/>
          </w:tcPr>
          <w:p>
            <w:pPr>
              <w:spacing w:after="0"/>
            </w:pPr>
            <w:r>
              <w:rPr>
                <w:color w:val="1D1D1D"/>
                <w:sz w:val="16"/>
              </w:rPr>
              <w:t>Ajustement de la croissance de la demande</w:t>
            </w:r>
          </w:p>
        </w:tc>
        <w:tc>
          <w:tcPr>
            <w:tcW w:type="dxa" w:w="1472"/>
          </w:tcPr>
          <w:p>
            <w:pPr>
              <w:spacing w:after="0"/>
            </w:pPr>
            <w:r>
              <w:rPr>
                <w:color w:val="1D1D1D"/>
                <w:sz w:val="16"/>
              </w:rPr>
              <w:t>0,0 pt</w:t>
            </w:r>
          </w:p>
        </w:tc>
        <w:tc>
          <w:tcPr>
            <w:tcW w:type="dxa" w:w="1205"/>
          </w:tcPr>
          <w:p>
            <w:pPr>
              <w:spacing w:after="0"/>
            </w:pPr>
            <w:r>
              <w:rPr>
                <w:color w:val="1D1D1D"/>
                <w:sz w:val="16"/>
              </w:rPr>
              <w:t>−1,5 pt</w:t>
            </w:r>
          </w:p>
        </w:tc>
        <w:tc>
          <w:tcPr>
            <w:tcW w:type="dxa" w:w="1472"/>
          </w:tcPr>
          <w:p>
            <w:pPr>
              <w:spacing w:after="0"/>
            </w:pPr>
            <w:r>
              <w:rPr>
                <w:color w:val="1D1D1D"/>
                <w:sz w:val="16"/>
              </w:rPr>
              <w:t>+1,0 pt</w:t>
            </w:r>
          </w:p>
        </w:tc>
      </w:tr>
      <w:tr>
        <w:tc>
          <w:tcPr>
            <w:tcW w:type="dxa" w:w="5488"/>
            <w:shd w:val="clear" w:color="auto" w:fill="FAF8F2"/>
          </w:tcPr>
          <w:p>
            <w:pPr>
              <w:spacing w:after="0"/>
            </w:pPr>
            <w:r>
              <w:rPr>
                <w:color w:val="1D1D1D"/>
                <w:sz w:val="16"/>
              </w:rPr>
              <w:t>Facteur d'OPEX (charges d'exploitation)</w:t>
            </w:r>
          </w:p>
        </w:tc>
        <w:tc>
          <w:tcPr>
            <w:tcW w:type="dxa" w:w="1472"/>
            <w:shd w:val="clear" w:color="auto" w:fill="FAF8F2"/>
          </w:tcPr>
          <w:p>
            <w:pPr>
              <w:spacing w:after="0"/>
            </w:pPr>
            <w:r>
              <w:rPr>
                <w:color w:val="1D1D1D"/>
                <w:sz w:val="16"/>
              </w:rPr>
              <w:t>1,00</w:t>
            </w:r>
          </w:p>
        </w:tc>
        <w:tc>
          <w:tcPr>
            <w:tcW w:type="dxa" w:w="1205"/>
            <w:shd w:val="clear" w:color="auto" w:fill="FAF8F2"/>
          </w:tcPr>
          <w:p>
            <w:pPr>
              <w:spacing w:after="0"/>
            </w:pPr>
            <w:r>
              <w:rPr>
                <w:color w:val="1D1D1D"/>
                <w:sz w:val="16"/>
              </w:rPr>
              <w:t>1,10</w:t>
            </w:r>
          </w:p>
        </w:tc>
        <w:tc>
          <w:tcPr>
            <w:tcW w:type="dxa" w:w="1472"/>
            <w:shd w:val="clear" w:color="auto" w:fill="FAF8F2"/>
          </w:tcPr>
          <w:p>
            <w:pPr>
              <w:spacing w:after="0"/>
            </w:pPr>
            <w:r>
              <w:rPr>
                <w:color w:val="1D1D1D"/>
                <w:sz w:val="16"/>
              </w:rPr>
              <w:t>0,95</w:t>
            </w:r>
          </w:p>
        </w:tc>
      </w:tr>
    </w:tbl>
    <w:p>
      <w:pPr>
        <w:spacing w:after="40"/>
      </w:pPr>
    </w:p>
    <w:p>
      <w:pPr>
        <w:jc w:val="both"/>
      </w:pPr>
      <w:r>
        <w:rPr/>
        <w:t>Les taux de croissance des segments de demande changent aussi selon le cas. Dans ce manuel, « pt » désigne un point de pourcentage et « pb » un point de base.</w:t>
      </w:r>
    </w:p>
    <w:p>
      <w:pPr>
        <w:pStyle w:val="Heading2"/>
      </w:pPr>
      <w:r>
        <w:t>7.2 Commutateurs de stress (cumulables)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49"/>
            <w:shd w:val="clear" w:color="auto" w:fill="0B3020"/>
          </w:tcPr>
          <w:p>
            <w:pPr>
              <w:spacing w:after="0"/>
            </w:pPr>
            <w:r>
              <w:rPr>
                <w:b/>
                <w:color w:val="FFFFFF"/>
                <w:sz w:val="16"/>
              </w:rPr>
              <w:t>Commutateur</w:t>
            </w:r>
          </w:p>
        </w:tc>
        <w:tc>
          <w:tcPr>
            <w:tcW w:type="dxa" w:w="2996"/>
            <w:shd w:val="clear" w:color="auto" w:fill="0B3020"/>
          </w:tcPr>
          <w:p>
            <w:pPr>
              <w:spacing w:after="0"/>
            </w:pPr>
            <w:r>
              <w:rPr>
                <w:b/>
                <w:color w:val="FFFFFF"/>
                <w:sz w:val="16"/>
              </w:rPr>
              <w:t>Paramètre par défaut</w:t>
            </w:r>
          </w:p>
        </w:tc>
        <w:tc>
          <w:tcPr>
            <w:tcW w:type="dxa" w:w="2996"/>
            <w:shd w:val="clear" w:color="auto" w:fill="0B3020"/>
          </w:tcPr>
          <w:p>
            <w:pPr>
              <w:spacing w:after="0"/>
            </w:pPr>
            <w:r>
              <w:rPr>
                <w:b/>
                <w:color w:val="FFFFFF"/>
                <w:sz w:val="16"/>
              </w:rPr>
              <w:t>Effet dans le moteur de calcul</w:t>
            </w:r>
          </w:p>
        </w:tc>
        <w:tc>
          <w:tcPr>
            <w:tcW w:type="dxa" w:w="2996"/>
            <w:shd w:val="clear" w:color="auto" w:fill="0B3020"/>
          </w:tcPr>
          <w:p>
            <w:pPr>
              <w:spacing w:after="0"/>
            </w:pPr>
            <w:r>
              <w:rPr>
                <w:b/>
                <w:color w:val="FFFFFF"/>
                <w:sz w:val="16"/>
              </w:rPr>
              <w:t>Fondement indiqué dans le modèle</w:t>
            </w:r>
          </w:p>
        </w:tc>
      </w:tr>
      <w:tr>
        <w:tc>
          <w:tcPr>
            <w:tcW w:type="dxa" w:w="649"/>
          </w:tcPr>
          <w:p>
            <w:pPr>
              <w:spacing w:after="0"/>
            </w:pPr>
            <w:r>
              <w:rPr>
                <w:rFonts w:ascii="Courier New" w:hAnsi="Courier New"/>
                <w:color w:val="1D1D1D"/>
                <w:sz w:val="16"/>
              </w:rPr>
              <w:t>st_drought</w:t>
            </w:r>
          </w:p>
        </w:tc>
        <w:tc>
          <w:tcPr>
            <w:tcW w:type="dxa" w:w="2996"/>
          </w:tcPr>
          <w:p>
            <w:pPr>
              <w:spacing w:after="0"/>
            </w:pPr>
            <w:r>
              <w:rPr>
                <w:color w:val="1D1D1D"/>
                <w:sz w:val="16"/>
              </w:rPr>
              <w:t>Débit × 0,55 pendant 3 ans à partir de la 4e année d'exploitation</w:t>
            </w:r>
          </w:p>
        </w:tc>
        <w:tc>
          <w:tcPr>
            <w:tcW w:type="dxa" w:w="2996"/>
          </w:tcPr>
          <w:p>
            <w:pPr>
              <w:spacing w:after="0"/>
            </w:pPr>
            <w:r>
              <w:rPr>
                <w:color w:val="1D1D1D"/>
                <w:sz w:val="16"/>
              </w:rPr>
              <w:t xml:space="preserve">Facteur </w:t>
            </w:r>
            <w:r>
              <w:rPr>
                <w:rFonts w:ascii="Courier New" w:hAnsi="Courier New"/>
                <w:color w:val="1D1D1D"/>
                <w:sz w:val="16"/>
              </w:rPr>
              <w:t>drought</w:t>
            </w:r>
            <w:r>
              <w:rPr>
                <w:color w:val="1D1D1D"/>
                <w:sz w:val="16"/>
              </w:rPr>
              <w:t xml:space="preserve"> appliqué à la production (pas à la production du cas prêteurs)</w:t>
            </w:r>
          </w:p>
        </w:tc>
        <w:tc>
          <w:tcPr>
            <w:tcW w:type="dxa" w:w="2996"/>
          </w:tcPr>
          <w:p>
            <w:pPr>
              <w:spacing w:after="0"/>
            </w:pPr>
            <w:r>
              <w:rPr>
                <w:color w:val="1D1D1D"/>
                <w:sz w:val="16"/>
              </w:rPr>
              <w:t>Réduction d'environ 47 % de l'allocation de Kariba en 2024 [CL-04]</w:t>
            </w:r>
          </w:p>
        </w:tc>
      </w:tr>
      <w:tr>
        <w:tc>
          <w:tcPr>
            <w:tcW w:type="dxa" w:w="649"/>
            <w:shd w:val="clear" w:color="auto" w:fill="FAF8F2"/>
          </w:tcPr>
          <w:p>
            <w:pPr>
              <w:spacing w:after="0"/>
            </w:pPr>
            <w:r>
              <w:rPr>
                <w:rFonts w:ascii="Courier New" w:hAnsi="Courier New"/>
                <w:color w:val="1D1D1D"/>
                <w:sz w:val="16"/>
              </w:rPr>
              <w:t>st_capex</w:t>
            </w:r>
          </w:p>
        </w:tc>
        <w:tc>
          <w:tcPr>
            <w:tcW w:type="dxa" w:w="2996"/>
            <w:shd w:val="clear" w:color="auto" w:fill="FAF8F2"/>
          </w:tcPr>
          <w:p>
            <w:pPr>
              <w:spacing w:after="0"/>
            </w:pPr>
            <w:r>
              <w:rPr>
                <w:color w:val="1D1D1D"/>
                <w:sz w:val="16"/>
              </w:rPr>
              <w:t>+27 %</w:t>
            </w:r>
          </w:p>
        </w:tc>
        <w:tc>
          <w:tcPr>
            <w:tcW w:type="dxa" w:w="2996"/>
            <w:shd w:val="clear" w:color="auto" w:fill="FAF8F2"/>
          </w:tcPr>
          <w:p>
            <w:pPr>
              <w:spacing w:after="0"/>
            </w:pPr>
            <w:r>
              <w:rPr>
                <w:rFonts w:ascii="Courier New" w:hAnsi="Courier New"/>
                <w:color w:val="1D1D1D"/>
                <w:sz w:val="16"/>
              </w:rPr>
              <w:t>eff_capex</w:t>
            </w:r>
            <w:r>
              <w:rPr>
                <w:color w:val="1D1D1D"/>
                <w:sz w:val="16"/>
              </w:rPr>
              <w:t xml:space="preserve">, proportionné à la part supportée par le maître d'ouvrage, </w:t>
            </w:r>
            <w:r>
              <w:rPr>
                <w:rFonts w:ascii="Courier New" w:hAnsi="Courier New"/>
                <w:color w:val="1D1D1D"/>
                <w:sz w:val="16"/>
              </w:rPr>
              <w:t>epc_owner</w:t>
            </w:r>
          </w:p>
        </w:tc>
        <w:tc>
          <w:tcPr>
            <w:tcW w:type="dxa" w:w="2996"/>
            <w:shd w:val="clear" w:color="auto" w:fill="FAF8F2"/>
          </w:tcPr>
          <w:p>
            <w:pPr>
              <w:spacing w:after="0"/>
            </w:pPr>
            <w:r>
              <w:rPr>
                <w:color w:val="1D1D1D"/>
                <w:sz w:val="16"/>
              </w:rPr>
              <w:t>Dépassement réel médian selon Ansar et al. 2014 [HY-08] ; moyenne de +96 %</w:t>
            </w:r>
          </w:p>
        </w:tc>
      </w:tr>
      <w:tr>
        <w:tc>
          <w:tcPr>
            <w:tcW w:type="dxa" w:w="649"/>
          </w:tcPr>
          <w:p>
            <w:pPr>
              <w:spacing w:after="0"/>
            </w:pPr>
            <w:r>
              <w:rPr>
                <w:rFonts w:ascii="Courier New" w:hAnsi="Courier New"/>
                <w:color w:val="1D1D1D"/>
                <w:sz w:val="16"/>
              </w:rPr>
              <w:t>st_delay</w:t>
            </w:r>
          </w:p>
        </w:tc>
        <w:tc>
          <w:tcPr>
            <w:tcW w:type="dxa" w:w="2996"/>
          </w:tcPr>
          <w:p>
            <w:pPr>
              <w:spacing w:after="0"/>
            </w:pPr>
            <w:r>
              <w:rPr>
                <w:color w:val="1D1D1D"/>
                <w:sz w:val="16"/>
              </w:rPr>
              <w:t>+2 ans</w:t>
            </w:r>
          </w:p>
        </w:tc>
        <w:tc>
          <w:tcPr>
            <w:tcW w:type="dxa" w:w="2996"/>
          </w:tcPr>
          <w:p>
            <w:pPr>
              <w:spacing w:after="0"/>
            </w:pPr>
            <w:r>
              <w:rPr>
                <w:color w:val="1D1D1D"/>
                <w:sz w:val="16"/>
              </w:rPr>
              <w:t xml:space="preserve">Construction plus longue ; coût du retard de 4 % par an, proportionné à </w:t>
            </w:r>
            <w:r>
              <w:rPr>
                <w:rFonts w:ascii="Courier New" w:hAnsi="Courier New"/>
                <w:color w:val="1D1D1D"/>
                <w:sz w:val="16"/>
              </w:rPr>
              <w:t>epc_owner_d</w:t>
            </w:r>
          </w:p>
        </w:tc>
        <w:tc>
          <w:tcPr>
            <w:tcW w:type="dxa" w:w="2996"/>
          </w:tcPr>
          <w:p>
            <w:pPr>
              <w:spacing w:after="0"/>
            </w:pPr>
            <w:r>
              <w:rPr>
                <w:color w:val="1D1D1D"/>
                <w:sz w:val="16"/>
              </w:rPr>
              <w:t>Retard moyen de 2,3 ans selon Ansar et al. 2014 [HY-08]</w:t>
            </w:r>
          </w:p>
        </w:tc>
      </w:tr>
      <w:tr>
        <w:tc>
          <w:tcPr>
            <w:tcW w:type="dxa" w:w="649"/>
            <w:shd w:val="clear" w:color="auto" w:fill="FAF8F2"/>
          </w:tcPr>
          <w:p>
            <w:pPr>
              <w:spacing w:after="0"/>
            </w:pPr>
            <w:r>
              <w:rPr>
                <w:rFonts w:ascii="Courier New" w:hAnsi="Courier New"/>
                <w:color w:val="1D1D1D"/>
                <w:sz w:val="16"/>
              </w:rPr>
              <w:t>st_demand</w:t>
            </w:r>
          </w:p>
        </w:tc>
        <w:tc>
          <w:tcPr>
            <w:tcW w:type="dxa" w:w="2996"/>
            <w:shd w:val="clear" w:color="auto" w:fill="FAF8F2"/>
          </w:tcPr>
          <w:p>
            <w:pPr>
              <w:spacing w:after="0"/>
            </w:pPr>
            <w:r>
              <w:rPr>
                <w:color w:val="1D1D1D"/>
                <w:sz w:val="16"/>
              </w:rPr>
              <w:t>Niveau de la demande × 0,80 à partir de la COD</w:t>
            </w:r>
          </w:p>
        </w:tc>
        <w:tc>
          <w:tcPr>
            <w:tcW w:type="dxa" w:w="2996"/>
            <w:shd w:val="clear" w:color="auto" w:fill="FAF8F2"/>
          </w:tcPr>
          <w:p>
            <w:pPr>
              <w:spacing w:after="0"/>
            </w:pPr>
            <w:r>
              <w:rPr>
                <w:rFonts w:ascii="Courier New" w:hAnsi="Courier New"/>
                <w:color w:val="1D1D1D"/>
                <w:sz w:val="16"/>
              </w:rPr>
              <w:t>eff_dem</w:t>
            </w:r>
          </w:p>
        </w:tc>
        <w:tc>
          <w:tcPr>
            <w:tcW w:type="dxa" w:w="2996"/>
            <w:shd w:val="clear" w:color="auto" w:fill="FAF8F2"/>
          </w:tcPr>
          <w:p>
            <w:pPr>
              <w:spacing w:after="0"/>
            </w:pPr>
            <w:r>
              <w:rPr>
                <w:color w:val="1D1D1D"/>
                <w:sz w:val="16"/>
              </w:rPr>
              <w:t>Hypothèse</w:t>
            </w:r>
          </w:p>
        </w:tc>
      </w:tr>
      <w:tr>
        <w:tc>
          <w:tcPr>
            <w:tcW w:type="dxa" w:w="649"/>
          </w:tcPr>
          <w:p>
            <w:pPr>
              <w:spacing w:after="0"/>
            </w:pPr>
            <w:r>
              <w:rPr>
                <w:rFonts w:ascii="Courier New" w:hAnsi="Courier New"/>
                <w:color w:val="1D1D1D"/>
                <w:sz w:val="16"/>
              </w:rPr>
              <w:t>st_offtaker</w:t>
            </w:r>
          </w:p>
        </w:tc>
        <w:tc>
          <w:tcPr>
            <w:tcW w:type="dxa" w:w="2996"/>
          </w:tcPr>
          <w:p>
            <w:pPr>
              <w:spacing w:after="0"/>
            </w:pPr>
            <w:r>
              <w:rPr>
                <w:color w:val="1D1D1D"/>
                <w:sz w:val="16"/>
              </w:rPr>
              <w:t>Recouvrement −8 pt, transferts −30 %, tarif de détail gelé pendant 5 ans à partir de la COD</w:t>
            </w:r>
          </w:p>
        </w:tc>
        <w:tc>
          <w:tcPr>
            <w:tcW w:type="dxa" w:w="2996"/>
          </w:tcPr>
          <w:p>
            <w:pPr>
              <w:spacing w:after="0"/>
            </w:pPr>
            <w:r>
              <w:rPr>
                <w:rFonts w:ascii="Courier New" w:hAnsi="Courier New"/>
                <w:color w:val="1D1D1D"/>
                <w:sz w:val="16"/>
              </w:rPr>
              <w:t>eff_coll_adj</w:t>
            </w:r>
            <w:r>
              <w:rPr>
                <w:color w:val="1D1D1D"/>
                <w:sz w:val="16"/>
              </w:rPr>
              <w:t xml:space="preserve">, </w:t>
            </w:r>
            <w:r>
              <w:rPr>
                <w:rFonts w:ascii="Courier New" w:hAnsi="Courier New"/>
                <w:color w:val="1D1D1D"/>
                <w:sz w:val="16"/>
              </w:rPr>
              <w:t>eff_sub</w:t>
            </w:r>
            <w:r>
              <w:rPr>
                <w:color w:val="1D1D1D"/>
                <w:sz w:val="16"/>
              </w:rPr>
              <w:t xml:space="preserve">, </w:t>
            </w:r>
            <w:r>
              <w:rPr>
                <w:rFonts w:ascii="Courier New" w:hAnsi="Courier New"/>
                <w:color w:val="1D1D1D"/>
                <w:sz w:val="16"/>
              </w:rPr>
              <w:t>eff_freeze</w:t>
            </w:r>
          </w:p>
        </w:tc>
        <w:tc>
          <w:tcPr>
            <w:tcW w:type="dxa" w:w="2996"/>
          </w:tcPr>
          <w:p>
            <w:pPr>
              <w:spacing w:after="0"/>
            </w:pPr>
            <w:r>
              <w:rPr>
                <w:color w:val="1D1D1D"/>
                <w:sz w:val="16"/>
              </w:rPr>
              <w:t>Hypothèse</w:t>
            </w:r>
          </w:p>
        </w:tc>
      </w:tr>
      <w:tr>
        <w:tc>
          <w:tcPr>
            <w:tcW w:type="dxa" w:w="649"/>
            <w:shd w:val="clear" w:color="auto" w:fill="FAF8F2"/>
          </w:tcPr>
          <w:p>
            <w:pPr>
              <w:spacing w:after="0"/>
            </w:pPr>
            <w:r>
              <w:rPr>
                <w:rFonts w:ascii="Courier New" w:hAnsi="Courier New"/>
                <w:color w:val="1D1D1D"/>
                <w:sz w:val="16"/>
              </w:rPr>
              <w:t>st_fx</w:t>
            </w:r>
          </w:p>
        </w:tc>
        <w:tc>
          <w:tcPr>
            <w:tcW w:type="dxa" w:w="2996"/>
            <w:shd w:val="clear" w:color="auto" w:fill="FAF8F2"/>
          </w:tcPr>
          <w:p>
            <w:pPr>
              <w:spacing w:after="0"/>
            </w:pPr>
            <w:r>
              <w:rPr>
                <w:color w:val="1D1D1D"/>
                <w:sz w:val="16"/>
              </w:rPr>
              <w:t>Dévaluation ponctuelle de 50 %, en une seule fois, à la COD</w:t>
            </w:r>
          </w:p>
        </w:tc>
        <w:tc>
          <w:tcPr>
            <w:tcW w:type="dxa" w:w="2996"/>
            <w:shd w:val="clear" w:color="auto" w:fill="FAF8F2"/>
          </w:tcPr>
          <w:p>
            <w:pPr>
              <w:spacing w:after="0"/>
            </w:pPr>
            <w:r>
              <w:rPr>
                <w:rFonts w:ascii="Courier New" w:hAnsi="Courier New"/>
                <w:color w:val="1D1D1D"/>
                <w:sz w:val="16"/>
              </w:rPr>
              <w:t>eff_fxshock</w:t>
            </w:r>
          </w:p>
        </w:tc>
        <w:tc>
          <w:tcPr>
            <w:tcW w:type="dxa" w:w="2996"/>
            <w:shd w:val="clear" w:color="auto" w:fill="FAF8F2"/>
          </w:tcPr>
          <w:p>
            <w:pPr>
              <w:spacing w:after="0"/>
            </w:pPr>
            <w:r>
              <w:rPr>
                <w:color w:val="1D1D1D"/>
                <w:sz w:val="16"/>
              </w:rPr>
              <w:t>Fortes dévaluations récentes</w:t>
            </w:r>
          </w:p>
        </w:tc>
      </w:tr>
      <w:tr>
        <w:tc>
          <w:tcPr>
            <w:tcW w:type="dxa" w:w="649"/>
          </w:tcPr>
          <w:p>
            <w:pPr>
              <w:spacing w:after="0"/>
            </w:pPr>
            <w:r>
              <w:rPr>
                <w:rFonts w:ascii="Courier New" w:hAnsi="Courier New"/>
                <w:color w:val="1D1D1D"/>
                <w:sz w:val="16"/>
              </w:rPr>
              <w:t>st_rate</w:t>
            </w:r>
          </w:p>
        </w:tc>
        <w:tc>
          <w:tcPr>
            <w:tcW w:type="dxa" w:w="2996"/>
          </w:tcPr>
          <w:p>
            <w:pPr>
              <w:spacing w:after="0"/>
            </w:pPr>
            <w:r>
              <w:rPr>
                <w:color w:val="1D1D1D"/>
                <w:sz w:val="16"/>
              </w:rPr>
              <w:t>+300 pb sur la dette commerciale</w:t>
            </w:r>
          </w:p>
        </w:tc>
        <w:tc>
          <w:tcPr>
            <w:tcW w:type="dxa" w:w="2996"/>
          </w:tcPr>
          <w:p>
            <w:pPr>
              <w:spacing w:after="0"/>
            </w:pPr>
            <w:r>
              <w:rPr>
                <w:color w:val="1D1D1D"/>
                <w:sz w:val="16"/>
              </w:rPr>
              <w:t>Appliqué à la seule part non couverte</w:t>
            </w:r>
          </w:p>
        </w:tc>
        <w:tc>
          <w:tcPr>
            <w:tcW w:type="dxa" w:w="2996"/>
          </w:tcPr>
          <w:p>
            <w:pPr>
              <w:spacing w:after="0"/>
            </w:pPr>
            <w:r>
              <w:rPr>
                <w:color w:val="1D1D1D"/>
                <w:sz w:val="16"/>
              </w:rPr>
              <w:t>Dette concessionnelle à taux fixe</w:t>
            </w:r>
          </w:p>
        </w:tc>
      </w:tr>
      <w:tr>
        <w:tc>
          <w:tcPr>
            <w:tcW w:type="dxa" w:w="649"/>
            <w:shd w:val="clear" w:color="auto" w:fill="FAF8F2"/>
          </w:tcPr>
          <w:p>
            <w:pPr>
              <w:spacing w:after="0"/>
            </w:pPr>
            <w:r>
              <w:rPr>
                <w:rFonts w:ascii="Courier New" w:hAnsi="Courier New"/>
                <w:color w:val="1D1D1D"/>
                <w:sz w:val="16"/>
              </w:rPr>
              <w:t>st_trans</w:t>
            </w:r>
          </w:p>
        </w:tc>
        <w:tc>
          <w:tcPr>
            <w:tcW w:type="dxa" w:w="2996"/>
            <w:shd w:val="clear" w:color="auto" w:fill="FAF8F2"/>
          </w:tcPr>
          <w:p>
            <w:pPr>
              <w:spacing w:after="0"/>
            </w:pPr>
            <w:r>
              <w:rPr>
                <w:color w:val="1D1D1D"/>
                <w:sz w:val="16"/>
              </w:rPr>
              <w:t>Ligne livrée avec 2 ans de retard</w:t>
            </w:r>
          </w:p>
        </w:tc>
        <w:tc>
          <w:tcPr>
            <w:tcW w:type="dxa" w:w="2996"/>
            <w:shd w:val="clear" w:color="auto" w:fill="FAF8F2"/>
          </w:tcPr>
          <w:p>
            <w:pPr>
              <w:spacing w:after="0"/>
            </w:pPr>
            <w:r>
              <w:rPr>
                <w:rFonts w:ascii="Courier New" w:hAnsi="Courier New"/>
                <w:color w:val="1D1D1D"/>
                <w:sz w:val="16"/>
              </w:rPr>
              <w:t>eff_tdelay</w:t>
            </w:r>
            <w:r>
              <w:rPr>
                <w:color w:val="1D1D1D"/>
                <w:sz w:val="16"/>
              </w:rPr>
              <w:t xml:space="preserve"> ; pénalité de coût</w:t>
            </w:r>
          </w:p>
        </w:tc>
        <w:tc>
          <w:tcPr>
            <w:tcW w:type="dxa" w:w="2996"/>
            <w:shd w:val="clear" w:color="auto" w:fill="FAF8F2"/>
          </w:tcPr>
          <w:p>
            <w:pPr>
              <w:spacing w:after="0"/>
            </w:pPr>
            <w:r>
              <w:rPr>
                <w:color w:val="1D1D1D"/>
                <w:sz w:val="16"/>
              </w:rPr>
              <w:t>Hypothèse</w:t>
            </w:r>
          </w:p>
        </w:tc>
      </w:tr>
      <w:tr>
        <w:tc>
          <w:tcPr>
            <w:tcW w:type="dxa" w:w="649"/>
          </w:tcPr>
          <w:p>
            <w:pPr>
              <w:spacing w:after="0"/>
            </w:pPr>
            <w:r>
              <w:rPr>
                <w:rFonts w:ascii="Courier New" w:hAnsi="Courier New"/>
                <w:color w:val="1D1D1D"/>
                <w:sz w:val="16"/>
              </w:rPr>
              <w:t>st_climate</w:t>
            </w:r>
          </w:p>
        </w:tc>
        <w:tc>
          <w:tcPr>
            <w:tcW w:type="dxa" w:w="2996"/>
          </w:tcPr>
          <w:p>
            <w:pPr>
              <w:spacing w:after="0"/>
            </w:pPr>
            <w:r>
              <w:rPr>
                <w:color w:val="1D1D1D"/>
                <w:sz w:val="16"/>
              </w:rPr>
              <w:t>−3 % du débit moyen par décennie</w:t>
            </w:r>
          </w:p>
        </w:tc>
        <w:tc>
          <w:tcPr>
            <w:tcW w:type="dxa" w:w="2996"/>
          </w:tcPr>
          <w:p>
            <w:pPr>
              <w:spacing w:after="0"/>
            </w:pPr>
            <w:r>
              <w:rPr>
                <w:color w:val="1D1D1D"/>
                <w:sz w:val="16"/>
              </w:rPr>
              <w:t xml:space="preserve">Facteur </w:t>
            </w:r>
            <w:r>
              <w:rPr>
                <w:rFonts w:ascii="Courier New" w:hAnsi="Courier New"/>
                <w:color w:val="1D1D1D"/>
                <w:sz w:val="16"/>
              </w:rPr>
              <w:t>climate</w:t>
            </w:r>
          </w:p>
        </w:tc>
        <w:tc>
          <w:tcPr>
            <w:tcW w:type="dxa" w:w="2996"/>
          </w:tcPr>
          <w:p>
            <w:pPr>
              <w:spacing w:after="0"/>
            </w:pPr>
            <w:r>
              <w:rPr>
                <w:color w:val="1D1D1D"/>
                <w:sz w:val="16"/>
              </w:rPr>
              <w:t>Valeur illustrative ; une étude de bassin est nécessaire</w:t>
            </w:r>
          </w:p>
        </w:tc>
      </w:tr>
    </w:tbl>
    <w:p>
      <w:pPr>
        <w:spacing w:after="40"/>
      </w:pPr>
    </w:p>
    <w:p>
      <w:pPr>
        <w:pStyle w:val="Heading2"/>
      </w:pPr>
      <w:r>
        <w:t>7.3 Variations de sensibilité</w:t>
      </w:r>
    </w:p>
    <w:p>
      <w:pPr>
        <w:jc w:val="both"/>
      </w:pPr>
      <w:r>
        <w:rPr>
          <w:rFonts w:ascii="Courier New" w:hAnsi="Courier New"/>
        </w:rPr>
        <w:t>fx_capex</w:t>
      </w:r>
      <w:r>
        <w:rPr/>
        <w:t xml:space="preserve">, </w:t>
      </w:r>
      <w:r>
        <w:rPr>
          <w:rFonts w:ascii="Courier New" w:hAnsi="Courier New"/>
        </w:rPr>
        <w:t>fx_gen</w:t>
      </w:r>
      <w:r>
        <w:rPr/>
        <w:t xml:space="preserve">, </w:t>
      </w:r>
      <w:r>
        <w:rPr>
          <w:rFonts w:ascii="Courier New" w:hAnsi="Courier New"/>
        </w:rPr>
        <w:t>fx_tariff</w:t>
      </w:r>
      <w:r>
        <w:rPr/>
        <w:t xml:space="preserve">, </w:t>
      </w:r>
      <w:r>
        <w:rPr>
          <w:rFonts w:ascii="Courier New" w:hAnsi="Courier New"/>
        </w:rPr>
        <w:t>fx_opex</w:t>
      </w:r>
      <w:r>
        <w:rPr/>
        <w:t xml:space="preserve"> et </w:t>
      </w:r>
      <w:r>
        <w:rPr>
          <w:rFonts w:ascii="Courier New" w:hAnsi="Courier New"/>
        </w:rPr>
        <w:t>fx_rate</w:t>
      </w:r>
      <w:r>
        <w:rPr/>
        <w:t xml:space="preserve">, sur </w:t>
      </w:r>
      <w:r>
        <w:rPr>
          <w:i/>
        </w:rPr>
        <w:t>01_CONTROL_PANEL</w:t>
      </w:r>
      <w:r>
        <w:rPr/>
        <w:t xml:space="preserve">, s'appliquent en plus du cas et des stress. Les leviers effectifs utilisés par le moteur de calcul sont listés au bas de </w:t>
      </w:r>
      <w:r>
        <w:rPr>
          <w:i/>
        </w:rPr>
        <w:t>27_SCENARIOS</w:t>
      </w:r>
      <w:r>
        <w:rPr/>
        <w:t>.</w:t>
      </w:r>
    </w:p>
    <w:p>
      <w:pPr>
        <w:pStyle w:val="Heading2"/>
      </w:pPr>
      <w:r>
        <w:t>7.4 Diagramme en tornade dynamique (28_SENSITIVITY)</w:t>
      </w:r>
    </w:p>
    <w:p>
      <w:pPr>
        <w:jc w:val="both"/>
      </w:pPr>
      <w:r>
        <w:rPr/>
        <w:t>Il s'agit d'un coût actualisé de l'énergie (LCOE) de présélection, calculé par formule fermée sur l'assiette de financement augmentée des intérêts intercalaires (IDC), au taux d'actualisation du projet et sur la durée du contrat d'achat d'électricité (CAE) :</w:t>
      </w:r>
    </w:p>
    <w:p>
      <w:pPr>
        <w:spacing w:after="0"/>
        <w:ind w:left="283"/>
      </w:pPr>
      <w:r>
        <w:rPr>
          <w:rFonts w:ascii="Courier New" w:hAnsi="Courier New"/>
          <w:sz w:val="17"/>
        </w:rPr>
        <w:t>lc_crf  = disc_rate/(1-(1+disc_rate)^-ops_years)</w:t>
      </w:r>
    </w:p>
    <w:p>
      <w:pPr>
        <w:spacing w:after="0"/>
        <w:ind w:left="283"/>
      </w:pPr>
      <w:r>
        <w:rPr>
          <w:rFonts w:ascii="Courier New" w:hAnsi="Courier New"/>
          <w:sz w:val="17"/>
        </w:rPr>
        <w:t>lc_base = ((fund_base+u_idc)*lc_crf+opex_y2)/p50*1000</w:t>
      </w:r>
    </w:p>
    <w:p>
      <w:pPr>
        <w:spacing w:after="40"/>
      </w:pPr>
    </w:p>
    <w:p>
      <w:pPr>
        <w:jc w:val="both"/>
      </w:pPr>
      <w:r>
        <w:rPr/>
        <w:t>Chaque facteur varie dans les deux sens : CAPEX ±20 %, production ±10 %, taux d'actualisation ±2 pt, OPEX ±20 %, part livrée (écrêtement de 0 à 15 %). Le LCOE de présélection de Kasiri est de 97,8 USD/MWh, et le CAPEX produit l'écart le plus large. Le diagramme en tornade ignore la fiscalité, le financement et le calendrier ; les résultats de financement proviennent du moteur de calcul complet.</w:t>
      </w:r>
    </w:p>
    <w:p>
      <w:pPr>
        <w:pStyle w:val="Heading2"/>
      </w:pPr>
      <w:r>
        <w:t>7.5 Le script d'instantanés</w:t>
      </w:r>
    </w:p>
    <w:p>
      <w:pPr>
        <w:jc w:val="both"/>
      </w:pPr>
      <w:r>
        <w:rPr>
          <w:rFonts w:ascii="Courier New" w:hAnsi="Courier New"/>
        </w:rPr>
        <w:t>tools/run_snapshots.py</w:t>
      </w:r>
      <w:r>
        <w:rPr/>
        <w:t xml:space="preserve"> (le script d'instantanés, </w:t>
      </w:r>
      <w:r>
        <w:rPr>
          <w:i/>
        </w:rPr>
        <w:t>snapshot runner</w:t>
      </w:r>
      <w:r>
        <w:rPr/>
        <w:t>) recalcule l'intégralité du classeur pour chaque cas, en recalculant à chaque fois une copie temporaire dans LibreOffice sans interface (mode headless), et enregistre les résultats sous forme de tableaux statiques datés. Les formules dynamiques ne sont pas modifiées.</w:t>
      </w:r>
    </w:p>
    <w:p>
      <w:pPr>
        <w:jc w:val="both"/>
      </w:pPr>
      <w:r>
        <w:rPr>
          <w:b/>
        </w:rPr>
        <w:t>Ce qu'il exécute.</w:t>
      </w:r>
    </w:p>
    <w:tbl>
      <w:tblPr>
        <w:tblStyle w:val="TableGrid"/>
        <w:tblW w:type="auto" w:w="0"/>
        <w:jc w:val="center"/>
        <w:tblLook w:firstColumn="1" w:firstRow="1" w:lastColumn="0" w:lastRow="0" w:noHBand="0" w:noVBand="1" w:val="04A0"/>
      </w:tblPr>
      <w:tblGrid>
        <w:gridCol w:w="3213"/>
        <w:gridCol w:w="3213"/>
        <w:gridCol w:w="3213"/>
      </w:tblGrid>
      <w:tr>
        <w:tc>
          <w:tcPr>
            <w:tcW w:type="dxa" w:w="1257"/>
            <w:shd w:val="clear" w:color="auto" w:fill="0B3020"/>
          </w:tcPr>
          <w:p>
            <w:pPr>
              <w:spacing w:after="0"/>
            </w:pPr>
            <w:r>
              <w:rPr>
                <w:b/>
                <w:color w:val="FFFFFF"/>
                <w:sz w:val="16"/>
              </w:rPr>
              <w:t>Groupe</w:t>
            </w:r>
          </w:p>
        </w:tc>
        <w:tc>
          <w:tcPr>
            <w:tcW w:type="dxa" w:w="6286"/>
            <w:shd w:val="clear" w:color="auto" w:fill="0B3020"/>
          </w:tcPr>
          <w:p>
            <w:pPr>
              <w:spacing w:after="0"/>
            </w:pPr>
            <w:r>
              <w:rPr>
                <w:b/>
                <w:color w:val="FFFFFF"/>
                <w:sz w:val="16"/>
              </w:rPr>
              <w:t>Exécutions</w:t>
            </w:r>
          </w:p>
        </w:tc>
        <w:tc>
          <w:tcPr>
            <w:tcW w:type="dxa" w:w="2095"/>
            <w:shd w:val="clear" w:color="auto" w:fill="0B3020"/>
          </w:tcPr>
          <w:p>
            <w:pPr>
              <w:spacing w:after="0"/>
            </w:pPr>
            <w:r>
              <w:rPr>
                <w:b/>
                <w:color w:val="FFFFFF"/>
                <w:sz w:val="16"/>
              </w:rPr>
              <w:t>Dette</w:t>
            </w:r>
          </w:p>
        </w:tc>
      </w:tr>
      <w:tr>
        <w:tc>
          <w:tcPr>
            <w:tcW w:type="dxa" w:w="1257"/>
          </w:tcPr>
          <w:p>
            <w:pPr>
              <w:spacing w:after="0"/>
            </w:pPr>
            <w:r>
              <w:rPr>
                <w:color w:val="1D1D1D"/>
                <w:sz w:val="16"/>
              </w:rPr>
              <w:t>Base</w:t>
            </w:r>
          </w:p>
        </w:tc>
        <w:tc>
          <w:tcPr>
            <w:tcW w:type="dxa" w:w="6286"/>
          </w:tcPr>
          <w:p>
            <w:pPr>
              <w:spacing w:after="0"/>
            </w:pPr>
            <w:r>
              <w:rPr>
                <w:color w:val="1D1D1D"/>
                <w:sz w:val="16"/>
              </w:rPr>
              <w:t>Dette dimensionnée dans le modèle ; dette figée</w:t>
            </w:r>
          </w:p>
        </w:tc>
        <w:tc>
          <w:tcPr>
            <w:tcW w:type="dxa" w:w="2095"/>
          </w:tcPr>
          <w:p>
            <w:pPr>
              <w:spacing w:after="0"/>
            </w:pPr>
            <w:r>
              <w:rPr>
                <w:color w:val="1D1D1D"/>
                <w:sz w:val="16"/>
              </w:rPr>
              <w:t>Dimensionnée ; figée</w:t>
            </w:r>
          </w:p>
        </w:tc>
      </w:tr>
      <w:tr>
        <w:tc>
          <w:tcPr>
            <w:tcW w:type="dxa" w:w="1257"/>
            <w:shd w:val="clear" w:color="auto" w:fill="FAF8F2"/>
          </w:tcPr>
          <w:p>
            <w:pPr>
              <w:spacing w:after="0"/>
            </w:pPr>
            <w:r>
              <w:rPr>
                <w:color w:val="1D1D1D"/>
                <w:sz w:val="16"/>
              </w:rPr>
              <w:t>Scénarios</w:t>
            </w:r>
          </w:p>
        </w:tc>
        <w:tc>
          <w:tcPr>
            <w:tcW w:type="dxa" w:w="6286"/>
            <w:shd w:val="clear" w:color="auto" w:fill="FAF8F2"/>
          </w:tcPr>
          <w:p>
            <w:pPr>
              <w:spacing w:after="0"/>
            </w:pPr>
            <w:r>
              <w:rPr>
                <w:color w:val="1D1D1D"/>
                <w:sz w:val="16"/>
              </w:rPr>
              <w:t>Bas, Haut, Sécheresse, Dépassement de 27 %, Dépassement de 96 %, Retard, Demande faible, Acheteur, Acheteur sans garantie budgétaire, Choc de change, Taux élevé, Retard de la ligne de transport, Climat, Combiné (dépassement, retard, acheteur, change)</w:t>
            </w:r>
          </w:p>
        </w:tc>
        <w:tc>
          <w:tcPr>
            <w:tcW w:type="dxa" w:w="2095"/>
            <w:shd w:val="clear" w:color="auto" w:fill="FAF8F2"/>
          </w:tcPr>
          <w:p>
            <w:pPr>
              <w:spacing w:after="0"/>
            </w:pPr>
            <w:r>
              <w:rPr>
                <w:color w:val="1D1D1D"/>
                <w:sz w:val="16"/>
              </w:rPr>
              <w:t>Figée</w:t>
            </w:r>
          </w:p>
        </w:tc>
      </w:tr>
      <w:tr>
        <w:tc>
          <w:tcPr>
            <w:tcW w:type="dxa" w:w="1257"/>
          </w:tcPr>
          <w:p>
            <w:pPr>
              <w:spacing w:after="0"/>
            </w:pPr>
            <w:r>
              <w:rPr>
                <w:color w:val="1D1D1D"/>
                <w:sz w:val="16"/>
              </w:rPr>
              <w:t>Structures</w:t>
            </w:r>
          </w:p>
        </w:tc>
        <w:tc>
          <w:tcPr>
            <w:tcW w:type="dxa" w:w="6286"/>
          </w:tcPr>
          <w:p>
            <w:pPr>
              <w:spacing w:after="0"/>
            </w:pPr>
            <w:r>
              <w:rPr>
                <w:color w:val="1D1D1D"/>
                <w:sz w:val="16"/>
              </w:rPr>
              <w:t>Structures 1 à 5</w:t>
            </w:r>
          </w:p>
        </w:tc>
        <w:tc>
          <w:tcPr>
            <w:tcW w:type="dxa" w:w="2095"/>
          </w:tcPr>
          <w:p>
            <w:pPr>
              <w:spacing w:after="0"/>
            </w:pPr>
            <w:r>
              <w:rPr>
                <w:color w:val="1D1D1D"/>
                <w:sz w:val="16"/>
              </w:rPr>
              <w:t>Dimensionnée</w:t>
            </w:r>
          </w:p>
        </w:tc>
      </w:tr>
      <w:tr>
        <w:tc>
          <w:tcPr>
            <w:tcW w:type="dxa" w:w="1257"/>
            <w:shd w:val="clear" w:color="auto" w:fill="FAF8F2"/>
          </w:tcPr>
          <w:p>
            <w:pPr>
              <w:spacing w:after="0"/>
            </w:pPr>
            <w:r>
              <w:rPr>
                <w:color w:val="1D1D1D"/>
                <w:sz w:val="16"/>
              </w:rPr>
              <w:t>Sensibilités</w:t>
            </w:r>
          </w:p>
        </w:tc>
        <w:tc>
          <w:tcPr>
            <w:tcW w:type="dxa" w:w="6286"/>
            <w:shd w:val="clear" w:color="auto" w:fill="FAF8F2"/>
          </w:tcPr>
          <w:p>
            <w:pPr>
              <w:spacing w:after="0"/>
            </w:pPr>
            <w:r>
              <w:rPr>
                <w:color w:val="1D1D1D"/>
                <w:sz w:val="16"/>
              </w:rPr>
              <w:t>CAPEX ±20 %, production ±10 %, tarif ±10 %, OPEX +20 %, taux +200 pb, P90 dans les flux de trésorerie</w:t>
            </w:r>
          </w:p>
        </w:tc>
        <w:tc>
          <w:tcPr>
            <w:tcW w:type="dxa" w:w="2095"/>
            <w:shd w:val="clear" w:color="auto" w:fill="FAF8F2"/>
          </w:tcPr>
          <w:p>
            <w:pPr>
              <w:spacing w:after="0"/>
            </w:pPr>
            <w:r>
              <w:rPr>
                <w:color w:val="1D1D1D"/>
                <w:sz w:val="16"/>
              </w:rPr>
              <w:t>Figée</w:t>
            </w:r>
          </w:p>
        </w:tc>
      </w:tr>
      <w:tr>
        <w:tc>
          <w:tcPr>
            <w:tcW w:type="dxa" w:w="1257"/>
          </w:tcPr>
          <w:p>
            <w:pPr>
              <w:spacing w:after="0"/>
            </w:pPr>
            <w:r>
              <w:rPr>
                <w:color w:val="1D1D1D"/>
                <w:sz w:val="16"/>
              </w:rPr>
              <w:t>Contrats</w:t>
            </w:r>
          </w:p>
        </w:tc>
        <w:tc>
          <w:tcPr>
            <w:tcW w:type="dxa" w:w="6286"/>
          </w:tcPr>
          <w:p>
            <w:pPr>
              <w:spacing w:after="0"/>
            </w:pPr>
            <w:r>
              <w:rPr>
                <w:color w:val="1D1D1D"/>
                <w:sz w:val="16"/>
              </w:rPr>
              <w:t>EPC 1, 2 et 3, en base et avec un dépassement de 96 %</w:t>
            </w:r>
          </w:p>
        </w:tc>
        <w:tc>
          <w:tcPr>
            <w:tcW w:type="dxa" w:w="2095"/>
          </w:tcPr>
          <w:p>
            <w:pPr>
              <w:spacing w:after="0"/>
            </w:pPr>
            <w:r>
              <w:rPr>
                <w:color w:val="1D1D1D"/>
                <w:sz w:val="16"/>
              </w:rPr>
              <w:t>Dimensionnée</w:t>
            </w:r>
          </w:p>
        </w:tc>
      </w:tr>
      <w:tr>
        <w:tc>
          <w:tcPr>
            <w:tcW w:type="dxa" w:w="1257"/>
            <w:shd w:val="clear" w:color="auto" w:fill="FAF8F2"/>
          </w:tcPr>
          <w:p>
            <w:pPr>
              <w:spacing w:after="0"/>
            </w:pPr>
            <w:r>
              <w:rPr>
                <w:color w:val="1D1D1D"/>
                <w:sz w:val="16"/>
              </w:rPr>
              <w:t>Développeur</w:t>
            </w:r>
          </w:p>
        </w:tc>
        <w:tc>
          <w:tcPr>
            <w:tcW w:type="dxa" w:w="6286"/>
            <w:shd w:val="clear" w:color="auto" w:fill="FAF8F2"/>
          </w:tcPr>
          <w:p>
            <w:pPr>
              <w:spacing w:after="0"/>
            </w:pPr>
            <w:r>
              <w:rPr>
                <w:color w:val="1D1D1D"/>
                <w:sz w:val="16"/>
              </w:rPr>
              <w:t>Taux d'actualisation de 18 %, prime de 6 %, probabilités par étape +10 pt, subvention de la moitié de la faisabilité, tarif +10 %, les quatre leviers ensemble</w:t>
            </w:r>
          </w:p>
        </w:tc>
        <w:tc>
          <w:tcPr>
            <w:tcW w:type="dxa" w:w="2095"/>
            <w:shd w:val="clear" w:color="auto" w:fill="FAF8F2"/>
          </w:tcPr>
          <w:p>
            <w:pPr>
              <w:spacing w:after="0"/>
            </w:pPr>
            <w:r>
              <w:rPr>
                <w:color w:val="1D1D1D"/>
                <w:sz w:val="16"/>
              </w:rPr>
              <w:t>Dimensionnée</w:t>
            </w:r>
          </w:p>
        </w:tc>
      </w:tr>
      <w:tr>
        <w:tc>
          <w:tcPr>
            <w:tcW w:type="dxa" w:w="1257"/>
          </w:tcPr>
          <w:p>
            <w:pPr>
              <w:spacing w:after="0"/>
            </w:pPr>
            <w:r>
              <w:rPr>
                <w:color w:val="1D1D1D"/>
                <w:sz w:val="16"/>
              </w:rPr>
              <w:t>Cas prêteurs</w:t>
            </w:r>
          </w:p>
        </w:tc>
        <w:tc>
          <w:tcPr>
            <w:tcW w:type="dxa" w:w="6286"/>
          </w:tcPr>
          <w:p>
            <w:pPr>
              <w:spacing w:after="0"/>
            </w:pPr>
            <w:r>
              <w:rPr>
                <w:color w:val="1D1D1D"/>
                <w:sz w:val="16"/>
              </w:rPr>
              <w:t>P90 à un an</w:t>
            </w:r>
          </w:p>
        </w:tc>
        <w:tc>
          <w:tcPr>
            <w:tcW w:type="dxa" w:w="2095"/>
          </w:tcPr>
          <w:p>
            <w:pPr>
              <w:spacing w:after="0"/>
            </w:pPr>
            <w:r>
              <w:rPr>
                <w:color w:val="1D1D1D"/>
                <w:sz w:val="16"/>
              </w:rPr>
              <w:t>Dimensionnée</w:t>
            </w:r>
          </w:p>
        </w:tc>
      </w:tr>
      <w:tr>
        <w:tc>
          <w:tcPr>
            <w:tcW w:type="dxa" w:w="1257"/>
            <w:shd w:val="clear" w:color="auto" w:fill="FAF8F2"/>
          </w:tcPr>
          <w:p>
            <w:pPr>
              <w:spacing w:after="0"/>
            </w:pPr>
            <w:r>
              <w:rPr>
                <w:color w:val="1D1D1D"/>
                <w:sz w:val="16"/>
              </w:rPr>
              <w:t>Résolutions</w:t>
            </w:r>
          </w:p>
        </w:tc>
        <w:tc>
          <w:tcPr>
            <w:tcW w:type="dxa" w:w="6286"/>
            <w:shd w:val="clear" w:color="auto" w:fill="FAF8F2"/>
          </w:tcPr>
          <w:p>
            <w:pPr>
              <w:spacing w:after="0"/>
            </w:pPr>
            <w:r>
              <w:rPr>
                <w:color w:val="1D1D1D"/>
                <w:sz w:val="16"/>
              </w:rPr>
              <w:t>Variation de tarif qui donne à chaque structure son TRI cible des fonds propres (structures 2 à 5, neuf itérations de dichotomie) ; variation de débit à laquelle le DSCR minimum avec dette figée atteint 1,0</w:t>
            </w:r>
          </w:p>
        </w:tc>
        <w:tc>
          <w:tcPr>
            <w:tcW w:type="dxa" w:w="2095"/>
            <w:shd w:val="clear" w:color="auto" w:fill="FAF8F2"/>
          </w:tcPr>
          <w:p>
            <w:pPr>
              <w:spacing w:after="0"/>
            </w:pPr>
            <w:r>
              <w:rPr>
                <w:color w:val="1D1D1D"/>
                <w:sz w:val="16"/>
              </w:rPr>
              <w:t>Comme ci-dessus</w:t>
            </w:r>
          </w:p>
        </w:tc>
      </w:tr>
    </w:tbl>
    <w:p>
      <w:pPr>
        <w:spacing w:after="40"/>
      </w:pPr>
    </w:p>
    <w:p>
      <w:pPr>
        <w:jc w:val="both"/>
      </w:pPr>
      <w:r>
        <w:rPr/>
        <w:t xml:space="preserve">Pour les exécutions à dette figée, le script exécute d'abord la base avec la dette dimensionnée, puis inscrit les valeurs de base de </w:t>
      </w:r>
      <w:r>
        <w:rPr>
          <w:rFonts w:ascii="Courier New" w:hAnsi="Courier New"/>
        </w:rPr>
        <w:t>debt_m</w:t>
      </w:r>
      <w:r>
        <w:rPr/>
        <w:t xml:space="preserve">, </w:t>
      </w:r>
      <w:r>
        <w:rPr>
          <w:rFonts w:ascii="Courier New" w:hAnsi="Courier New"/>
        </w:rPr>
        <w:t>debt_c</w:t>
      </w:r>
      <w:r>
        <w:rPr/>
        <w:t xml:space="preserve">, </w:t>
      </w:r>
      <w:r>
        <w:rPr>
          <w:rFonts w:ascii="Courier New" w:hAnsi="Courier New"/>
        </w:rPr>
        <w:t>s_grant</w:t>
      </w:r>
      <w:r>
        <w:rPr/>
        <w:t xml:space="preserve">, </w:t>
      </w:r>
      <w:r>
        <w:rPr>
          <w:rFonts w:ascii="Courier New" w:hAnsi="Courier New"/>
        </w:rPr>
        <w:t>s_goveq</w:t>
      </w:r>
      <w:r>
        <w:rPr/>
        <w:t xml:space="preserve"> et le principal commercial par année d'exploitation dans les données d'entrée figées de chaque copie.</w:t>
      </w:r>
    </w:p>
    <w:p>
      <w:pPr>
        <w:jc w:val="both"/>
      </w:pPr>
      <w:r>
        <w:rPr>
          <w:b/>
        </w:rPr>
        <w:t>Ce qu'il enregistre.</w:t>
      </w:r>
      <w:r>
        <w:rPr/>
        <w:t xml:space="preserve"> Des tableaux statiques dans </w:t>
      </w:r>
      <w:r>
        <w:rPr>
          <w:i/>
        </w:rPr>
        <w:t>27_SCENARIOS</w:t>
      </w:r>
      <w:r>
        <w:rPr/>
        <w:t xml:space="preserve"> (scénarios), </w:t>
      </w:r>
      <w:r>
        <w:rPr>
          <w:i/>
        </w:rPr>
        <w:t>17A_STRUCTURES</w:t>
      </w:r>
      <w:r>
        <w:rPr/>
        <w:t xml:space="preserve"> (structures) et </w:t>
      </w:r>
      <w:r>
        <w:rPr>
          <w:i/>
        </w:rPr>
        <w:t>28_SENSITIVITY</w:t>
      </w:r>
      <w:r>
        <w:rPr/>
        <w:t xml:space="preserve"> (sensibilités), chacun avec la date d'exécution, ainsi que </w:t>
      </w:r>
      <w:r>
        <w:rPr>
          <w:rFonts w:ascii="Courier New" w:hAnsi="Courier New"/>
        </w:rPr>
        <w:t>model/snapshot_results.json</w:t>
      </w:r>
      <w:r>
        <w:rPr/>
        <w:t xml:space="preserve">, qui contient tous les résultats clés, les statuts des portes et une sélection de séries temporelles pour chaque exécution. Les résultats sont indexés par des noms courts (par exemple </w:t>
      </w:r>
      <w:r>
        <w:rPr>
          <w:rFonts w:ascii="Courier New" w:hAnsi="Courier New"/>
        </w:rPr>
        <w:t>base_sized</w:t>
      </w:r>
      <w:r>
        <w:rPr/>
        <w:t xml:space="preserve">, </w:t>
      </w:r>
      <w:r>
        <w:rPr>
          <w:rFonts w:ascii="Courier New" w:hAnsi="Courier New"/>
        </w:rPr>
        <w:t>drought</w:t>
      </w:r>
      <w:r>
        <w:rPr/>
        <w:t xml:space="preserve">, </w:t>
      </w:r>
      <w:r>
        <w:rPr>
          <w:rFonts w:ascii="Courier New" w:hAnsi="Courier New"/>
        </w:rPr>
        <w:t>offtaker_nobs</w:t>
      </w:r>
      <w:r>
        <w:rPr/>
        <w:t xml:space="preserve">, </w:t>
      </w:r>
      <w:r>
        <w:rPr>
          <w:rFonts w:ascii="Courier New" w:hAnsi="Courier New"/>
        </w:rPr>
        <w:t>s3</w:t>
      </w:r>
      <w:r>
        <w:rPr/>
        <w:t xml:space="preserve">, </w:t>
      </w:r>
      <w:r>
        <w:rPr>
          <w:rFonts w:ascii="Courier New" w:hAnsi="Courier New"/>
        </w:rPr>
        <w:t>epc2_ov</w:t>
      </w:r>
      <w:r>
        <w:rPr/>
        <w:t xml:space="preserve">, </w:t>
      </w:r>
      <w:r>
        <w:rPr>
          <w:rFonts w:ascii="Courier New" w:hAnsi="Courier New"/>
        </w:rPr>
        <w:t>dev_all</w:t>
      </w:r>
      <w:r>
        <w:rPr/>
        <w:t xml:space="preserve">, </w:t>
      </w:r>
      <w:r>
        <w:rPr>
          <w:rFonts w:ascii="Courier New" w:hAnsi="Courier New"/>
        </w:rPr>
        <w:t>len1</w:t>
      </w:r>
      <w:r>
        <w:rPr/>
        <w:t xml:space="preserve">) ; les variations de tarif requises sont stockées sous </w:t>
      </w:r>
      <w:r>
        <w:rPr>
          <w:rFonts w:ascii="Courier New" w:hAnsi="Courier New"/>
        </w:rPr>
        <w:t>req_tariff_flex</w:t>
      </w:r>
      <w:r>
        <w:rPr/>
        <w:t xml:space="preserve"> dans </w:t>
      </w:r>
      <w:r>
        <w:rPr>
          <w:rFonts w:ascii="Courier New" w:hAnsi="Courier New"/>
        </w:rPr>
        <w:t>s2</w:t>
      </w:r>
      <w:r>
        <w:rPr/>
        <w:t xml:space="preserve"> à </w:t>
      </w:r>
      <w:r>
        <w:rPr>
          <w:rFonts w:ascii="Courier New" w:hAnsi="Courier New"/>
        </w:rPr>
        <w:t>s5</w:t>
      </w:r>
      <w:r>
        <w:rPr/>
        <w:t xml:space="preserve">, et la variation de débit au point mort sous </w:t>
      </w:r>
      <w:r>
        <w:rPr>
          <w:rFonts w:ascii="Courier New" w:hAnsi="Courier New"/>
        </w:rPr>
        <w:t>be_flow_flex</w:t>
      </w:r>
      <w:r>
        <w:rPr/>
        <w:t xml:space="preserve"> dans </w:t>
      </w:r>
      <w:r>
        <w:rPr>
          <w:rFonts w:ascii="Courier New" w:hAnsi="Courier New"/>
        </w:rPr>
        <w:t>base_locked</w:t>
      </w:r>
      <w:r>
        <w:rPr/>
        <w:t>.</w:t>
      </w:r>
    </w:p>
    <w:p>
      <w:pPr>
        <w:jc w:val="both"/>
      </w:pPr>
      <w:r>
        <w:rPr>
          <w:b/>
        </w:rPr>
        <w:t>Sélection de résultats des instantanés (dette figée sauf mention contraire).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53"/>
            <w:shd w:val="clear" w:color="auto" w:fill="0B3020"/>
          </w:tcPr>
          <w:p>
            <w:pPr>
              <w:spacing w:after="0"/>
            </w:pPr>
            <w:r>
              <w:rPr>
                <w:b/>
                <w:color w:val="FFFFFF"/>
                <w:sz w:val="16"/>
              </w:rPr>
              <w:t>Exécution</w:t>
            </w:r>
          </w:p>
        </w:tc>
        <w:tc>
          <w:tcPr>
            <w:tcW w:type="dxa" w:w="1332"/>
            <w:shd w:val="clear" w:color="auto" w:fill="0B3020"/>
          </w:tcPr>
          <w:p>
            <w:pPr>
              <w:spacing w:after="0"/>
            </w:pPr>
            <w:r>
              <w:rPr>
                <w:b/>
                <w:color w:val="FFFFFF"/>
                <w:sz w:val="16"/>
              </w:rPr>
              <w:t>TRI des fonds propres</w:t>
            </w:r>
          </w:p>
        </w:tc>
        <w:tc>
          <w:tcPr>
            <w:tcW w:type="dxa" w:w="761"/>
            <w:shd w:val="clear" w:color="auto" w:fill="0B3020"/>
          </w:tcPr>
          <w:p>
            <w:pPr>
              <w:spacing w:after="0"/>
            </w:pPr>
            <w:r>
              <w:rPr>
                <w:b/>
                <w:color w:val="FFFFFF"/>
                <w:sz w:val="16"/>
              </w:rPr>
              <w:t>DSCR minimum</w:t>
            </w:r>
          </w:p>
        </w:tc>
        <w:tc>
          <w:tcPr>
            <w:tcW w:type="dxa" w:w="2600"/>
            <w:shd w:val="clear" w:color="auto" w:fill="0B3020"/>
          </w:tcPr>
          <w:p>
            <w:pPr>
              <w:spacing w:after="0"/>
            </w:pPr>
            <w:r>
              <w:rPr>
                <w:b/>
                <w:color w:val="FFFFFF"/>
                <w:sz w:val="16"/>
              </w:rPr>
              <w:t>Besoin de financement non couvert (M USD)</w:t>
            </w:r>
          </w:p>
        </w:tc>
        <w:tc>
          <w:tcPr>
            <w:tcW w:type="dxa" w:w="2092"/>
            <w:shd w:val="clear" w:color="auto" w:fill="0B3020"/>
          </w:tcPr>
          <w:p>
            <w:pPr>
              <w:spacing w:after="0"/>
            </w:pPr>
            <w:r>
              <w:rPr>
                <w:b/>
                <w:color w:val="FFFFFF"/>
                <w:sz w:val="16"/>
              </w:rPr>
              <w:t>VAN budgétaire consolidée (M USD)</w:t>
            </w:r>
          </w:p>
        </w:tc>
      </w:tr>
      <w:tr>
        <w:tc>
          <w:tcPr>
            <w:tcW w:type="dxa" w:w="2853"/>
          </w:tcPr>
          <w:p>
            <w:pPr>
              <w:spacing w:after="0"/>
            </w:pPr>
            <w:r>
              <w:rPr>
                <w:color w:val="1D1D1D"/>
                <w:sz w:val="16"/>
              </w:rPr>
              <w:t>Base</w:t>
            </w:r>
          </w:p>
        </w:tc>
        <w:tc>
          <w:tcPr>
            <w:tcW w:type="dxa" w:w="1332"/>
          </w:tcPr>
          <w:p>
            <w:pPr>
              <w:spacing w:after="0"/>
            </w:pPr>
            <w:r>
              <w:rPr>
                <w:color w:val="1D1D1D"/>
                <w:sz w:val="16"/>
              </w:rPr>
              <w:t>13,8 %</w:t>
            </w:r>
          </w:p>
        </w:tc>
        <w:tc>
          <w:tcPr>
            <w:tcW w:type="dxa" w:w="761"/>
          </w:tcPr>
          <w:p>
            <w:pPr>
              <w:spacing w:after="0"/>
            </w:pPr>
            <w:r>
              <w:rPr>
                <w:color w:val="1D1D1D"/>
                <w:sz w:val="16"/>
              </w:rPr>
              <w:t>1,53</w:t>
            </w:r>
          </w:p>
        </w:tc>
        <w:tc>
          <w:tcPr>
            <w:tcW w:type="dxa" w:w="2600"/>
          </w:tcPr>
          <w:p>
            <w:pPr>
              <w:spacing w:after="0"/>
            </w:pPr>
            <w:r>
              <w:rPr>
                <w:color w:val="1D1D1D"/>
                <w:sz w:val="16"/>
              </w:rPr>
              <w:t>4,1</w:t>
            </w:r>
          </w:p>
        </w:tc>
        <w:tc>
          <w:tcPr>
            <w:tcW w:type="dxa" w:w="2092"/>
          </w:tcPr>
          <w:p>
            <w:pPr>
              <w:spacing w:after="0"/>
            </w:pPr>
            <w:r>
              <w:rPr>
                <w:color w:val="1D1D1D"/>
                <w:sz w:val="16"/>
              </w:rPr>
              <w:t>−28</w:t>
            </w:r>
          </w:p>
        </w:tc>
      </w:tr>
      <w:tr>
        <w:tc>
          <w:tcPr>
            <w:tcW w:type="dxa" w:w="2853"/>
            <w:shd w:val="clear" w:color="auto" w:fill="FAF8F2"/>
          </w:tcPr>
          <w:p>
            <w:pPr>
              <w:spacing w:after="0"/>
            </w:pPr>
            <w:r>
              <w:rPr>
                <w:color w:val="1D1D1D"/>
                <w:sz w:val="16"/>
              </w:rPr>
              <w:t>Sécheresse</w:t>
            </w:r>
          </w:p>
        </w:tc>
        <w:tc>
          <w:tcPr>
            <w:tcW w:type="dxa" w:w="1332"/>
            <w:shd w:val="clear" w:color="auto" w:fill="FAF8F2"/>
          </w:tcPr>
          <w:p>
            <w:pPr>
              <w:spacing w:after="0"/>
            </w:pPr>
            <w:r>
              <w:rPr>
                <w:color w:val="1D1D1D"/>
                <w:sz w:val="16"/>
              </w:rPr>
              <w:t>11,0 %</w:t>
            </w:r>
          </w:p>
        </w:tc>
        <w:tc>
          <w:tcPr>
            <w:tcW w:type="dxa" w:w="761"/>
            <w:shd w:val="clear" w:color="auto" w:fill="FAF8F2"/>
          </w:tcPr>
          <w:p>
            <w:pPr>
              <w:spacing w:after="0"/>
            </w:pPr>
            <w:r>
              <w:rPr>
                <w:color w:val="1D1D1D"/>
                <w:sz w:val="16"/>
              </w:rPr>
              <w:t>0,69</w:t>
            </w:r>
          </w:p>
        </w:tc>
        <w:tc>
          <w:tcPr>
            <w:tcW w:type="dxa" w:w="2600"/>
            <w:shd w:val="clear" w:color="auto" w:fill="FAF8F2"/>
          </w:tcPr>
          <w:p>
            <w:pPr>
              <w:spacing w:after="0"/>
            </w:pPr>
            <w:r>
              <w:rPr>
                <w:color w:val="1D1D1D"/>
                <w:sz w:val="16"/>
              </w:rPr>
              <w:t>4,1</w:t>
            </w:r>
          </w:p>
        </w:tc>
        <w:tc>
          <w:tcPr>
            <w:tcW w:type="dxa" w:w="2092"/>
            <w:shd w:val="clear" w:color="auto" w:fill="FAF8F2"/>
          </w:tcPr>
          <w:p>
            <w:pPr>
              <w:spacing w:after="0"/>
            </w:pPr>
            <w:r>
              <w:rPr>
                <w:color w:val="1D1D1D"/>
                <w:sz w:val="16"/>
              </w:rPr>
              <w:t>−27</w:t>
            </w:r>
          </w:p>
        </w:tc>
      </w:tr>
      <w:tr>
        <w:tc>
          <w:tcPr>
            <w:tcW w:type="dxa" w:w="2853"/>
          </w:tcPr>
          <w:p>
            <w:pPr>
              <w:spacing w:after="0"/>
            </w:pPr>
            <w:r>
              <w:rPr>
                <w:color w:val="1D1D1D"/>
                <w:sz w:val="16"/>
              </w:rPr>
              <w:t>Dépassement de 96 %</w:t>
            </w:r>
          </w:p>
        </w:tc>
        <w:tc>
          <w:tcPr>
            <w:tcW w:type="dxa" w:w="1332"/>
          </w:tcPr>
          <w:p>
            <w:pPr>
              <w:spacing w:after="0"/>
            </w:pPr>
            <w:r>
              <w:rPr>
                <w:color w:val="1D1D1D"/>
                <w:sz w:val="16"/>
              </w:rPr>
              <w:t>5,7 %</w:t>
            </w:r>
          </w:p>
        </w:tc>
        <w:tc>
          <w:tcPr>
            <w:tcW w:type="dxa" w:w="761"/>
          </w:tcPr>
          <w:p>
            <w:pPr>
              <w:spacing w:after="0"/>
            </w:pPr>
            <w:r>
              <w:rPr>
                <w:color w:val="1D1D1D"/>
                <w:sz w:val="16"/>
              </w:rPr>
              <w:t>1,49</w:t>
            </w:r>
          </w:p>
        </w:tc>
        <w:tc>
          <w:tcPr>
            <w:tcW w:type="dxa" w:w="2600"/>
          </w:tcPr>
          <w:p>
            <w:pPr>
              <w:spacing w:after="0"/>
            </w:pPr>
            <w:r>
              <w:rPr>
                <w:color w:val="1D1D1D"/>
                <w:sz w:val="16"/>
              </w:rPr>
              <w:t>68,3</w:t>
            </w:r>
          </w:p>
        </w:tc>
        <w:tc>
          <w:tcPr>
            <w:tcW w:type="dxa" w:w="2092"/>
          </w:tcPr>
          <w:p>
            <w:pPr>
              <w:spacing w:after="0"/>
            </w:pPr>
            <w:r>
              <w:rPr>
                <w:color w:val="1D1D1D"/>
                <w:sz w:val="16"/>
              </w:rPr>
              <w:t>−37</w:t>
            </w:r>
          </w:p>
        </w:tc>
      </w:tr>
      <w:tr>
        <w:tc>
          <w:tcPr>
            <w:tcW w:type="dxa" w:w="2853"/>
            <w:shd w:val="clear" w:color="auto" w:fill="FAF8F2"/>
          </w:tcPr>
          <w:p>
            <w:pPr>
              <w:spacing w:after="0"/>
            </w:pPr>
            <w:r>
              <w:rPr>
                <w:color w:val="1D1D1D"/>
                <w:sz w:val="16"/>
              </w:rPr>
              <w:t>Acheteur, avec garantie budgétaire</w:t>
            </w:r>
          </w:p>
        </w:tc>
        <w:tc>
          <w:tcPr>
            <w:tcW w:type="dxa" w:w="1332"/>
            <w:shd w:val="clear" w:color="auto" w:fill="FAF8F2"/>
          </w:tcPr>
          <w:p>
            <w:pPr>
              <w:spacing w:after="0"/>
            </w:pPr>
            <w:r>
              <w:rPr>
                <w:color w:val="1D1D1D"/>
                <w:sz w:val="16"/>
              </w:rPr>
              <w:t>13,8 %</w:t>
            </w:r>
          </w:p>
        </w:tc>
        <w:tc>
          <w:tcPr>
            <w:tcW w:type="dxa" w:w="761"/>
            <w:shd w:val="clear" w:color="auto" w:fill="FAF8F2"/>
          </w:tcPr>
          <w:p>
            <w:pPr>
              <w:spacing w:after="0"/>
            </w:pPr>
            <w:r>
              <w:rPr>
                <w:color w:val="1D1D1D"/>
                <w:sz w:val="16"/>
              </w:rPr>
              <w:t>1,53</w:t>
            </w:r>
          </w:p>
        </w:tc>
        <w:tc>
          <w:tcPr>
            <w:tcW w:type="dxa" w:w="2600"/>
            <w:shd w:val="clear" w:color="auto" w:fill="FAF8F2"/>
          </w:tcPr>
          <w:p>
            <w:pPr>
              <w:spacing w:after="0"/>
            </w:pPr>
            <w:r>
              <w:rPr>
                <w:color w:val="1D1D1D"/>
                <w:sz w:val="16"/>
              </w:rPr>
              <w:t>4,1</w:t>
            </w:r>
          </w:p>
        </w:tc>
        <w:tc>
          <w:tcPr>
            <w:tcW w:type="dxa" w:w="2092"/>
            <w:shd w:val="clear" w:color="auto" w:fill="FAF8F2"/>
          </w:tcPr>
          <w:p>
            <w:pPr>
              <w:spacing w:after="0"/>
            </w:pPr>
            <w:r>
              <w:rPr>
                <w:color w:val="1D1D1D"/>
                <w:sz w:val="16"/>
              </w:rPr>
              <w:t>−125</w:t>
            </w:r>
          </w:p>
        </w:tc>
      </w:tr>
      <w:tr>
        <w:tc>
          <w:tcPr>
            <w:tcW w:type="dxa" w:w="2853"/>
          </w:tcPr>
          <w:p>
            <w:pPr>
              <w:spacing w:after="0"/>
            </w:pPr>
            <w:r>
              <w:rPr>
                <w:color w:val="1D1D1D"/>
                <w:sz w:val="16"/>
              </w:rPr>
              <w:t>Acheteur, sans garantie budgétaire</w:t>
            </w:r>
          </w:p>
        </w:tc>
        <w:tc>
          <w:tcPr>
            <w:tcW w:type="dxa" w:w="1332"/>
          </w:tcPr>
          <w:p>
            <w:pPr>
              <w:spacing w:after="0"/>
            </w:pPr>
            <w:r>
              <w:rPr>
                <w:color w:val="1D1D1D"/>
                <w:sz w:val="16"/>
              </w:rPr>
              <w:t>−100 %</w:t>
            </w:r>
          </w:p>
        </w:tc>
        <w:tc>
          <w:tcPr>
            <w:tcW w:type="dxa" w:w="761"/>
          </w:tcPr>
          <w:p>
            <w:pPr>
              <w:spacing w:after="0"/>
            </w:pPr>
            <w:r>
              <w:rPr>
                <w:color w:val="1D1D1D"/>
                <w:sz w:val="16"/>
              </w:rPr>
              <w:t>−0,53</w:t>
            </w:r>
          </w:p>
        </w:tc>
        <w:tc>
          <w:tcPr>
            <w:tcW w:type="dxa" w:w="2600"/>
          </w:tcPr>
          <w:p>
            <w:pPr>
              <w:spacing w:after="0"/>
            </w:pPr>
            <w:r>
              <w:rPr>
                <w:color w:val="1D1D1D"/>
                <w:sz w:val="16"/>
              </w:rPr>
              <w:t>4,1</w:t>
            </w:r>
          </w:p>
        </w:tc>
        <w:tc>
          <w:tcPr>
            <w:tcW w:type="dxa" w:w="2092"/>
          </w:tcPr>
          <w:p>
            <w:pPr>
              <w:spacing w:after="0"/>
            </w:pPr>
            <w:r>
              <w:rPr>
                <w:color w:val="1D1D1D"/>
                <w:sz w:val="16"/>
              </w:rPr>
              <w:t>−152</w:t>
            </w:r>
          </w:p>
        </w:tc>
      </w:tr>
      <w:tr>
        <w:tc>
          <w:tcPr>
            <w:tcW w:type="dxa" w:w="2853"/>
            <w:shd w:val="clear" w:color="auto" w:fill="FAF8F2"/>
          </w:tcPr>
          <w:p>
            <w:pPr>
              <w:spacing w:after="0"/>
            </w:pPr>
            <w:r>
              <w:rPr>
                <w:color w:val="1D1D1D"/>
                <w:sz w:val="16"/>
              </w:rPr>
              <w:t>Choc de change</w:t>
            </w:r>
          </w:p>
        </w:tc>
        <w:tc>
          <w:tcPr>
            <w:tcW w:type="dxa" w:w="1332"/>
            <w:shd w:val="clear" w:color="auto" w:fill="FAF8F2"/>
          </w:tcPr>
          <w:p>
            <w:pPr>
              <w:spacing w:after="0"/>
            </w:pPr>
            <w:r>
              <w:rPr>
                <w:color w:val="1D1D1D"/>
                <w:sz w:val="16"/>
              </w:rPr>
              <w:t>13,8 %</w:t>
            </w:r>
          </w:p>
        </w:tc>
        <w:tc>
          <w:tcPr>
            <w:tcW w:type="dxa" w:w="761"/>
            <w:shd w:val="clear" w:color="auto" w:fill="FAF8F2"/>
          </w:tcPr>
          <w:p>
            <w:pPr>
              <w:spacing w:after="0"/>
            </w:pPr>
            <w:r>
              <w:rPr>
                <w:color w:val="1D1D1D"/>
                <w:sz w:val="16"/>
              </w:rPr>
              <w:t>1,53</w:t>
            </w:r>
          </w:p>
        </w:tc>
        <w:tc>
          <w:tcPr>
            <w:tcW w:type="dxa" w:w="2600"/>
            <w:shd w:val="clear" w:color="auto" w:fill="FAF8F2"/>
          </w:tcPr>
          <w:p>
            <w:pPr>
              <w:spacing w:after="0"/>
            </w:pPr>
            <w:r>
              <w:rPr>
                <w:color w:val="1D1D1D"/>
                <w:sz w:val="16"/>
              </w:rPr>
              <w:t>4,1</w:t>
            </w:r>
          </w:p>
        </w:tc>
        <w:tc>
          <w:tcPr>
            <w:tcW w:type="dxa" w:w="2092"/>
            <w:shd w:val="clear" w:color="auto" w:fill="FAF8F2"/>
          </w:tcPr>
          <w:p>
            <w:pPr>
              <w:spacing w:after="0"/>
            </w:pPr>
            <w:r>
              <w:rPr>
                <w:color w:val="1D1D1D"/>
                <w:sz w:val="16"/>
              </w:rPr>
              <w:t>−111</w:t>
            </w:r>
          </w:p>
        </w:tc>
      </w:tr>
      <w:tr>
        <w:tc>
          <w:tcPr>
            <w:tcW w:type="dxa" w:w="2853"/>
          </w:tcPr>
          <w:p>
            <w:pPr>
              <w:spacing w:after="0"/>
            </w:pPr>
            <w:r>
              <w:rPr>
                <w:color w:val="1D1D1D"/>
                <w:sz w:val="16"/>
              </w:rPr>
              <w:t>Combiné</w:t>
            </w:r>
          </w:p>
        </w:tc>
        <w:tc>
          <w:tcPr>
            <w:tcW w:type="dxa" w:w="1332"/>
          </w:tcPr>
          <w:p>
            <w:pPr>
              <w:spacing w:after="0"/>
            </w:pPr>
            <w:r>
              <w:rPr>
                <w:color w:val="1D1D1D"/>
                <w:sz w:val="16"/>
              </w:rPr>
              <w:t>7,8 %</w:t>
            </w:r>
          </w:p>
        </w:tc>
        <w:tc>
          <w:tcPr>
            <w:tcW w:type="dxa" w:w="761"/>
          </w:tcPr>
          <w:p>
            <w:pPr>
              <w:spacing w:after="0"/>
            </w:pPr>
            <w:r>
              <w:rPr>
                <w:color w:val="1D1D1D"/>
                <w:sz w:val="16"/>
              </w:rPr>
              <w:t>1,54</w:t>
            </w:r>
          </w:p>
        </w:tc>
        <w:tc>
          <w:tcPr>
            <w:tcW w:type="dxa" w:w="2600"/>
          </w:tcPr>
          <w:p>
            <w:pPr>
              <w:spacing w:after="0"/>
            </w:pPr>
            <w:r>
              <w:rPr>
                <w:color w:val="1D1D1D"/>
                <w:sz w:val="16"/>
              </w:rPr>
              <w:t>43,1</w:t>
            </w:r>
          </w:p>
        </w:tc>
        <w:tc>
          <w:tcPr>
            <w:tcW w:type="dxa" w:w="2092"/>
          </w:tcPr>
          <w:p>
            <w:pPr>
              <w:spacing w:after="0"/>
            </w:pPr>
            <w:r>
              <w:rPr>
                <w:color w:val="1D1D1D"/>
                <w:sz w:val="16"/>
              </w:rPr>
              <w:t>−157</w:t>
            </w:r>
          </w:p>
        </w:tc>
      </w:tr>
      <w:tr>
        <w:tc>
          <w:tcPr>
            <w:tcW w:type="dxa" w:w="2853"/>
            <w:shd w:val="clear" w:color="auto" w:fill="FAF8F2"/>
          </w:tcPr>
          <w:p>
            <w:pPr>
              <w:spacing w:after="0"/>
            </w:pPr>
            <w:r>
              <w:rPr>
                <w:color w:val="1D1D1D"/>
                <w:sz w:val="16"/>
              </w:rPr>
              <w:t>Cas prêteurs P90 à un an (dette dimensionnée)</w:t>
            </w:r>
          </w:p>
        </w:tc>
        <w:tc>
          <w:tcPr>
            <w:tcW w:type="dxa" w:w="1332"/>
            <w:shd w:val="clear" w:color="auto" w:fill="FAF8F2"/>
          </w:tcPr>
          <w:p>
            <w:pPr>
              <w:spacing w:after="0"/>
            </w:pPr>
            <w:r>
              <w:rPr>
                <w:color w:val="1D1D1D"/>
                <w:sz w:val="16"/>
              </w:rPr>
              <w:t>13,2 %</w:t>
            </w:r>
          </w:p>
        </w:tc>
        <w:tc>
          <w:tcPr>
            <w:tcW w:type="dxa" w:w="761"/>
            <w:shd w:val="clear" w:color="auto" w:fill="FAF8F2"/>
          </w:tcPr>
          <w:p>
            <w:pPr>
              <w:spacing w:after="0"/>
            </w:pPr>
            <w:r>
              <w:rPr>
                <w:color w:val="1D1D1D"/>
                <w:sz w:val="16"/>
              </w:rPr>
              <w:t>1,76</w:t>
            </w:r>
          </w:p>
        </w:tc>
        <w:tc>
          <w:tcPr>
            <w:tcW w:type="dxa" w:w="2600"/>
            <w:shd w:val="clear" w:color="auto" w:fill="FAF8F2"/>
          </w:tcPr>
          <w:p>
            <w:pPr>
              <w:spacing w:after="0"/>
            </w:pPr>
            <w:r>
              <w:rPr>
                <w:color w:val="1D1D1D"/>
                <w:sz w:val="16"/>
              </w:rPr>
              <w:t>18,7</w:t>
            </w:r>
          </w:p>
        </w:tc>
        <w:tc>
          <w:tcPr>
            <w:tcW w:type="dxa" w:w="2092"/>
            <w:shd w:val="clear" w:color="auto" w:fill="FAF8F2"/>
          </w:tcPr>
          <w:p>
            <w:pPr>
              <w:spacing w:after="0"/>
            </w:pPr>
            <w:r>
              <w:rPr>
                <w:color w:val="1D1D1D"/>
                <w:sz w:val="16"/>
              </w:rPr>
              <w:t>−27</w:t>
            </w:r>
          </w:p>
        </w:tc>
      </w:tr>
    </w:tbl>
    <w:p>
      <w:pPr>
        <w:spacing w:after="40"/>
      </w:pPr>
    </w:p>
    <w:p>
      <w:pPr>
        <w:jc w:val="both"/>
      </w:pPr>
      <w:r>
        <w:rPr/>
        <w:t>La variation de débit au point mort est d'environ −28 %. La variation de tarif qui donne à la structure de producteur indépendant d'électricité (PIE) son objectif de 15 % est d'environ +3,9 % (environ 116 USD/MWh contre 112).</w:t>
      </w:r>
    </w:p>
    <w:p>
      <w:pPr>
        <w:jc w:val="both"/>
      </w:pPr>
      <w:r>
        <w:rPr>
          <w:b/>
        </w:rPr>
        <w:t>Comment relancer les calculs.</w:t>
      </w:r>
      <w:r>
        <w:rPr/>
        <w:t xml:space="preserve"> Depuis la racine du dépôt, avec LibreOffice (Calc), Python 3 et openpyxl installés, ainsi qu'un script de recalcul LibreOffice (</w:t>
      </w:r>
      <w:r>
        <w:rPr>
          <w:rFonts w:ascii="Courier New" w:hAnsi="Courier New"/>
        </w:rPr>
        <w:t>recalc.py</w:t>
      </w:r>
      <w:r>
        <w:rPr/>
        <w:t>) qui prend en argument un fichier et un délai maximal et affiche un statut JSON :</w:t>
      </w:r>
    </w:p>
    <w:p>
      <w:pPr>
        <w:spacing w:after="0"/>
        <w:ind w:left="283"/>
      </w:pPr>
      <w:r>
        <w:rPr>
          <w:rFonts w:ascii="Courier New" w:hAnsi="Courier New"/>
          <w:sz w:val="17"/>
        </w:rPr>
        <w:t>python3 model/build_model.py                                  # facultatif : reconstruire à partir du générateur</w:t>
      </w:r>
    </w:p>
    <w:p>
      <w:pPr>
        <w:spacing w:after="0"/>
        <w:ind w:left="283"/>
      </w:pPr>
      <w:r>
        <w:rPr>
          <w:rFonts w:ascii="Courier New" w:hAnsi="Courier New"/>
          <w:sz w:val="17"/>
        </w:rPr>
        <w:t>RECALC=/path/to/recalc.py python3 tools/run_snapshots.py       # relancer tous les cas, écrire les tableaux et le JSON</w:t>
      </w:r>
    </w:p>
    <w:p>
      <w:pPr>
        <w:spacing w:after="0"/>
        <w:ind w:left="283"/>
      </w:pPr>
      <w:r>
        <w:rPr>
          <w:rFonts w:ascii="Courier New" w:hAnsi="Courier New"/>
          <w:sz w:val="17"/>
        </w:rPr>
        <w:t>python3 tools/model/check_cycles.py model/Bankable_Hydro_Model.xlsx</w:t>
      </w:r>
    </w:p>
    <w:p>
      <w:pPr>
        <w:spacing w:after="40"/>
      </w:pPr>
    </w:p>
    <w:p>
      <w:pPr>
        <w:jc w:val="both"/>
      </w:pPr>
      <w:r>
        <w:rPr/>
        <w:t xml:space="preserve">Le script s'arrête si un recalcul signale une erreur de formule. À la fin, il recalcule lui-même le classeur dans LibreOffice, puis lui applique </w:t>
      </w:r>
      <w:r>
        <w:rPr>
          <w:rFonts w:ascii="Courier New" w:hAnsi="Courier New"/>
        </w:rPr>
        <w:t>tools/model/excel_quote_fix.py</w:t>
      </w:r>
      <w:r>
        <w:rPr/>
        <w:t>.</w:t>
      </w:r>
    </w:p>
    <w:p>
      <w:pPr>
        <w:pStyle w:val="Heading2"/>
      </w:pPr>
      <w:r>
        <w:t>7.6 Le recalcul LibreOffice et la correction des apostrophes pour Excel</w:t>
      </w:r>
    </w:p>
    <w:p>
      <w:pPr>
        <w:jc w:val="both"/>
      </w:pPr>
      <w:r>
        <w:rPr/>
        <w:t xml:space="preserve">Lorsqu'il enregistre un classeur recalculé, LibreOffice écrit sans apostrophes les références aux feuilles dont le nom commence par un chiffre (par exemple </w:t>
      </w:r>
      <w:r>
        <w:rPr>
          <w:rFonts w:ascii="Courier New" w:hAnsi="Courier New"/>
        </w:rPr>
        <w:t>17_PROJECT_FINANCE!$C$31</w:t>
      </w:r>
      <w:r>
        <w:rPr/>
        <w:t xml:space="preserve"> au lieu de </w:t>
      </w:r>
      <w:r>
        <w:rPr>
          <w:rFonts w:ascii="Courier New" w:hAnsi="Courier New"/>
        </w:rPr>
        <w:t>'17_PROJECT_FINANCE'!$C$31</w:t>
      </w:r>
      <w:r>
        <w:rPr/>
        <w:t xml:space="preserve">). La syntaxe des formules d'Excel exige ces apostrophes. </w:t>
      </w:r>
      <w:r>
        <w:rPr>
          <w:rFonts w:ascii="Courier New" w:hAnsi="Courier New"/>
        </w:rPr>
        <w:t>tools/model/excel_quote_fix.py</w:t>
      </w:r>
      <w:r>
        <w:rPr/>
        <w:t xml:space="preserve"> réécrit chaque formule, nom défini, validation de données et mise en forme conditionnelle du fichier pour les rétablir, sans modifier les valeurs en cache :</w:t>
      </w:r>
    </w:p>
    <w:p>
      <w:pPr>
        <w:spacing w:after="0"/>
        <w:ind w:left="283"/>
      </w:pPr>
      <w:r>
        <w:rPr>
          <w:rFonts w:ascii="Courier New" w:hAnsi="Courier New"/>
          <w:sz w:val="17"/>
        </w:rPr>
        <w:t>python3 tools/model/excel_quote_fix.py model/Bankable_Hydro_Model.xlsx</w:t>
      </w:r>
    </w:p>
    <w:p>
      <w:pPr>
        <w:spacing w:after="40"/>
      </w:pPr>
    </w:p>
    <w:p>
      <w:pPr>
        <w:jc w:val="both"/>
      </w:pPr>
      <w:r>
        <w:rPr/>
        <w:t xml:space="preserve">Exécutez-le après chaque recalcul LibreOffice qui enregistre le fichier livré, y compris un recalcul manuel. Le script d'instantanés le fait automatiquement en fin d'exécution. Un classeur écrit directement par </w:t>
      </w:r>
      <w:r>
        <w:rPr>
          <w:rFonts w:ascii="Courier New" w:hAnsi="Courier New"/>
        </w:rPr>
        <w:t>build_model.py</w:t>
      </w:r>
      <w:r>
        <w:rPr/>
        <w:t xml:space="preserve"> (openpyxl) comporte déjà les apostrophes et est paramétré pour un recalcul complet à l'ouverture.</w:t>
      </w:r>
    </w:p>
    <w:p>
      <w:r>
        <w:br w:type="page"/>
      </w:r>
    </w:p>
    <w:p>
      <w:pPr>
        <w:pStyle w:val="Heading1"/>
        <w:pBdr>
          <w:bottom w:val="single" w:sz="12" w:space="4" w:color="B07C0F"/>
        </w:pBdr>
      </w:pPr>
      <w:r>
        <w:t>8. Les deux niveaux de portes et la carte du cadre</w:t>
      </w:r>
    </w:p>
    <w:p>
      <w:pPr>
        <w:pStyle w:val="Heading2"/>
      </w:pPr>
      <w:r>
        <w:t>8.1 Deux niveaux, deux étapes</w:t>
      </w:r>
    </w:p>
    <w:tbl>
      <w:tblPr>
        <w:tblStyle w:val="TableGrid"/>
        <w:tblW w:type="auto" w:w="0"/>
        <w:jc w:val="center"/>
        <w:tblLook w:firstColumn="1" w:firstRow="1" w:lastColumn="0" w:lastRow="0" w:noHBand="0" w:noVBand="1" w:val="04A0"/>
      </w:tblPr>
      <w:tblGrid>
        <w:gridCol w:w="3213"/>
        <w:gridCol w:w="3213"/>
        <w:gridCol w:w="3213"/>
      </w:tblGrid>
      <w:tr>
        <w:tc>
          <w:tcPr>
            <w:tcW w:type="dxa" w:w="672"/>
            <w:shd w:val="clear" w:color="auto" w:fill="0B3020"/>
          </w:tcPr>
          <w:p>
            <w:pPr>
              <w:spacing w:after="0"/>
            </w:pPr>
          </w:p>
        </w:tc>
        <w:tc>
          <w:tcPr>
            <w:tcW w:type="dxa" w:w="4483"/>
            <w:shd w:val="clear" w:color="auto" w:fill="0B3020"/>
          </w:tcPr>
          <w:p>
            <w:pPr>
              <w:spacing w:after="0"/>
            </w:pPr>
            <w:r>
              <w:rPr>
                <w:b/>
                <w:color w:val="FFFFFF"/>
                <w:sz w:val="16"/>
              </w:rPr>
              <w:t>Filtre à neuf portes</w:t>
            </w:r>
          </w:p>
        </w:tc>
        <w:tc>
          <w:tcPr>
            <w:tcW w:type="dxa" w:w="4483"/>
            <w:shd w:val="clear" w:color="auto" w:fill="0B3020"/>
          </w:tcPr>
          <w:p>
            <w:pPr>
              <w:spacing w:after="0"/>
            </w:pPr>
            <w:r>
              <w:rPr>
                <w:b/>
                <w:color w:val="FFFFFF"/>
                <w:sz w:val="16"/>
              </w:rPr>
              <w:t>Maturité pour le bouclage à 23 portes</w:t>
            </w:r>
          </w:p>
        </w:tc>
      </w:tr>
      <w:tr>
        <w:tc>
          <w:tcPr>
            <w:tcW w:type="dxa" w:w="672"/>
          </w:tcPr>
          <w:p>
            <w:pPr>
              <w:spacing w:after="0"/>
            </w:pPr>
            <w:r>
              <w:rPr>
                <w:color w:val="1D1D1D"/>
                <w:sz w:val="16"/>
              </w:rPr>
              <w:t>Feuille</w:t>
            </w:r>
          </w:p>
        </w:tc>
        <w:tc>
          <w:tcPr>
            <w:tcW w:type="dxa" w:w="4483"/>
          </w:tcPr>
          <w:p>
            <w:pPr>
              <w:spacing w:after="0"/>
            </w:pPr>
            <w:r>
              <w:rPr>
                <w:i/>
                <w:color w:val="1D1D1D"/>
                <w:sz w:val="16"/>
              </w:rPr>
              <w:t>30_BANKABILITY</w:t>
            </w:r>
          </w:p>
        </w:tc>
        <w:tc>
          <w:tcPr>
            <w:tcW w:type="dxa" w:w="4483"/>
          </w:tcPr>
          <w:p>
            <w:pPr>
              <w:spacing w:after="0"/>
            </w:pPr>
            <w:r>
              <w:rPr>
                <w:i/>
                <w:color w:val="1D1D1D"/>
                <w:sz w:val="16"/>
              </w:rPr>
              <w:t>30A_CLOSE_READINESS</w:t>
            </w:r>
          </w:p>
        </w:tc>
      </w:tr>
      <w:tr>
        <w:tc>
          <w:tcPr>
            <w:tcW w:type="dxa" w:w="672"/>
            <w:shd w:val="clear" w:color="auto" w:fill="FAF8F2"/>
          </w:tcPr>
          <w:p>
            <w:pPr>
              <w:spacing w:after="0"/>
            </w:pPr>
            <w:r>
              <w:rPr>
                <w:color w:val="1D1D1D"/>
                <w:sz w:val="16"/>
              </w:rPr>
              <w:t>Étape</w:t>
            </w:r>
          </w:p>
        </w:tc>
        <w:tc>
          <w:tcPr>
            <w:tcW w:type="dxa" w:w="4483"/>
            <w:shd w:val="clear" w:color="auto" w:fill="FAF8F2"/>
          </w:tcPr>
          <w:p>
            <w:pPr>
              <w:spacing w:after="0"/>
            </w:pPr>
            <w:r>
              <w:rPr>
                <w:color w:val="1D1D1D"/>
                <w:sz w:val="16"/>
              </w:rPr>
              <w:t>Développement : faut-il continuer à dépenser ?</w:t>
            </w:r>
          </w:p>
        </w:tc>
        <w:tc>
          <w:tcPr>
            <w:tcW w:type="dxa" w:w="4483"/>
            <w:shd w:val="clear" w:color="auto" w:fill="FAF8F2"/>
          </w:tcPr>
          <w:p>
            <w:pPr>
              <w:spacing w:after="0"/>
            </w:pPr>
            <w:r>
              <w:rPr>
                <w:color w:val="1D1D1D"/>
                <w:sz w:val="16"/>
              </w:rPr>
              <w:t>Transaction : le dossier de preuves justifie-t-il le bouclage financier ?</w:t>
            </w:r>
          </w:p>
        </w:tc>
      </w:tr>
      <w:tr>
        <w:tc>
          <w:tcPr>
            <w:tcW w:type="dxa" w:w="672"/>
          </w:tcPr>
          <w:p>
            <w:pPr>
              <w:spacing w:after="0"/>
            </w:pPr>
            <w:r>
              <w:rPr>
                <w:color w:val="1D1D1D"/>
                <w:sz w:val="16"/>
              </w:rPr>
              <w:t>Fondement</w:t>
            </w:r>
          </w:p>
        </w:tc>
        <w:tc>
          <w:tcPr>
            <w:tcW w:type="dxa" w:w="4483"/>
          </w:tcPr>
          <w:p>
            <w:pPr>
              <w:spacing w:after="0"/>
            </w:pPr>
            <w:r>
              <w:rPr>
                <w:color w:val="1D1D1D"/>
                <w:sz w:val="16"/>
              </w:rPr>
              <w:t>Indicateurs comparés à trois seuils</w:t>
            </w:r>
          </w:p>
        </w:tc>
        <w:tc>
          <w:tcPr>
            <w:tcW w:type="dxa" w:w="4483"/>
          </w:tcPr>
          <w:p>
            <w:pPr>
              <w:spacing w:after="0"/>
            </w:pPr>
            <w:r>
              <w:rPr>
                <w:color w:val="1D1D1D"/>
                <w:sz w:val="16"/>
              </w:rPr>
              <w:t>Tests automatiques et statuts des preuves</w:t>
            </w:r>
          </w:p>
        </w:tc>
      </w:tr>
      <w:tr>
        <w:tc>
          <w:tcPr>
            <w:tcW w:type="dxa" w:w="672"/>
            <w:shd w:val="clear" w:color="auto" w:fill="FAF8F2"/>
          </w:tcPr>
          <w:p>
            <w:pPr>
              <w:spacing w:after="0"/>
            </w:pPr>
            <w:r>
              <w:rPr>
                <w:color w:val="1D1D1D"/>
                <w:sz w:val="16"/>
              </w:rPr>
              <w:t>Notation</w:t>
            </w:r>
          </w:p>
        </w:tc>
        <w:tc>
          <w:tcPr>
            <w:tcW w:type="dxa" w:w="4483"/>
            <w:shd w:val="clear" w:color="auto" w:fill="FAF8F2"/>
          </w:tcPr>
          <w:p>
            <w:pPr>
              <w:spacing w:after="0"/>
            </w:pPr>
            <w:r>
              <w:rPr>
                <w:color w:val="1D1D1D"/>
                <w:sz w:val="16"/>
              </w:rPr>
              <w:t>Le test le plus faible détermine la porte ; la porte la plus faible détermine le verdict</w:t>
            </w:r>
          </w:p>
        </w:tc>
        <w:tc>
          <w:tcPr>
            <w:tcW w:type="dxa" w:w="4483"/>
            <w:shd w:val="clear" w:color="auto" w:fill="FAF8F2"/>
          </w:tcPr>
          <w:p>
            <w:pPr>
              <w:spacing w:after="0"/>
            </w:pPr>
            <w:r>
              <w:rPr>
                <w:color w:val="1D1D1D"/>
                <w:sz w:val="16"/>
              </w:rPr>
              <w:t>Indicateurs critiques et échelle de décision</w:t>
            </w:r>
          </w:p>
        </w:tc>
      </w:tr>
      <w:tr>
        <w:tc>
          <w:tcPr>
            <w:tcW w:type="dxa" w:w="672"/>
          </w:tcPr>
          <w:p>
            <w:pPr>
              <w:spacing w:after="0"/>
            </w:pPr>
            <w:r>
              <w:rPr>
                <w:color w:val="1D1D1D"/>
                <w:sz w:val="16"/>
              </w:rPr>
              <w:t>Résultat</w:t>
            </w:r>
          </w:p>
        </w:tc>
        <w:tc>
          <w:tcPr>
            <w:tcW w:type="dxa" w:w="4483"/>
          </w:tcPr>
          <w:p>
            <w:pPr>
              <w:spacing w:after="0"/>
            </w:pPr>
            <w:r>
              <w:rPr>
                <w:color w:val="1D1D1D"/>
                <w:sz w:val="16"/>
              </w:rPr>
              <w:t>De NOT BANKABLE (non bancable) à READY FOR FINANCIAL CLOSE (prêt pour le bouclage financier), avec des actions classées par priorité</w:t>
            </w:r>
          </w:p>
        </w:tc>
        <w:tc>
          <w:tcPr>
            <w:tcW w:type="dxa" w:w="4483"/>
          </w:tcPr>
          <w:p>
            <w:pPr>
              <w:spacing w:after="0"/>
            </w:pPr>
            <w:r>
              <w:rPr>
                <w:color w:val="1D1D1D"/>
                <w:sz w:val="16"/>
              </w:rPr>
              <w:t>STOP (arrêt), NOT READY (non prêt), CONDITIONAL GO (feu vert sous conditions) ou GO (feu vert)</w:t>
            </w:r>
          </w:p>
        </w:tc>
      </w:tr>
      <w:tr>
        <w:tc>
          <w:tcPr>
            <w:tcW w:type="dxa" w:w="672"/>
            <w:shd w:val="clear" w:color="auto" w:fill="FAF8F2"/>
          </w:tcPr>
          <w:p>
            <w:pPr>
              <w:spacing w:after="0"/>
            </w:pPr>
            <w:r>
              <w:rPr>
                <w:color w:val="1D1D1D"/>
                <w:sz w:val="16"/>
              </w:rPr>
              <w:t>Kasiri</w:t>
            </w:r>
          </w:p>
        </w:tc>
        <w:tc>
          <w:tcPr>
            <w:tcW w:type="dxa" w:w="4483"/>
            <w:shd w:val="clear" w:color="auto" w:fill="FAF8F2"/>
          </w:tcPr>
          <w:p>
            <w:pPr>
              <w:spacing w:after="0"/>
            </w:pPr>
            <w:r>
              <w:rPr>
                <w:color w:val="1D1D1D"/>
                <w:sz w:val="16"/>
              </w:rPr>
              <w:t>NOT BANKABLE (porte 6)</w:t>
            </w:r>
          </w:p>
        </w:tc>
        <w:tc>
          <w:tcPr>
            <w:tcW w:type="dxa" w:w="4483"/>
            <w:shd w:val="clear" w:color="auto" w:fill="FAF8F2"/>
          </w:tcPr>
          <w:p>
            <w:pPr>
              <w:spacing w:after="0"/>
            </w:pPr>
            <w:r>
              <w:rPr>
                <w:color w:val="1D1D1D"/>
                <w:sz w:val="16"/>
              </w:rPr>
              <w:t>STOP (7 portes critiques non franchies)</w:t>
            </w:r>
          </w:p>
        </w:tc>
      </w:tr>
    </w:tbl>
    <w:p>
      <w:pPr>
        <w:spacing w:after="40"/>
      </w:pPr>
    </w:p>
    <w:p>
      <w:pPr>
        <w:jc w:val="both"/>
      </w:pPr>
      <w:r>
        <w:rPr/>
        <w:t>Les deux niveaux peuvent diverger, et c'est instructif. Le filtre peut donner un résultat favorable alors que le test de bouclage indique STOP, car ce dernier ne compte que les preuves qui existent. Le tableau de bord affiche les deux à la ligne 4, et côte à côte dans ses blocs inférieurs.</w:t>
      </w:r>
    </w:p>
    <w:p>
      <w:pPr>
        <w:pStyle w:val="Heading2"/>
      </w:pPr>
      <w:r>
        <w:t>8.2 La carte du cadre (34_FRAMEWORK_MAP)</w:t>
      </w:r>
    </w:p>
    <w:p>
      <w:pPr>
        <w:jc w:val="both"/>
      </w:pPr>
      <w:r>
        <w:rPr/>
        <w:t xml:space="preserve">Pour chacune des 23 portes, la carte indique la porte, la question du cadre à laquelle elle se rattache, la partie qui doit l'accepter, son caractère critique ou non, la ou les feuilles du modèle qui la testent (déduites des noms utilisés dans le test automatique, ou du domaine de la porte pour les portes de preuve), l'indicateur ou la preuve requis, le type (automatique ou preuve), le statut dynamique issu de </w:t>
      </w:r>
      <w:r>
        <w:rPr>
          <w:i/>
        </w:rPr>
        <w:t>30A_CLOSE_READINESS</w:t>
      </w:r>
      <w:r>
        <w:rPr/>
        <w:t xml:space="preserve"> et les chapitres du livre qui traitent la question :</w:t>
      </w:r>
    </w:p>
    <w:tbl>
      <w:tblPr>
        <w:tblStyle w:val="TableGrid"/>
        <w:tblW w:type="auto" w:w="0"/>
        <w:jc w:val="center"/>
        <w:tblLook w:firstColumn="1" w:firstRow="1" w:lastColumn="0" w:lastRow="0" w:noHBand="0" w:noVBand="1" w:val="04A0"/>
      </w:tblPr>
      <w:tblGrid>
        <w:gridCol w:w="4819"/>
        <w:gridCol w:w="4819"/>
      </w:tblGrid>
      <w:tr>
        <w:tc>
          <w:tcPr>
            <w:tcW w:type="dxa" w:w="2570"/>
            <w:shd w:val="clear" w:color="auto" w:fill="0B3020"/>
          </w:tcPr>
          <w:p>
            <w:pPr>
              <w:spacing w:after="0"/>
            </w:pPr>
            <w:r>
              <w:rPr>
                <w:b/>
                <w:color w:val="FFFFFF"/>
                <w:sz w:val="16"/>
              </w:rPr>
              <w:t>Question</w:t>
            </w:r>
          </w:p>
        </w:tc>
        <w:tc>
          <w:tcPr>
            <w:tcW w:type="dxa" w:w="7068"/>
            <w:shd w:val="clear" w:color="auto" w:fill="0B3020"/>
          </w:tcPr>
          <w:p>
            <w:pPr>
              <w:spacing w:after="0"/>
            </w:pPr>
            <w:r>
              <w:rPr>
                <w:b/>
                <w:color w:val="FFFFFF"/>
                <w:sz w:val="16"/>
              </w:rPr>
              <w:t>Chapitres du livre</w:t>
            </w:r>
          </w:p>
        </w:tc>
      </w:tr>
      <w:tr>
        <w:tc>
          <w:tcPr>
            <w:tcW w:type="dxa" w:w="2570"/>
          </w:tcPr>
          <w:p>
            <w:pPr>
              <w:spacing w:after="0"/>
            </w:pPr>
            <w:r>
              <w:rPr>
                <w:color w:val="1D1D1D"/>
                <w:sz w:val="16"/>
              </w:rPr>
              <w:t>Q1</w:t>
            </w:r>
          </w:p>
        </w:tc>
        <w:tc>
          <w:tcPr>
            <w:tcW w:type="dxa" w:w="7068"/>
          </w:tcPr>
          <w:p>
            <w:pPr>
              <w:spacing w:after="0"/>
            </w:pPr>
            <w:r>
              <w:rPr>
                <w:color w:val="1D1D1D"/>
                <w:sz w:val="16"/>
              </w:rPr>
              <w:t>2, 3, 9, annexes N à P</w:t>
            </w:r>
          </w:p>
        </w:tc>
      </w:tr>
      <w:tr>
        <w:tc>
          <w:tcPr>
            <w:tcW w:type="dxa" w:w="2570"/>
            <w:shd w:val="clear" w:color="auto" w:fill="FAF8F2"/>
          </w:tcPr>
          <w:p>
            <w:pPr>
              <w:spacing w:after="0"/>
            </w:pPr>
            <w:r>
              <w:rPr>
                <w:color w:val="1D1D1D"/>
                <w:sz w:val="16"/>
              </w:rPr>
              <w:t>Q2</w:t>
            </w:r>
          </w:p>
        </w:tc>
        <w:tc>
          <w:tcPr>
            <w:tcW w:type="dxa" w:w="7068"/>
            <w:shd w:val="clear" w:color="auto" w:fill="FAF8F2"/>
          </w:tcPr>
          <w:p>
            <w:pPr>
              <w:spacing w:after="0"/>
            </w:pPr>
            <w:r>
              <w:rPr>
                <w:color w:val="1D1D1D"/>
                <w:sz w:val="16"/>
              </w:rPr>
              <w:t>5, 7, 8, annexe R</w:t>
            </w:r>
          </w:p>
        </w:tc>
      </w:tr>
      <w:tr>
        <w:tc>
          <w:tcPr>
            <w:tcW w:type="dxa" w:w="2570"/>
          </w:tcPr>
          <w:p>
            <w:pPr>
              <w:spacing w:after="0"/>
            </w:pPr>
            <w:r>
              <w:rPr>
                <w:color w:val="1D1D1D"/>
                <w:sz w:val="16"/>
              </w:rPr>
              <w:t>Q3</w:t>
            </w:r>
          </w:p>
        </w:tc>
        <w:tc>
          <w:tcPr>
            <w:tcW w:type="dxa" w:w="7068"/>
          </w:tcPr>
          <w:p>
            <w:pPr>
              <w:spacing w:after="0"/>
            </w:pPr>
            <w:r>
              <w:rPr>
                <w:color w:val="1D1D1D"/>
                <w:sz w:val="16"/>
              </w:rPr>
              <w:t>3, 4</w:t>
            </w:r>
          </w:p>
        </w:tc>
      </w:tr>
      <w:tr>
        <w:tc>
          <w:tcPr>
            <w:tcW w:type="dxa" w:w="2570"/>
            <w:shd w:val="clear" w:color="auto" w:fill="FAF8F2"/>
          </w:tcPr>
          <w:p>
            <w:pPr>
              <w:spacing w:after="0"/>
            </w:pPr>
            <w:r>
              <w:rPr>
                <w:color w:val="1D1D1D"/>
                <w:sz w:val="16"/>
              </w:rPr>
              <w:t>Q4</w:t>
            </w:r>
          </w:p>
        </w:tc>
        <w:tc>
          <w:tcPr>
            <w:tcW w:type="dxa" w:w="7068"/>
            <w:shd w:val="clear" w:color="auto" w:fill="FAF8F2"/>
          </w:tcPr>
          <w:p>
            <w:pPr>
              <w:spacing w:after="0"/>
            </w:pPr>
            <w:r>
              <w:rPr>
                <w:color w:val="1D1D1D"/>
                <w:sz w:val="16"/>
              </w:rPr>
              <w:t>6, 14</w:t>
            </w:r>
          </w:p>
        </w:tc>
      </w:tr>
      <w:tr>
        <w:tc>
          <w:tcPr>
            <w:tcW w:type="dxa" w:w="2570"/>
          </w:tcPr>
          <w:p>
            <w:pPr>
              <w:spacing w:after="0"/>
            </w:pPr>
            <w:r>
              <w:rPr>
                <w:color w:val="1D1D1D"/>
                <w:sz w:val="16"/>
              </w:rPr>
              <w:t>Q5</w:t>
            </w:r>
          </w:p>
        </w:tc>
        <w:tc>
          <w:tcPr>
            <w:tcW w:type="dxa" w:w="7068"/>
          </w:tcPr>
          <w:p>
            <w:pPr>
              <w:spacing w:after="0"/>
            </w:pPr>
            <w:r>
              <w:rPr>
                <w:color w:val="1D1D1D"/>
                <w:sz w:val="16"/>
              </w:rPr>
              <w:t>12, 13</w:t>
            </w:r>
          </w:p>
        </w:tc>
      </w:tr>
      <w:tr>
        <w:tc>
          <w:tcPr>
            <w:tcW w:type="dxa" w:w="2570"/>
            <w:shd w:val="clear" w:color="auto" w:fill="FAF8F2"/>
          </w:tcPr>
          <w:p>
            <w:pPr>
              <w:spacing w:after="0"/>
            </w:pPr>
            <w:r>
              <w:rPr>
                <w:color w:val="1D1D1D"/>
                <w:sz w:val="16"/>
              </w:rPr>
              <w:t>Q6</w:t>
            </w:r>
          </w:p>
        </w:tc>
        <w:tc>
          <w:tcPr>
            <w:tcW w:type="dxa" w:w="7068"/>
            <w:shd w:val="clear" w:color="auto" w:fill="FAF8F2"/>
          </w:tcPr>
          <w:p>
            <w:pPr>
              <w:spacing w:after="0"/>
            </w:pPr>
            <w:r>
              <w:rPr>
                <w:color w:val="1D1D1D"/>
                <w:sz w:val="16"/>
              </w:rPr>
              <w:t>9, 10, annexes O et Q</w:t>
            </w:r>
          </w:p>
        </w:tc>
      </w:tr>
      <w:tr>
        <w:tc>
          <w:tcPr>
            <w:tcW w:type="dxa" w:w="2570"/>
          </w:tcPr>
          <w:p>
            <w:pPr>
              <w:spacing w:after="0"/>
            </w:pPr>
            <w:r>
              <w:rPr>
                <w:color w:val="1D1D1D"/>
                <w:sz w:val="16"/>
              </w:rPr>
              <w:t>Q7</w:t>
            </w:r>
          </w:p>
        </w:tc>
        <w:tc>
          <w:tcPr>
            <w:tcW w:type="dxa" w:w="7068"/>
          </w:tcPr>
          <w:p>
            <w:pPr>
              <w:spacing w:after="0"/>
            </w:pPr>
            <w:r>
              <w:rPr>
                <w:color w:val="1D1D1D"/>
                <w:sz w:val="16"/>
              </w:rPr>
              <w:t>15</w:t>
            </w:r>
          </w:p>
        </w:tc>
      </w:tr>
      <w:tr>
        <w:tc>
          <w:tcPr>
            <w:tcW w:type="dxa" w:w="2570"/>
            <w:shd w:val="clear" w:color="auto" w:fill="FAF8F2"/>
          </w:tcPr>
          <w:p>
            <w:pPr>
              <w:spacing w:after="0"/>
            </w:pPr>
            <w:r>
              <w:rPr>
                <w:color w:val="1D1D1D"/>
                <w:sz w:val="16"/>
              </w:rPr>
              <w:t>Q8</w:t>
            </w:r>
          </w:p>
        </w:tc>
        <w:tc>
          <w:tcPr>
            <w:tcW w:type="dxa" w:w="7068"/>
            <w:shd w:val="clear" w:color="auto" w:fill="FAF8F2"/>
          </w:tcPr>
          <w:p>
            <w:pPr>
              <w:spacing w:after="0"/>
            </w:pPr>
            <w:r>
              <w:rPr>
                <w:color w:val="1D1D1D"/>
                <w:sz w:val="16"/>
              </w:rPr>
              <w:t>17, 18</w:t>
            </w:r>
          </w:p>
        </w:tc>
      </w:tr>
    </w:tbl>
    <w:p>
      <w:pPr>
        <w:spacing w:after="40"/>
      </w:pPr>
    </w:p>
    <w:p>
      <w:pPr>
        <w:jc w:val="both"/>
      </w:pPr>
      <w:r>
        <w:rPr/>
        <w:t>Le second tableau de la feuille rattache chaque porte du filtre à sa question principale, avec son statut dynamique : portes 1 et 3 à Q1 ; portes 6 et 9 à Q2 ; portes 2 et 4 à Q3 ; porte 7 à Q5 ; portes 5 et 8 à Q7.</w:t>
      </w:r>
    </w:p>
    <w:p>
      <w:pPr>
        <w:jc w:val="both"/>
      </w:pPr>
      <w:r>
        <w:rPr/>
        <w:t>Utilisez le filtre pendant le développement pour décider s'il faut continuer à dépenser, et les 23 portes au stade de la transaction pour décider si les preuves justifient le bouclage.</w:t>
      </w:r>
    </w:p>
    <w:p>
      <w:r>
        <w:br w:type="page"/>
      </w:r>
    </w:p>
    <w:p>
      <w:pPr>
        <w:pStyle w:val="Heading1"/>
        <w:pBdr>
          <w:bottom w:val="single" w:sz="12" w:space="4" w:color="B07C0F"/>
        </w:pBdr>
      </w:pPr>
      <w:r>
        <w:t>9. Contrôles d'intégrité et contrôle de cohérence avec le livre</w:t>
      </w:r>
    </w:p>
    <w:p>
      <w:pPr>
        <w:pStyle w:val="Heading2"/>
      </w:pPr>
      <w:r>
        <w:t>9.1 33_CHECKS</w:t>
      </w:r>
    </w:p>
    <w:tbl>
      <w:tblPr>
        <w:tblStyle w:val="TableGrid"/>
        <w:tblW w:type="auto" w:w="0"/>
        <w:jc w:val="center"/>
        <w:tblLook w:firstColumn="1" w:firstRow="1" w:lastColumn="0" w:lastRow="0" w:noHBand="0" w:noVBand="1" w:val="04A0"/>
      </w:tblPr>
      <w:tblGrid>
        <w:gridCol w:w="3213"/>
        <w:gridCol w:w="3213"/>
        <w:gridCol w:w="3213"/>
      </w:tblGrid>
      <w:tr>
        <w:tc>
          <w:tcPr>
            <w:tcW w:type="dxa" w:w="650"/>
            <w:shd w:val="clear" w:color="auto" w:fill="0B3020"/>
          </w:tcPr>
          <w:p>
            <w:pPr>
              <w:spacing w:after="0"/>
            </w:pPr>
            <w:r>
              <w:rPr>
                <w:b/>
                <w:color w:val="FFFFFF"/>
                <w:sz w:val="16"/>
              </w:rPr>
              <w:t>N°</w:t>
            </w:r>
          </w:p>
        </w:tc>
        <w:tc>
          <w:tcPr>
            <w:tcW w:type="dxa" w:w="6497"/>
            <w:shd w:val="clear" w:color="auto" w:fill="0B3020"/>
          </w:tcPr>
          <w:p>
            <w:pPr>
              <w:spacing w:after="0"/>
            </w:pPr>
            <w:r>
              <w:rPr>
                <w:b/>
                <w:color w:val="FFFFFF"/>
                <w:sz w:val="16"/>
              </w:rPr>
              <w:t>Contrôle</w:t>
            </w:r>
          </w:p>
        </w:tc>
        <w:tc>
          <w:tcPr>
            <w:tcW w:type="dxa" w:w="2491"/>
            <w:shd w:val="clear" w:color="auto" w:fill="0B3020"/>
          </w:tcPr>
          <w:p>
            <w:pPr>
              <w:spacing w:after="0"/>
            </w:pPr>
            <w:r>
              <w:rPr>
                <w:b/>
                <w:color w:val="FFFFFF"/>
                <w:sz w:val="16"/>
              </w:rPr>
              <w:t>Niveau en cas d'échec</w:t>
            </w:r>
          </w:p>
        </w:tc>
      </w:tr>
      <w:tr>
        <w:tc>
          <w:tcPr>
            <w:tcW w:type="dxa" w:w="650"/>
          </w:tcPr>
          <w:p>
            <w:pPr>
              <w:spacing w:after="0"/>
            </w:pPr>
            <w:r>
              <w:rPr>
                <w:color w:val="1D1D1D"/>
                <w:sz w:val="16"/>
              </w:rPr>
              <w:t>1</w:t>
            </w:r>
          </w:p>
        </w:tc>
        <w:tc>
          <w:tcPr>
            <w:tcW w:type="dxa" w:w="6497"/>
          </w:tcPr>
          <w:p>
            <w:pPr>
              <w:spacing w:after="0"/>
            </w:pPr>
            <w:r>
              <w:rPr>
                <w:color w:val="1D1D1D"/>
                <w:sz w:val="16"/>
              </w:rPr>
              <w:t>Ressources = emplois (à 0,01 près)</w:t>
            </w:r>
          </w:p>
        </w:tc>
        <w:tc>
          <w:tcPr>
            <w:tcW w:type="dxa" w:w="2491"/>
          </w:tcPr>
          <w:p>
            <w:pPr>
              <w:spacing w:after="0"/>
            </w:pPr>
            <w:r>
              <w:rPr>
                <w:color w:val="1D1D1D"/>
                <w:sz w:val="16"/>
              </w:rPr>
              <w:t>ERROR (erreur)</w:t>
            </w:r>
          </w:p>
        </w:tc>
      </w:tr>
      <w:tr>
        <w:tc>
          <w:tcPr>
            <w:tcW w:type="dxa" w:w="650"/>
            <w:shd w:val="clear" w:color="auto" w:fill="FAF8F2"/>
          </w:tcPr>
          <w:p>
            <w:pPr>
              <w:spacing w:after="0"/>
            </w:pPr>
            <w:r>
              <w:rPr>
                <w:color w:val="1D1D1D"/>
                <w:sz w:val="16"/>
              </w:rPr>
              <w:t>2</w:t>
            </w:r>
          </w:p>
        </w:tc>
        <w:tc>
          <w:tcPr>
            <w:tcW w:type="dxa" w:w="6497"/>
            <w:shd w:val="clear" w:color="auto" w:fill="FAF8F2"/>
          </w:tcPr>
          <w:p>
            <w:pPr>
              <w:spacing w:after="0"/>
            </w:pPr>
            <w:r>
              <w:rPr>
                <w:color w:val="1D1D1D"/>
                <w:sz w:val="16"/>
              </w:rPr>
              <w:t>Équilibre du financement de la construction (emplois = subventions + dette + fonds propres)</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3</w:t>
            </w:r>
          </w:p>
        </w:tc>
        <w:tc>
          <w:tcPr>
            <w:tcW w:type="dxa" w:w="6497"/>
          </w:tcPr>
          <w:p>
            <w:pPr>
              <w:spacing w:after="0"/>
            </w:pPr>
            <w:r>
              <w:rPr>
                <w:color w:val="1D1D1D"/>
                <w:sz w:val="16"/>
              </w:rPr>
              <w:t>Le phasage du CAPEX totalise 100 %</w:t>
            </w:r>
          </w:p>
        </w:tc>
        <w:tc>
          <w:tcPr>
            <w:tcW w:type="dxa" w:w="2491"/>
          </w:tcPr>
          <w:p>
            <w:pPr>
              <w:spacing w:after="0"/>
            </w:pPr>
            <w:r>
              <w:rPr>
                <w:color w:val="1D1D1D"/>
                <w:sz w:val="16"/>
              </w:rPr>
              <w:t>ERROR</w:t>
            </w:r>
          </w:p>
        </w:tc>
      </w:tr>
      <w:tr>
        <w:tc>
          <w:tcPr>
            <w:tcW w:type="dxa" w:w="650"/>
            <w:shd w:val="clear" w:color="auto" w:fill="FAF8F2"/>
          </w:tcPr>
          <w:p>
            <w:pPr>
              <w:spacing w:after="0"/>
            </w:pPr>
            <w:r>
              <w:rPr>
                <w:color w:val="1D1D1D"/>
                <w:sz w:val="16"/>
              </w:rPr>
              <w:t>4</w:t>
            </w:r>
          </w:p>
        </w:tc>
        <w:tc>
          <w:tcPr>
            <w:tcW w:type="dxa" w:w="6497"/>
            <w:shd w:val="clear" w:color="auto" w:fill="FAF8F2"/>
          </w:tcPr>
          <w:p>
            <w:pPr>
              <w:spacing w:after="0"/>
            </w:pPr>
            <w:r>
              <w:rPr>
                <w:color w:val="1D1D1D"/>
                <w:sz w:val="16"/>
              </w:rPr>
              <w:t>Dette concessionnelle entièrement remboursée à la fin de l'horizon</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5</w:t>
            </w:r>
          </w:p>
        </w:tc>
        <w:tc>
          <w:tcPr>
            <w:tcW w:type="dxa" w:w="6497"/>
          </w:tcPr>
          <w:p>
            <w:pPr>
              <w:spacing w:after="0"/>
            </w:pPr>
            <w:r>
              <w:rPr>
                <w:color w:val="1D1D1D"/>
                <w:sz w:val="16"/>
              </w:rPr>
              <w:t>Dette commerciale entièrement remboursée à la fin de l'horizon</w:t>
            </w:r>
          </w:p>
        </w:tc>
        <w:tc>
          <w:tcPr>
            <w:tcW w:type="dxa" w:w="2491"/>
          </w:tcPr>
          <w:p>
            <w:pPr>
              <w:spacing w:after="0"/>
            </w:pPr>
            <w:r>
              <w:rPr>
                <w:color w:val="1D1D1D"/>
                <w:sz w:val="16"/>
              </w:rPr>
              <w:t>ERROR</w:t>
            </w:r>
          </w:p>
        </w:tc>
      </w:tr>
      <w:tr>
        <w:tc>
          <w:tcPr>
            <w:tcW w:type="dxa" w:w="650"/>
            <w:shd w:val="clear" w:color="auto" w:fill="FAF8F2"/>
          </w:tcPr>
          <w:p>
            <w:pPr>
              <w:spacing w:after="0"/>
            </w:pPr>
            <w:r>
              <w:rPr>
                <w:color w:val="1D1D1D"/>
                <w:sz w:val="16"/>
              </w:rPr>
              <w:t>6</w:t>
            </w:r>
          </w:p>
        </w:tc>
        <w:tc>
          <w:tcPr>
            <w:tcW w:type="dxa" w:w="6497"/>
            <w:shd w:val="clear" w:color="auto" w:fill="FAF8F2"/>
          </w:tcPr>
          <w:p>
            <w:pPr>
              <w:spacing w:after="0"/>
            </w:pPr>
            <w:r>
              <w:rPr>
                <w:color w:val="1D1D1D"/>
                <w:sz w:val="16"/>
              </w:rPr>
              <w:t>Différé et durée de la dette concessionnelle compris dans la concession</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7</w:t>
            </w:r>
          </w:p>
        </w:tc>
        <w:tc>
          <w:tcPr>
            <w:tcW w:type="dxa" w:w="6497"/>
          </w:tcPr>
          <w:p>
            <w:pPr>
              <w:spacing w:after="0"/>
            </w:pPr>
            <w:r>
              <w:rPr>
                <w:color w:val="1D1D1D"/>
                <w:sz w:val="16"/>
              </w:rPr>
              <w:t>Maturité de la dette commerciale comprise dans la concession</w:t>
            </w:r>
          </w:p>
        </w:tc>
        <w:tc>
          <w:tcPr>
            <w:tcW w:type="dxa" w:w="2491"/>
          </w:tcPr>
          <w:p>
            <w:pPr>
              <w:spacing w:after="0"/>
            </w:pPr>
            <w:r>
              <w:rPr>
                <w:color w:val="1D1D1D"/>
                <w:sz w:val="16"/>
              </w:rPr>
              <w:t>ERROR</w:t>
            </w:r>
          </w:p>
        </w:tc>
      </w:tr>
      <w:tr>
        <w:tc>
          <w:tcPr>
            <w:tcW w:type="dxa" w:w="650"/>
            <w:shd w:val="clear" w:color="auto" w:fill="FAF8F2"/>
          </w:tcPr>
          <w:p>
            <w:pPr>
              <w:spacing w:after="0"/>
            </w:pPr>
            <w:r>
              <w:rPr>
                <w:color w:val="1D1D1D"/>
                <w:sz w:val="16"/>
              </w:rPr>
              <w:t>8</w:t>
            </w:r>
          </w:p>
        </w:tc>
        <w:tc>
          <w:tcPr>
            <w:tcW w:type="dxa" w:w="6497"/>
            <w:shd w:val="clear" w:color="auto" w:fill="FAF8F2"/>
          </w:tcPr>
          <w:p>
            <w:pPr>
              <w:spacing w:after="0"/>
            </w:pPr>
            <w:r>
              <w:rPr>
                <w:color w:val="1D1D1D"/>
                <w:sz w:val="16"/>
              </w:rPr>
              <w:t>Construction et concession comprises dans 40 périodes</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9</w:t>
            </w:r>
          </w:p>
        </w:tc>
        <w:tc>
          <w:tcPr>
            <w:tcW w:type="dxa" w:w="6497"/>
          </w:tcPr>
          <w:p>
            <w:pPr>
              <w:spacing w:after="0"/>
            </w:pPr>
            <w:r>
              <w:rPr>
                <w:color w:val="1D1D1D"/>
                <w:sz w:val="16"/>
              </w:rPr>
              <w:t>Énergie livrée non supérieure à la production</w:t>
            </w:r>
          </w:p>
        </w:tc>
        <w:tc>
          <w:tcPr>
            <w:tcW w:type="dxa" w:w="2491"/>
          </w:tcPr>
          <w:p>
            <w:pPr>
              <w:spacing w:after="0"/>
            </w:pPr>
            <w:r>
              <w:rPr>
                <w:color w:val="1D1D1D"/>
                <w:sz w:val="16"/>
              </w:rPr>
              <w:t>ERROR</w:t>
            </w:r>
          </w:p>
        </w:tc>
      </w:tr>
      <w:tr>
        <w:tc>
          <w:tcPr>
            <w:tcW w:type="dxa" w:w="650"/>
            <w:shd w:val="clear" w:color="auto" w:fill="FAF8F2"/>
          </w:tcPr>
          <w:p>
            <w:pPr>
              <w:spacing w:after="0"/>
            </w:pPr>
            <w:r>
              <w:rPr>
                <w:color w:val="1D1D1D"/>
                <w:sz w:val="16"/>
              </w:rPr>
              <w:t>10</w:t>
            </w:r>
          </w:p>
        </w:tc>
        <w:tc>
          <w:tcPr>
            <w:tcW w:type="dxa" w:w="6497"/>
            <w:shd w:val="clear" w:color="auto" w:fill="FAF8F2"/>
          </w:tcPr>
          <w:p>
            <w:pPr>
              <w:spacing w:after="0"/>
            </w:pPr>
            <w:r>
              <w:rPr>
                <w:color w:val="1D1D1D"/>
                <w:sz w:val="16"/>
              </w:rPr>
              <w:t>Montants impayés non négatifs</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11</w:t>
            </w:r>
          </w:p>
        </w:tc>
        <w:tc>
          <w:tcPr>
            <w:tcW w:type="dxa" w:w="6497"/>
          </w:tcPr>
          <w:p>
            <w:pPr>
              <w:spacing w:after="0"/>
            </w:pPr>
            <w:r>
              <w:rPr>
                <w:color w:val="1D1D1D"/>
                <w:sz w:val="16"/>
              </w:rPr>
              <w:t>Pas de remboursement in fine forcé lors de la dernière année de remboursement commercial (principal forcé supérieur à l'objectif de moins de 0,5 million USD)</w:t>
            </w:r>
          </w:p>
        </w:tc>
        <w:tc>
          <w:tcPr>
            <w:tcW w:type="dxa" w:w="2491"/>
          </w:tcPr>
          <w:p>
            <w:pPr>
              <w:spacing w:after="0"/>
            </w:pPr>
            <w:r>
              <w:rPr>
                <w:color w:val="1D1D1D"/>
                <w:sz w:val="16"/>
              </w:rPr>
              <w:t>WARNING (avertissement)</w:t>
            </w:r>
          </w:p>
        </w:tc>
      </w:tr>
      <w:tr>
        <w:tc>
          <w:tcPr>
            <w:tcW w:type="dxa" w:w="650"/>
            <w:shd w:val="clear" w:color="auto" w:fill="FAF8F2"/>
          </w:tcPr>
          <w:p>
            <w:pPr>
              <w:spacing w:after="0"/>
            </w:pPr>
            <w:r>
              <w:rPr>
                <w:color w:val="1D1D1D"/>
                <w:sz w:val="16"/>
              </w:rPr>
              <w:t>12</w:t>
            </w:r>
          </w:p>
        </w:tc>
        <w:tc>
          <w:tcPr>
            <w:tcW w:type="dxa" w:w="6497"/>
            <w:shd w:val="clear" w:color="auto" w:fill="FAF8F2"/>
          </w:tcPr>
          <w:p>
            <w:pPr>
              <w:spacing w:after="0"/>
            </w:pPr>
            <w:r>
              <w:rPr>
                <w:color w:val="1D1D1D"/>
                <w:sz w:val="16"/>
              </w:rPr>
              <w:t>Solde du DSRA jamais négatif</w:t>
            </w:r>
          </w:p>
        </w:tc>
        <w:tc>
          <w:tcPr>
            <w:tcW w:type="dxa" w:w="2491"/>
            <w:shd w:val="clear" w:color="auto" w:fill="FAF8F2"/>
          </w:tcPr>
          <w:p>
            <w:pPr>
              <w:spacing w:after="0"/>
            </w:pPr>
            <w:r>
              <w:rPr>
                <w:color w:val="1D1D1D"/>
                <w:sz w:val="16"/>
              </w:rPr>
              <w:t>ERROR</w:t>
            </w:r>
          </w:p>
        </w:tc>
      </w:tr>
      <w:tr>
        <w:tc>
          <w:tcPr>
            <w:tcW w:type="dxa" w:w="650"/>
          </w:tcPr>
          <w:p>
            <w:pPr>
              <w:spacing w:after="0"/>
            </w:pPr>
            <w:r>
              <w:rPr>
                <w:color w:val="1D1D1D"/>
                <w:sz w:val="16"/>
              </w:rPr>
              <w:t>13</w:t>
            </w:r>
          </w:p>
        </w:tc>
        <w:tc>
          <w:tcPr>
            <w:tcW w:type="dxa" w:w="6497"/>
          </w:tcPr>
          <w:p>
            <w:pPr>
              <w:spacing w:after="0"/>
            </w:pPr>
            <w:r>
              <w:rPr>
                <w:color w:val="1D1D1D"/>
                <w:sz w:val="16"/>
              </w:rPr>
              <w:t>Ligne de transport financée par le projet entièrement financée (construction et CFADS)</w:t>
            </w:r>
          </w:p>
        </w:tc>
        <w:tc>
          <w:tcPr>
            <w:tcW w:type="dxa" w:w="2491"/>
          </w:tcPr>
          <w:p>
            <w:pPr>
              <w:spacing w:after="0"/>
            </w:pPr>
            <w:r>
              <w:rPr>
                <w:color w:val="1D1D1D"/>
                <w:sz w:val="16"/>
              </w:rPr>
              <w:t>ERROR</w:t>
            </w:r>
          </w:p>
        </w:tc>
      </w:tr>
      <w:tr>
        <w:tc>
          <w:tcPr>
            <w:tcW w:type="dxa" w:w="650"/>
            <w:shd w:val="clear" w:color="auto" w:fill="FAF8F2"/>
          </w:tcPr>
          <w:p>
            <w:pPr>
              <w:spacing w:after="0"/>
            </w:pPr>
            <w:r>
              <w:rPr>
                <w:color w:val="1D1D1D"/>
                <w:sz w:val="16"/>
              </w:rPr>
              <w:t>14</w:t>
            </w:r>
          </w:p>
        </w:tc>
        <w:tc>
          <w:tcPr>
            <w:tcW w:type="dxa" w:w="6497"/>
            <w:shd w:val="clear" w:color="auto" w:fill="FAF8F2"/>
          </w:tcPr>
          <w:p>
            <w:pPr>
              <w:spacing w:after="0"/>
            </w:pPr>
            <w:r>
              <w:rPr>
                <w:color w:val="1D1D1D"/>
                <w:sz w:val="16"/>
              </w:rPr>
              <w:t xml:space="preserve">Contrôle des structures sur </w:t>
            </w:r>
            <w:r>
              <w:rPr>
                <w:i/>
                <w:color w:val="1D1D1D"/>
                <w:sz w:val="16"/>
              </w:rPr>
              <w:t>17A_STRUCTURES</w:t>
            </w:r>
          </w:p>
        </w:tc>
        <w:tc>
          <w:tcPr>
            <w:tcW w:type="dxa" w:w="2491"/>
            <w:shd w:val="clear" w:color="auto" w:fill="FAF8F2"/>
          </w:tcPr>
          <w:p>
            <w:pPr>
              <w:spacing w:after="0"/>
            </w:pPr>
            <w:r>
              <w:rPr>
                <w:color w:val="1D1D1D"/>
                <w:sz w:val="16"/>
              </w:rPr>
              <w:t>WARNING</w:t>
            </w:r>
          </w:p>
        </w:tc>
      </w:tr>
    </w:tbl>
    <w:p>
      <w:pPr>
        <w:spacing w:after="40"/>
      </w:pPr>
    </w:p>
    <w:p>
      <w:pPr>
        <w:jc w:val="both"/>
      </w:pPr>
      <w:r>
        <w:rPr>
          <w:rFonts w:ascii="Courier New" w:hAnsi="Courier New"/>
        </w:rPr>
        <w:t>chk_all</w:t>
      </w:r>
      <w:r>
        <w:rPr/>
        <w:t xml:space="preserve"> affiche ALL OK (tout est correct) ou « n issue(s) » (n problème(s)). Lors du test indépendant, chaque contrôle a été forcé en échec sur une copie, et chacun s'est déclenché. Les contrôles confirment la cohérence interne, pas le réalisme des données d'entrée. N'utilisez pas les résultats tant que ALL OK ne s'affiche pas.</w:t>
      </w:r>
    </w:p>
    <w:p>
      <w:pPr>
        <w:pStyle w:val="Heading2"/>
      </w:pPr>
      <w:r>
        <w:t>9.2 35_BOOK_CHECK</w:t>
      </w:r>
    </w:p>
    <w:p>
      <w:pPr>
        <w:jc w:val="both"/>
      </w:pPr>
      <w:r>
        <w:rPr/>
        <w:t>La feuille compare le modèle dynamique aux chiffres de Kasiri publiés dans le Livre 7 : 24 chiffres, chacun avec sa tolérance, et deux résultats textuels.</w:t>
      </w:r>
    </w:p>
    <w:tbl>
      <w:tblPr>
        <w:tblStyle w:val="TableGrid"/>
        <w:tblW w:type="auto" w:w="0"/>
        <w:jc w:val="center"/>
        <w:tblLook w:firstColumn="1" w:firstRow="1" w:lastColumn="0" w:lastRow="0" w:noHBand="0" w:noVBand="1" w:val="04A0"/>
      </w:tblPr>
      <w:tblGrid>
        <w:gridCol w:w="3213"/>
        <w:gridCol w:w="3213"/>
        <w:gridCol w:w="3213"/>
      </w:tblGrid>
      <w:tr>
        <w:tc>
          <w:tcPr>
            <w:tcW w:type="dxa" w:w="4483"/>
            <w:shd w:val="clear" w:color="auto" w:fill="0B3020"/>
          </w:tcPr>
          <w:p>
            <w:pPr>
              <w:spacing w:after="0"/>
            </w:pPr>
            <w:r>
              <w:rPr>
                <w:b/>
                <w:color w:val="FFFFFF"/>
                <w:sz w:val="16"/>
              </w:rPr>
              <w:t>Chiffre</w:t>
            </w:r>
          </w:p>
        </w:tc>
        <w:tc>
          <w:tcPr>
            <w:tcW w:type="dxa" w:w="4483"/>
            <w:shd w:val="clear" w:color="auto" w:fill="0B3020"/>
          </w:tcPr>
          <w:p>
            <w:pPr>
              <w:spacing w:after="0"/>
            </w:pPr>
            <w:r>
              <w:rPr>
                <w:b/>
                <w:color w:val="FFFFFF"/>
                <w:sz w:val="16"/>
              </w:rPr>
              <w:t>Publié</w:t>
            </w:r>
          </w:p>
        </w:tc>
        <w:tc>
          <w:tcPr>
            <w:tcW w:type="dxa" w:w="672"/>
            <w:shd w:val="clear" w:color="auto" w:fill="0B3020"/>
          </w:tcPr>
          <w:p>
            <w:pPr>
              <w:spacing w:after="0"/>
            </w:pPr>
            <w:r>
              <w:rPr>
                <w:b/>
                <w:color w:val="FFFFFF"/>
                <w:sz w:val="16"/>
              </w:rPr>
              <w:t>Tolérance</w:t>
            </w:r>
          </w:p>
        </w:tc>
      </w:tr>
      <w:tr>
        <w:tc>
          <w:tcPr>
            <w:tcW w:type="dxa" w:w="4483"/>
          </w:tcPr>
          <w:p>
            <w:pPr>
              <w:spacing w:after="0"/>
            </w:pPr>
            <w:r>
              <w:rPr>
                <w:color w:val="1D1D1D"/>
                <w:sz w:val="16"/>
              </w:rPr>
              <w:t>Puissance installée (MW)</w:t>
            </w:r>
          </w:p>
        </w:tc>
        <w:tc>
          <w:tcPr>
            <w:tcW w:type="dxa" w:w="4483"/>
          </w:tcPr>
          <w:p>
            <w:pPr>
              <w:spacing w:after="0"/>
            </w:pPr>
            <w:r>
              <w:rPr>
                <w:color w:val="1D1D1D"/>
                <w:sz w:val="16"/>
              </w:rPr>
              <w:t>60</w:t>
            </w:r>
          </w:p>
        </w:tc>
        <w:tc>
          <w:tcPr>
            <w:tcW w:type="dxa" w:w="672"/>
          </w:tcPr>
          <w:p>
            <w:pPr>
              <w:spacing w:after="0"/>
            </w:pPr>
            <w:r>
              <w:rPr>
                <w:color w:val="1D1D1D"/>
                <w:sz w:val="16"/>
              </w:rPr>
              <w:t>0,5</w:t>
            </w:r>
          </w:p>
        </w:tc>
      </w:tr>
      <w:tr>
        <w:tc>
          <w:tcPr>
            <w:tcW w:type="dxa" w:w="4483"/>
            <w:shd w:val="clear" w:color="auto" w:fill="FAF8F2"/>
          </w:tcPr>
          <w:p>
            <w:pPr>
              <w:spacing w:after="0"/>
            </w:pPr>
            <w:r>
              <w:rPr>
                <w:color w:val="1D1D1D"/>
                <w:sz w:val="16"/>
              </w:rPr>
              <w:t>Production P50 (GWh)</w:t>
            </w:r>
          </w:p>
        </w:tc>
        <w:tc>
          <w:tcPr>
            <w:tcW w:type="dxa" w:w="4483"/>
            <w:shd w:val="clear" w:color="auto" w:fill="FAF8F2"/>
          </w:tcPr>
          <w:p>
            <w:pPr>
              <w:spacing w:after="0"/>
            </w:pPr>
            <w:r>
              <w:rPr>
                <w:color w:val="1D1D1D"/>
                <w:sz w:val="16"/>
              </w:rPr>
              <w:t>292</w:t>
            </w:r>
          </w:p>
        </w:tc>
        <w:tc>
          <w:tcPr>
            <w:tcW w:type="dxa" w:w="672"/>
            <w:shd w:val="clear" w:color="auto" w:fill="FAF8F2"/>
          </w:tcPr>
          <w:p>
            <w:pPr>
              <w:spacing w:after="0"/>
            </w:pPr>
            <w:r>
              <w:rPr>
                <w:color w:val="1D1D1D"/>
                <w:sz w:val="16"/>
              </w:rPr>
              <w:t>0,5</w:t>
            </w:r>
          </w:p>
        </w:tc>
      </w:tr>
      <w:tr>
        <w:tc>
          <w:tcPr>
            <w:tcW w:type="dxa" w:w="4483"/>
          </w:tcPr>
          <w:p>
            <w:pPr>
              <w:spacing w:after="0"/>
            </w:pPr>
            <w:r>
              <w:rPr>
                <w:color w:val="1D1D1D"/>
                <w:sz w:val="16"/>
              </w:rPr>
              <w:t>Facteur de charge</w:t>
            </w:r>
          </w:p>
        </w:tc>
        <w:tc>
          <w:tcPr>
            <w:tcW w:type="dxa" w:w="4483"/>
          </w:tcPr>
          <w:p>
            <w:pPr>
              <w:spacing w:after="0"/>
            </w:pPr>
            <w:r>
              <w:rPr>
                <w:color w:val="1D1D1D"/>
                <w:sz w:val="16"/>
              </w:rPr>
              <w:t>55,6 %</w:t>
            </w:r>
          </w:p>
        </w:tc>
        <w:tc>
          <w:tcPr>
            <w:tcW w:type="dxa" w:w="672"/>
          </w:tcPr>
          <w:p>
            <w:pPr>
              <w:spacing w:after="0"/>
            </w:pPr>
            <w:r>
              <w:rPr>
                <w:color w:val="1D1D1D"/>
                <w:sz w:val="16"/>
              </w:rPr>
              <w:t>0,05 pt</w:t>
            </w:r>
          </w:p>
        </w:tc>
      </w:tr>
      <w:tr>
        <w:tc>
          <w:tcPr>
            <w:tcW w:type="dxa" w:w="4483"/>
            <w:shd w:val="clear" w:color="auto" w:fill="FAF8F2"/>
          </w:tcPr>
          <w:p>
            <w:pPr>
              <w:spacing w:after="0"/>
            </w:pPr>
            <w:r>
              <w:rPr>
                <w:color w:val="1D1D1D"/>
                <w:sz w:val="16"/>
              </w:rPr>
              <w:t>P90 à un an / à dix ans (GWh)</w:t>
            </w:r>
          </w:p>
        </w:tc>
        <w:tc>
          <w:tcPr>
            <w:tcW w:type="dxa" w:w="4483"/>
            <w:shd w:val="clear" w:color="auto" w:fill="FAF8F2"/>
          </w:tcPr>
          <w:p>
            <w:pPr>
              <w:spacing w:after="0"/>
            </w:pPr>
            <w:r>
              <w:rPr>
                <w:color w:val="1D1D1D"/>
                <w:sz w:val="16"/>
              </w:rPr>
              <w:t>236 / 268</w:t>
            </w:r>
          </w:p>
        </w:tc>
        <w:tc>
          <w:tcPr>
            <w:tcW w:type="dxa" w:w="672"/>
            <w:shd w:val="clear" w:color="auto" w:fill="FAF8F2"/>
          </w:tcPr>
          <w:p>
            <w:pPr>
              <w:spacing w:after="0"/>
            </w:pPr>
            <w:r>
              <w:rPr>
                <w:color w:val="1D1D1D"/>
                <w:sz w:val="16"/>
              </w:rPr>
              <w:t>0,5</w:t>
            </w:r>
          </w:p>
        </w:tc>
      </w:tr>
      <w:tr>
        <w:tc>
          <w:tcPr>
            <w:tcW w:type="dxa" w:w="4483"/>
          </w:tcPr>
          <w:p>
            <w:pPr>
              <w:spacing w:after="0"/>
            </w:pPr>
            <w:r>
              <w:rPr>
                <w:color w:val="1D1D1D"/>
                <w:sz w:val="16"/>
              </w:rPr>
              <w:t>Coût de la centrale en termes réels 2026 (M USD) / coût unitaire (USD/kW)</w:t>
            </w:r>
          </w:p>
        </w:tc>
        <w:tc>
          <w:tcPr>
            <w:tcW w:type="dxa" w:w="4483"/>
          </w:tcPr>
          <w:p>
            <w:pPr>
              <w:spacing w:after="0"/>
            </w:pPr>
            <w:r>
              <w:rPr>
                <w:color w:val="1D1D1D"/>
                <w:sz w:val="16"/>
              </w:rPr>
              <w:t>157 / 2 614</w:t>
            </w:r>
          </w:p>
        </w:tc>
        <w:tc>
          <w:tcPr>
            <w:tcW w:type="dxa" w:w="672"/>
          </w:tcPr>
          <w:p>
            <w:pPr>
              <w:spacing w:after="0"/>
            </w:pPr>
            <w:r>
              <w:rPr>
                <w:color w:val="1D1D1D"/>
                <w:sz w:val="16"/>
              </w:rPr>
              <w:t>0,5</w:t>
            </w:r>
          </w:p>
        </w:tc>
      </w:tr>
      <w:tr>
        <w:tc>
          <w:tcPr>
            <w:tcW w:type="dxa" w:w="4483"/>
            <w:shd w:val="clear" w:color="auto" w:fill="FAF8F2"/>
          </w:tcPr>
          <w:p>
            <w:pPr>
              <w:spacing w:after="0"/>
            </w:pPr>
            <w:r>
              <w:rPr>
                <w:color w:val="1D1D1D"/>
                <w:sz w:val="16"/>
              </w:rPr>
              <w:t>Total des emplois / dette senior (M USD)</w:t>
            </w:r>
          </w:p>
        </w:tc>
        <w:tc>
          <w:tcPr>
            <w:tcW w:type="dxa" w:w="4483"/>
            <w:shd w:val="clear" w:color="auto" w:fill="FAF8F2"/>
          </w:tcPr>
          <w:p>
            <w:pPr>
              <w:spacing w:after="0"/>
            </w:pPr>
            <w:r>
              <w:rPr>
                <w:color w:val="1D1D1D"/>
                <w:sz w:val="16"/>
              </w:rPr>
              <w:t>215 / 145</w:t>
            </w:r>
          </w:p>
        </w:tc>
        <w:tc>
          <w:tcPr>
            <w:tcW w:type="dxa" w:w="672"/>
            <w:shd w:val="clear" w:color="auto" w:fill="FAF8F2"/>
          </w:tcPr>
          <w:p>
            <w:pPr>
              <w:spacing w:after="0"/>
            </w:pPr>
            <w:r>
              <w:rPr>
                <w:color w:val="1D1D1D"/>
                <w:sz w:val="16"/>
              </w:rPr>
              <w:t>0,5</w:t>
            </w:r>
          </w:p>
        </w:tc>
      </w:tr>
      <w:tr>
        <w:tc>
          <w:tcPr>
            <w:tcW w:type="dxa" w:w="4483"/>
          </w:tcPr>
          <w:p>
            <w:pPr>
              <w:spacing w:after="0"/>
            </w:pPr>
            <w:r>
              <w:rPr>
                <w:color w:val="1D1D1D"/>
                <w:sz w:val="16"/>
              </w:rPr>
              <w:t>Taux d'endettement (gearing) sur le total des emplois</w:t>
            </w:r>
          </w:p>
        </w:tc>
        <w:tc>
          <w:tcPr>
            <w:tcW w:type="dxa" w:w="4483"/>
          </w:tcPr>
          <w:p>
            <w:pPr>
              <w:spacing w:after="0"/>
            </w:pPr>
            <w:r>
              <w:rPr>
                <w:color w:val="1D1D1D"/>
                <w:sz w:val="16"/>
              </w:rPr>
              <w:t>68 %</w:t>
            </w:r>
          </w:p>
        </w:tc>
        <w:tc>
          <w:tcPr>
            <w:tcW w:type="dxa" w:w="672"/>
          </w:tcPr>
          <w:p>
            <w:pPr>
              <w:spacing w:after="0"/>
            </w:pPr>
            <w:r>
              <w:rPr>
                <w:color w:val="1D1D1D"/>
                <w:sz w:val="16"/>
              </w:rPr>
              <w:t>0,5 pt</w:t>
            </w:r>
          </w:p>
        </w:tc>
      </w:tr>
      <w:tr>
        <w:tc>
          <w:tcPr>
            <w:tcW w:type="dxa" w:w="4483"/>
            <w:shd w:val="clear" w:color="auto" w:fill="FAF8F2"/>
          </w:tcPr>
          <w:p>
            <w:pPr>
              <w:spacing w:after="0"/>
            </w:pPr>
            <w:r>
              <w:rPr>
                <w:color w:val="1D1D1D"/>
                <w:sz w:val="16"/>
              </w:rPr>
              <w:t>LCOE (USD/MWh)</w:t>
            </w:r>
          </w:p>
        </w:tc>
        <w:tc>
          <w:tcPr>
            <w:tcW w:type="dxa" w:w="4483"/>
            <w:shd w:val="clear" w:color="auto" w:fill="FAF8F2"/>
          </w:tcPr>
          <w:p>
            <w:pPr>
              <w:spacing w:after="0"/>
            </w:pPr>
            <w:r>
              <w:rPr>
                <w:color w:val="1D1D1D"/>
                <w:sz w:val="16"/>
              </w:rPr>
              <w:t>106</w:t>
            </w:r>
          </w:p>
        </w:tc>
        <w:tc>
          <w:tcPr>
            <w:tcW w:type="dxa" w:w="672"/>
            <w:shd w:val="clear" w:color="auto" w:fill="FAF8F2"/>
          </w:tcPr>
          <w:p>
            <w:pPr>
              <w:spacing w:after="0"/>
            </w:pPr>
            <w:r>
              <w:rPr>
                <w:color w:val="1D1D1D"/>
                <w:sz w:val="16"/>
              </w:rPr>
              <w:t>0,5</w:t>
            </w:r>
          </w:p>
        </w:tc>
      </w:tr>
      <w:tr>
        <w:tc>
          <w:tcPr>
            <w:tcW w:type="dxa" w:w="4483"/>
          </w:tcPr>
          <w:p>
            <w:pPr>
              <w:spacing w:after="0"/>
            </w:pPr>
            <w:r>
              <w:rPr>
                <w:color w:val="1D1D1D"/>
                <w:sz w:val="16"/>
              </w:rPr>
              <w:t>TRI des fonds propres privés / TRI du développeur</w:t>
            </w:r>
          </w:p>
        </w:tc>
        <w:tc>
          <w:tcPr>
            <w:tcW w:type="dxa" w:w="4483"/>
          </w:tcPr>
          <w:p>
            <w:pPr>
              <w:spacing w:after="0"/>
            </w:pPr>
            <w:r>
              <w:rPr>
                <w:color w:val="1D1D1D"/>
                <w:sz w:val="16"/>
              </w:rPr>
              <w:t>13,8 % / 16,0 %</w:t>
            </w:r>
          </w:p>
        </w:tc>
        <w:tc>
          <w:tcPr>
            <w:tcW w:type="dxa" w:w="672"/>
          </w:tcPr>
          <w:p>
            <w:pPr>
              <w:spacing w:after="0"/>
            </w:pPr>
            <w:r>
              <w:rPr>
                <w:color w:val="1D1D1D"/>
                <w:sz w:val="16"/>
              </w:rPr>
              <w:t>0,05 pt</w:t>
            </w:r>
          </w:p>
        </w:tc>
      </w:tr>
      <w:tr>
        <w:tc>
          <w:tcPr>
            <w:tcW w:type="dxa" w:w="4483"/>
            <w:shd w:val="clear" w:color="auto" w:fill="FAF8F2"/>
          </w:tcPr>
          <w:p>
            <w:pPr>
              <w:spacing w:after="0"/>
            </w:pPr>
            <w:r>
              <w:rPr>
                <w:color w:val="1D1D1D"/>
                <w:sz w:val="16"/>
              </w:rPr>
              <w:t>DSCR minimum / LLCR</w:t>
            </w:r>
          </w:p>
        </w:tc>
        <w:tc>
          <w:tcPr>
            <w:tcW w:type="dxa" w:w="4483"/>
            <w:shd w:val="clear" w:color="auto" w:fill="FAF8F2"/>
          </w:tcPr>
          <w:p>
            <w:pPr>
              <w:spacing w:after="0"/>
            </w:pPr>
            <w:r>
              <w:rPr>
                <w:color w:val="1D1D1D"/>
                <w:sz w:val="16"/>
              </w:rPr>
              <w:t>1,53 / 1,59</w:t>
            </w:r>
          </w:p>
        </w:tc>
        <w:tc>
          <w:tcPr>
            <w:tcW w:type="dxa" w:w="672"/>
            <w:shd w:val="clear" w:color="auto" w:fill="FAF8F2"/>
          </w:tcPr>
          <w:p>
            <w:pPr>
              <w:spacing w:after="0"/>
            </w:pPr>
            <w:r>
              <w:rPr>
                <w:color w:val="1D1D1D"/>
                <w:sz w:val="16"/>
              </w:rPr>
              <w:t>0,005</w:t>
            </w:r>
          </w:p>
        </w:tc>
      </w:tr>
      <w:tr>
        <w:tc>
          <w:tcPr>
            <w:tcW w:type="dxa" w:w="4483"/>
          </w:tcPr>
          <w:p>
            <w:pPr>
              <w:spacing w:after="0"/>
            </w:pPr>
            <w:r>
              <w:rPr>
                <w:color w:val="1D1D1D"/>
                <w:sz w:val="16"/>
              </w:rPr>
              <w:t>Besoin de financement non couvert (M USD)</w:t>
            </w:r>
          </w:p>
        </w:tc>
        <w:tc>
          <w:tcPr>
            <w:tcW w:type="dxa" w:w="4483"/>
          </w:tcPr>
          <w:p>
            <w:pPr>
              <w:spacing w:after="0"/>
            </w:pPr>
            <w:r>
              <w:rPr>
                <w:color w:val="1D1D1D"/>
                <w:sz w:val="16"/>
              </w:rPr>
              <w:t>4,1</w:t>
            </w:r>
          </w:p>
        </w:tc>
        <w:tc>
          <w:tcPr>
            <w:tcW w:type="dxa" w:w="672"/>
          </w:tcPr>
          <w:p>
            <w:pPr>
              <w:spacing w:after="0"/>
            </w:pPr>
            <w:r>
              <w:rPr>
                <w:color w:val="1D1D1D"/>
                <w:sz w:val="16"/>
              </w:rPr>
              <w:t>0,05</w:t>
            </w:r>
          </w:p>
        </w:tc>
      </w:tr>
      <w:tr>
        <w:tc>
          <w:tcPr>
            <w:tcW w:type="dxa" w:w="4483"/>
            <w:shd w:val="clear" w:color="auto" w:fill="FAF8F2"/>
          </w:tcPr>
          <w:p>
            <w:pPr>
              <w:spacing w:after="0"/>
            </w:pPr>
            <w:r>
              <w:rPr>
                <w:color w:val="1D1D1D"/>
                <w:sz w:val="16"/>
              </w:rPr>
              <w:t>VAN du développeur pondérée par le risque (M USD)</w:t>
            </w:r>
          </w:p>
        </w:tc>
        <w:tc>
          <w:tcPr>
            <w:tcW w:type="dxa" w:w="4483"/>
            <w:shd w:val="clear" w:color="auto" w:fill="FAF8F2"/>
          </w:tcPr>
          <w:p>
            <w:pPr>
              <w:spacing w:after="0"/>
            </w:pPr>
            <w:r>
              <w:rPr>
                <w:color w:val="1D1D1D"/>
                <w:sz w:val="16"/>
              </w:rPr>
              <w:t>−0,95</w:t>
            </w:r>
          </w:p>
        </w:tc>
        <w:tc>
          <w:tcPr>
            <w:tcW w:type="dxa" w:w="672"/>
            <w:shd w:val="clear" w:color="auto" w:fill="FAF8F2"/>
          </w:tcPr>
          <w:p>
            <w:pPr>
              <w:spacing w:after="0"/>
            </w:pPr>
            <w:r>
              <w:rPr>
                <w:color w:val="1D1D1D"/>
                <w:sz w:val="16"/>
              </w:rPr>
              <w:t>0,005</w:t>
            </w:r>
          </w:p>
        </w:tc>
      </w:tr>
      <w:tr>
        <w:tc>
          <w:tcPr>
            <w:tcW w:type="dxa" w:w="4483"/>
          </w:tcPr>
          <w:p>
            <w:pPr>
              <w:spacing w:after="0"/>
            </w:pPr>
            <w:r>
              <w:rPr>
                <w:color w:val="1D1D1D"/>
                <w:sz w:val="16"/>
              </w:rPr>
              <w:t>Probabilité de bouclage</w:t>
            </w:r>
          </w:p>
        </w:tc>
        <w:tc>
          <w:tcPr>
            <w:tcW w:type="dxa" w:w="4483"/>
          </w:tcPr>
          <w:p>
            <w:pPr>
              <w:spacing w:after="0"/>
            </w:pPr>
            <w:r>
              <w:rPr>
                <w:color w:val="1D1D1D"/>
                <w:sz w:val="16"/>
              </w:rPr>
              <w:t>15 %</w:t>
            </w:r>
          </w:p>
        </w:tc>
        <w:tc>
          <w:tcPr>
            <w:tcW w:type="dxa" w:w="672"/>
          </w:tcPr>
          <w:p>
            <w:pPr>
              <w:spacing w:after="0"/>
            </w:pPr>
            <w:r>
              <w:rPr>
                <w:color w:val="1D1D1D"/>
                <w:sz w:val="16"/>
              </w:rPr>
              <w:t>0,5 pt</w:t>
            </w:r>
          </w:p>
        </w:tc>
      </w:tr>
      <w:tr>
        <w:tc>
          <w:tcPr>
            <w:tcW w:type="dxa" w:w="4483"/>
            <w:shd w:val="clear" w:color="auto" w:fill="FAF8F2"/>
          </w:tcPr>
          <w:p>
            <w:pPr>
              <w:spacing w:after="0"/>
            </w:pPr>
            <w:r>
              <w:rPr>
                <w:color w:val="1D1D1D"/>
                <w:sz w:val="16"/>
              </w:rPr>
              <w:t>Valeur de la position au stade des permis (M USD)</w:t>
            </w:r>
          </w:p>
        </w:tc>
        <w:tc>
          <w:tcPr>
            <w:tcW w:type="dxa" w:w="4483"/>
            <w:shd w:val="clear" w:color="auto" w:fill="FAF8F2"/>
          </w:tcPr>
          <w:p>
            <w:pPr>
              <w:spacing w:after="0"/>
            </w:pPr>
            <w:r>
              <w:rPr>
                <w:color w:val="1D1D1D"/>
                <w:sz w:val="16"/>
              </w:rPr>
              <w:t>1,28</w:t>
            </w:r>
          </w:p>
        </w:tc>
        <w:tc>
          <w:tcPr>
            <w:tcW w:type="dxa" w:w="672"/>
            <w:shd w:val="clear" w:color="auto" w:fill="FAF8F2"/>
          </w:tcPr>
          <w:p>
            <w:pPr>
              <w:spacing w:after="0"/>
            </w:pPr>
            <w:r>
              <w:rPr>
                <w:color w:val="1D1D1D"/>
                <w:sz w:val="16"/>
              </w:rPr>
              <w:t>0,005</w:t>
            </w:r>
          </w:p>
        </w:tc>
      </w:tr>
      <w:tr>
        <w:tc>
          <w:tcPr>
            <w:tcW w:type="dxa" w:w="4483"/>
          </w:tcPr>
          <w:p>
            <w:pPr>
              <w:spacing w:after="0"/>
            </w:pPr>
            <w:r>
              <w:rPr>
                <w:color w:val="1D1D1D"/>
                <w:sz w:val="16"/>
              </w:rPr>
              <w:t>VAN budgétaire centrale / consolidée (M USD)</w:t>
            </w:r>
          </w:p>
        </w:tc>
        <w:tc>
          <w:tcPr>
            <w:tcW w:type="dxa" w:w="4483"/>
          </w:tcPr>
          <w:p>
            <w:pPr>
              <w:spacing w:after="0"/>
            </w:pPr>
            <w:r>
              <w:rPr>
                <w:color w:val="1D1D1D"/>
                <w:sz w:val="16"/>
              </w:rPr>
              <w:t>35 / −28</w:t>
            </w:r>
          </w:p>
        </w:tc>
        <w:tc>
          <w:tcPr>
            <w:tcW w:type="dxa" w:w="672"/>
          </w:tcPr>
          <w:p>
            <w:pPr>
              <w:spacing w:after="0"/>
            </w:pPr>
            <w:r>
              <w:rPr>
                <w:color w:val="1D1D1D"/>
                <w:sz w:val="16"/>
              </w:rPr>
              <w:t>0,5</w:t>
            </w:r>
          </w:p>
        </w:tc>
      </w:tr>
      <w:tr>
        <w:tc>
          <w:tcPr>
            <w:tcW w:type="dxa" w:w="4483"/>
            <w:shd w:val="clear" w:color="auto" w:fill="FAF8F2"/>
          </w:tcPr>
          <w:p>
            <w:pPr>
              <w:spacing w:after="0"/>
            </w:pPr>
            <w:r>
              <w:rPr>
                <w:color w:val="1D1D1D"/>
                <w:sz w:val="16"/>
              </w:rPr>
              <w:t>Exposition maximale aux passifs éventuels (M USD)</w:t>
            </w:r>
          </w:p>
        </w:tc>
        <w:tc>
          <w:tcPr>
            <w:tcW w:type="dxa" w:w="4483"/>
            <w:shd w:val="clear" w:color="auto" w:fill="FAF8F2"/>
          </w:tcPr>
          <w:p>
            <w:pPr>
              <w:spacing w:after="0"/>
            </w:pPr>
            <w:r>
              <w:rPr>
                <w:color w:val="1D1D1D"/>
                <w:sz w:val="16"/>
              </w:rPr>
              <w:t>225</w:t>
            </w:r>
          </w:p>
        </w:tc>
        <w:tc>
          <w:tcPr>
            <w:tcW w:type="dxa" w:w="672"/>
            <w:shd w:val="clear" w:color="auto" w:fill="FAF8F2"/>
          </w:tcPr>
          <w:p>
            <w:pPr>
              <w:spacing w:after="0"/>
            </w:pPr>
            <w:r>
              <w:rPr>
                <w:color w:val="1D1D1D"/>
                <w:sz w:val="16"/>
              </w:rPr>
              <w:t>0,5</w:t>
            </w:r>
          </w:p>
        </w:tc>
      </w:tr>
      <w:tr>
        <w:tc>
          <w:tcPr>
            <w:tcW w:type="dxa" w:w="4483"/>
          </w:tcPr>
          <w:p>
            <w:pPr>
              <w:spacing w:after="0"/>
            </w:pPr>
            <w:r>
              <w:rPr>
                <w:color w:val="1D1D1D"/>
                <w:sz w:val="16"/>
              </w:rPr>
              <w:t>Capacité de paiement de l'acheteur, plus mauvaise des premières années</w:t>
            </w:r>
          </w:p>
        </w:tc>
        <w:tc>
          <w:tcPr>
            <w:tcW w:type="dxa" w:w="4483"/>
          </w:tcPr>
          <w:p>
            <w:pPr>
              <w:spacing w:after="0"/>
            </w:pPr>
            <w:r>
              <w:rPr>
                <w:color w:val="1D1D1D"/>
                <w:sz w:val="16"/>
              </w:rPr>
              <w:t>6,0x</w:t>
            </w:r>
          </w:p>
        </w:tc>
        <w:tc>
          <w:tcPr>
            <w:tcW w:type="dxa" w:w="672"/>
          </w:tcPr>
          <w:p>
            <w:pPr>
              <w:spacing w:after="0"/>
            </w:pPr>
            <w:r>
              <w:rPr>
                <w:color w:val="1D1D1D"/>
                <w:sz w:val="16"/>
              </w:rPr>
              <w:t>0,05</w:t>
            </w:r>
          </w:p>
        </w:tc>
      </w:tr>
      <w:tr>
        <w:tc>
          <w:tcPr>
            <w:tcW w:type="dxa" w:w="4483"/>
            <w:shd w:val="clear" w:color="auto" w:fill="FAF8F2"/>
          </w:tcPr>
          <w:p>
            <w:pPr>
              <w:spacing w:after="0"/>
            </w:pPr>
            <w:r>
              <w:rPr>
                <w:color w:val="1D1D1D"/>
                <w:sz w:val="16"/>
              </w:rPr>
              <w:t>Portes franchies (sur 23)</w:t>
            </w:r>
          </w:p>
        </w:tc>
        <w:tc>
          <w:tcPr>
            <w:tcW w:type="dxa" w:w="4483"/>
            <w:shd w:val="clear" w:color="auto" w:fill="FAF8F2"/>
          </w:tcPr>
          <w:p>
            <w:pPr>
              <w:spacing w:after="0"/>
            </w:pPr>
            <w:r>
              <w:rPr>
                <w:color w:val="1D1D1D"/>
                <w:sz w:val="16"/>
              </w:rPr>
              <w:t>6</w:t>
            </w:r>
          </w:p>
        </w:tc>
        <w:tc>
          <w:tcPr>
            <w:tcW w:type="dxa" w:w="672"/>
            <w:shd w:val="clear" w:color="auto" w:fill="FAF8F2"/>
          </w:tcPr>
          <w:p>
            <w:pPr>
              <w:spacing w:after="0"/>
            </w:pPr>
            <w:r>
              <w:rPr>
                <w:color w:val="1D1D1D"/>
                <w:sz w:val="16"/>
              </w:rPr>
              <w:t>0</w:t>
            </w:r>
          </w:p>
        </w:tc>
      </w:tr>
      <w:tr>
        <w:tc>
          <w:tcPr>
            <w:tcW w:type="dxa" w:w="4483"/>
          </w:tcPr>
          <w:p>
            <w:pPr>
              <w:spacing w:after="0"/>
            </w:pPr>
            <w:r>
              <w:rPr>
                <w:color w:val="1D1D1D"/>
                <w:sz w:val="16"/>
              </w:rPr>
              <w:t>Décision de bouclage financier</w:t>
            </w:r>
          </w:p>
        </w:tc>
        <w:tc>
          <w:tcPr>
            <w:tcW w:type="dxa" w:w="4483"/>
          </w:tcPr>
          <w:p>
            <w:pPr>
              <w:spacing w:after="0"/>
            </w:pPr>
            <w:r>
              <w:rPr>
                <w:i/>
                <w:color w:val="1D1D1D"/>
                <w:sz w:val="16"/>
              </w:rPr>
              <w:t>"STOP: a critical gate is not met"</w:t>
            </w:r>
            <w:r>
              <w:rPr>
                <w:color w:val="1D1D1D"/>
                <w:sz w:val="16"/>
              </w:rPr>
              <w:t xml:space="preserve"> (STOP : une porte critique n'est pas franchie)</w:t>
            </w:r>
          </w:p>
        </w:tc>
        <w:tc>
          <w:tcPr>
            <w:tcW w:type="dxa" w:w="672"/>
          </w:tcPr>
          <w:p>
            <w:pPr>
              <w:spacing w:after="0"/>
            </w:pPr>
            <w:r>
              <w:rPr>
                <w:color w:val="1D1D1D"/>
                <w:sz w:val="16"/>
              </w:rPr>
              <w:t>exacte</w:t>
            </w:r>
          </w:p>
        </w:tc>
      </w:tr>
      <w:tr>
        <w:tc>
          <w:tcPr>
            <w:tcW w:type="dxa" w:w="4483"/>
            <w:shd w:val="clear" w:color="auto" w:fill="FAF8F2"/>
          </w:tcPr>
          <w:p>
            <w:pPr>
              <w:spacing w:after="0"/>
            </w:pPr>
            <w:r>
              <w:rPr>
                <w:color w:val="1D1D1D"/>
                <w:sz w:val="16"/>
              </w:rPr>
              <w:t>Filtre budgétaire</w:t>
            </w:r>
          </w:p>
        </w:tc>
        <w:tc>
          <w:tcPr>
            <w:tcW w:type="dxa" w:w="4483"/>
            <w:shd w:val="clear" w:color="auto" w:fill="FAF8F2"/>
          </w:tcPr>
          <w:p>
            <w:pPr>
              <w:spacing w:after="0"/>
            </w:pPr>
            <w:r>
              <w:rPr>
                <w:i/>
                <w:color w:val="1D1D1D"/>
                <w:sz w:val="16"/>
              </w:rPr>
              <w:t>"LOW additional fiscal pressure"</w:t>
            </w:r>
            <w:r>
              <w:rPr>
                <w:color w:val="1D1D1D"/>
                <w:sz w:val="16"/>
              </w:rPr>
              <w:t xml:space="preserve"> (pression budgétaire supplémentaire FAIBLE)</w:t>
            </w:r>
          </w:p>
        </w:tc>
        <w:tc>
          <w:tcPr>
            <w:tcW w:type="dxa" w:w="672"/>
            <w:shd w:val="clear" w:color="auto" w:fill="FAF8F2"/>
          </w:tcPr>
          <w:p>
            <w:pPr>
              <w:spacing w:after="0"/>
            </w:pPr>
            <w:r>
              <w:rPr>
                <w:color w:val="1D1D1D"/>
                <w:sz w:val="16"/>
              </w:rPr>
              <w:t>exacte</w:t>
            </w:r>
          </w:p>
        </w:tc>
      </w:tr>
    </w:tbl>
    <w:p>
      <w:pPr>
        <w:spacing w:after="40"/>
      </w:pPr>
    </w:p>
    <w:p>
      <w:pPr>
        <w:jc w:val="both"/>
      </w:pPr>
      <w:r>
        <w:rPr/>
        <w:t>Chaque ligne affiche PASS (conforme) ou CHECK (à vérifier), et la feuille affiche ALL PASS (tout est conforme) ou « n TO CHECK » (n à vérifier). Le contrôle n'est valable qu'avec les données d'entrée par défaut (cas de base, structure PIE, dette dimensionnée dans le modèle). Après une modification des données d'entrée, des lignes CHECK sont normales.</w:t>
      </w:r>
    </w:p>
    <w:p>
      <w:r>
        <w:br w:type="page"/>
      </w:r>
    </w:p>
    <w:p>
      <w:pPr>
        <w:pStyle w:val="Heading1"/>
        <w:pBdr>
          <w:bottom w:val="single" w:sz="12" w:space="4" w:color="B07C0F"/>
        </w:pBdr>
      </w:pPr>
      <w:r>
        <w:t>10. Liste de contrôle d'audit pour les relecteurs</w:t>
      </w:r>
    </w:p>
    <w:p>
      <w:pPr>
        <w:spacing w:after="60"/>
        <w:ind w:left="397" w:hanging="397"/>
      </w:pPr>
      <w:r>
        <w:rPr/>
        <w:t>1.</w:t>
        <w:tab/>
      </w:r>
      <w:r>
        <w:rPr>
          <w:i/>
        </w:rPr>
        <w:t>33_CHECKS</w:t>
      </w:r>
      <w:r>
        <w:rPr/>
        <w:t xml:space="preserve"> affiche ALL OK dans le cas examiné, et </w:t>
      </w:r>
      <w:r>
        <w:rPr>
          <w:i/>
        </w:rPr>
        <w:t>35_BOOK_CHECK</w:t>
      </w:r>
      <w:r>
        <w:rPr/>
        <w:t xml:space="preserve"> affiche ALL PASS avec les données d'entrée par défaut.</w:t>
      </w:r>
    </w:p>
    <w:p>
      <w:pPr>
        <w:spacing w:after="60"/>
        <w:ind w:left="397" w:hanging="397"/>
      </w:pPr>
      <w:r>
        <w:rPr/>
        <w:t>2.</w:t>
        <w:tab/>
        <w:t xml:space="preserve">Le classeur s'ouvre dans Excel sans réparation. S'il a été enregistré par LibreOffice, </w:t>
      </w:r>
      <w:r>
        <w:rPr>
          <w:rFonts w:ascii="Courier New" w:hAnsi="Courier New"/>
        </w:rPr>
        <w:t>excel_quote_fix.py</w:t>
      </w:r>
      <w:r>
        <w:rPr/>
        <w:t xml:space="preserve"> lui a été appliqué.</w:t>
      </w:r>
    </w:p>
    <w:p>
      <w:pPr>
        <w:spacing w:after="60"/>
        <w:ind w:left="397" w:hanging="397"/>
      </w:pPr>
      <w:r>
        <w:rPr/>
        <w:t>3.</w:t>
        <w:tab/>
      </w:r>
      <w:r>
        <w:rPr>
          <w:rFonts w:ascii="Courier New" w:hAnsi="Courier New"/>
        </w:rPr>
        <w:t>check_cycles.py</w:t>
      </w:r>
      <w:r>
        <w:rPr/>
        <w:t xml:space="preserve"> ne signale aucun cycle après toute modification de </w:t>
      </w:r>
      <w:r>
        <w:rPr>
          <w:rFonts w:ascii="Courier New" w:hAnsi="Courier New"/>
        </w:rPr>
        <w:t>build_model.py</w:t>
      </w:r>
      <w:r>
        <w:rPr/>
        <w:t>.</w:t>
      </w:r>
    </w:p>
    <w:p>
      <w:pPr>
        <w:spacing w:after="60"/>
        <w:ind w:left="397" w:hanging="397"/>
      </w:pPr>
      <w:r>
        <w:rPr/>
        <w:t>4.</w:t>
        <w:tab/>
        <w:t>Chaque donnée d'entrée en bleu a une source ou une note d'hypothèse explicite ; les valeurs fictives (données pays de Navaria, coût unitaire de référence, coût de la ligne, comptes de la compagnie d'électricité, statuts réglementaires, étapes de développement) ont été remplacées.</w:t>
      </w:r>
    </w:p>
    <w:p>
      <w:pPr>
        <w:spacing w:after="60"/>
        <w:ind w:left="397" w:hanging="397"/>
      </w:pPr>
      <w:r>
        <w:rPr/>
        <w:t>5.</w:t>
        <w:tab/>
        <w:t>Le cas prêteurs correspond au cas convenu avec le conseiller technique des prêteurs (LTA), et une sécheresse pluriannuelle a été testée séparément.</w:t>
      </w:r>
    </w:p>
    <w:p>
      <w:pPr>
        <w:spacing w:after="60"/>
        <w:ind w:left="397" w:hanging="397"/>
      </w:pPr>
      <w:r>
        <w:rPr/>
        <w:t>6.</w:t>
        <w:tab/>
        <w:t xml:space="preserve">Les résultats des stress ont été lus avec le financement figé, et les données d'entrée figées de </w:t>
      </w:r>
      <w:r>
        <w:rPr>
          <w:i/>
        </w:rPr>
        <w:t>18_DEBT</w:t>
      </w:r>
      <w:r>
        <w:rPr/>
        <w:t xml:space="preserve"> (C6 à C9 et ligne 12) contiennent les valeurs du cas de base, et non les valeurs provisoires livrées avec le fichier.</w:t>
      </w:r>
    </w:p>
    <w:p>
      <w:pPr>
        <w:spacing w:after="60"/>
        <w:ind w:left="397" w:hanging="397"/>
      </w:pPr>
      <w:r>
        <w:rPr/>
        <w:t>7.</w:t>
        <w:tab/>
        <w:t>La contrainte qui dimensionne la dette (taux d'endettement ou couverture) est indiquée, avec le plafond d'endettement et le DSCR de dimensionnement.</w:t>
      </w:r>
    </w:p>
    <w:p>
      <w:pPr>
        <w:spacing w:after="60"/>
        <w:ind w:left="397" w:hanging="397"/>
      </w:pPr>
      <w:r>
        <w:rPr/>
        <w:t>8.</w:t>
        <w:tab/>
        <w:t>Les données d'entrée de la compagnie d'électricité concordent avec ses comptes audités ; le scénario contrefactuel est compris ; la VAN budgétaire consolidée est présentée à côté de la VAN centrale.</w:t>
      </w:r>
    </w:p>
    <w:p>
      <w:pPr>
        <w:spacing w:after="60"/>
        <w:ind w:left="397" w:hanging="397"/>
      </w:pPr>
      <w:r>
        <w:rPr/>
        <w:t>9.</w:t>
        <w:tab/>
        <w:t xml:space="preserve">Les probabilités d'appel sur </w:t>
      </w:r>
      <w:r>
        <w:rPr>
          <w:i/>
        </w:rPr>
        <w:t>24_CONTINGENT_LIABILITIES</w:t>
      </w:r>
      <w:r>
        <w:rPr/>
        <w:t>, les probabilités par étape, la prime de développement et les taux d'actualisation sont documentés comme des jugements.</w:t>
      </w:r>
    </w:p>
    <w:p>
      <w:pPr>
        <w:spacing w:after="60"/>
        <w:ind w:left="397" w:hanging="397"/>
      </w:pPr>
      <w:r>
        <w:rPr/>
        <w:t>10.</w:t>
        <w:tab/>
        <w:t xml:space="preserve">Les seuils budgétaires de </w:t>
      </w:r>
      <w:r>
        <w:rPr>
          <w:i/>
        </w:rPr>
        <w:t>26_DEBT_SUSTAINABILITY</w:t>
      </w:r>
      <w:r>
        <w:rPr/>
        <w:t xml:space="preserve"> et les seuils des portes de </w:t>
      </w:r>
      <w:r>
        <w:rPr>
          <w:i/>
        </w:rPr>
        <w:t>30_BANKABILITY</w:t>
      </w:r>
      <w:r>
        <w:rPr/>
        <w:t xml:space="preserve"> ont été revus au regard de la politique du client et de la term sheet (feuille de modalités) des prêteurs.</w:t>
      </w:r>
    </w:p>
    <w:p>
      <w:pPr>
        <w:spacing w:after="60"/>
        <w:ind w:left="397" w:hanging="397"/>
      </w:pPr>
      <w:r>
        <w:rPr/>
        <w:t>11.</w:t>
        <w:tab/>
        <w:t xml:space="preserve">Chaque statut de preuve saisi comme MET (franchie) sur </w:t>
      </w:r>
      <w:r>
        <w:rPr>
          <w:i/>
        </w:rPr>
        <w:t>30A_CLOSE_READINESS</w:t>
      </w:r>
      <w:r>
        <w:rPr/>
        <w:t xml:space="preserve"> est assorti d'un document, d'un signataire et d'une date en colonne G.</w:t>
      </w:r>
    </w:p>
    <w:p>
      <w:pPr>
        <w:spacing w:after="60"/>
        <w:ind w:left="397" w:hanging="397"/>
      </w:pPr>
      <w:r>
        <w:rPr/>
        <w:t>12.</w:t>
        <w:tab/>
        <w:t>Les tableaux d'instantanés ont été régénérés après la dernière modification des données d'entrée ; l'horodatage est consigné.</w:t>
      </w:r>
    </w:p>
    <w:p>
      <w:pPr>
        <w:spacing w:after="60"/>
        <w:ind w:left="397" w:hanging="397"/>
      </w:pPr>
      <w:r>
        <w:rPr/>
        <w:t>13.</w:t>
        <w:tab/>
        <w:t xml:space="preserve">Le TRI du développeur n'est pas de −100 %, sauf si le flux de trésorerie n'admet réellement aucun taux ; si c'est le cas, examinez le flux de trésorerie sur </w:t>
      </w:r>
      <w:r>
        <w:rPr>
          <w:i/>
        </w:rPr>
        <w:t>01A_DEVELOPMENT</w:t>
      </w:r>
      <w:r>
        <w:rPr/>
        <w:t>, section F.</w:t>
      </w:r>
    </w:p>
    <w:p>
      <w:pPr>
        <w:spacing w:after="60"/>
        <w:ind w:left="397" w:hanging="397"/>
      </w:pPr>
      <w:r>
        <w:rPr/>
        <w:t>14.</w:t>
        <w:tab/>
        <w:t>Le DSCR minimum et le DSCR moyen ne sont pas égaux à la valeur provisoire 99 (absence de service de la dette).</w:t>
      </w:r>
    </w:p>
    <w:p>
      <w:r>
        <w:br w:type="page"/>
      </w:r>
    </w:p>
    <w:p>
      <w:pPr>
        <w:pStyle w:val="Heading1"/>
        <w:pBdr>
          <w:bottom w:val="single" w:sz="12" w:space="4" w:color="B07C0F"/>
        </w:pBdr>
      </w:pPr>
      <w:r>
        <w:t>11. Limites connues</w:t>
      </w:r>
    </w:p>
    <w:p>
      <w:pPr>
        <w:pStyle w:val="Heading2"/>
      </w:pPr>
      <w:r>
        <w:t>11.1 Ce que le modèle ne fait pas (Livre 7, annexe K)</w:t>
      </w:r>
    </w:p>
    <w:p>
      <w:pPr>
        <w:spacing w:after="60"/>
        <w:ind w:left="397" w:hanging="397"/>
      </w:pPr>
      <w:r>
        <w:rPr/>
        <w:t>•</w:t>
        <w:tab/>
        <w:t>Il est annuel : pas de tirages mensuels pendant la construction, pas de dispatching saisonnier, pas de prix différenciés en heures pleines et heures creuses.</w:t>
      </w:r>
    </w:p>
    <w:p>
      <w:pPr>
        <w:spacing w:after="60"/>
        <w:ind w:left="397" w:hanging="397"/>
      </w:pPr>
      <w:r>
        <w:rPr/>
        <w:t>•</w:t>
        <w:tab/>
        <w:t>La dette et les fonds propres sont tirés au prorata des dépenses, et non les fonds propres en premier, ce qui embellit légèrement le rendement des fonds propres.</w:t>
      </w:r>
    </w:p>
    <w:p>
      <w:pPr>
        <w:spacing w:after="60"/>
        <w:ind w:left="397" w:hanging="397"/>
      </w:pPr>
      <w:r>
        <w:rPr/>
        <w:t>•</w:t>
        <w:tab/>
        <w:t>Il n'y a ni intéressement du développeur (promote ou carried interest) ni prêts d'actionnaires.</w:t>
      </w:r>
    </w:p>
    <w:p>
      <w:pPr>
        <w:spacing w:after="60"/>
        <w:ind w:left="397" w:hanging="397"/>
      </w:pPr>
      <w:r>
        <w:rPr/>
        <w:t>•</w:t>
        <w:tab/>
        <w:t>Il n'y a pas de refinancement ; la revalorisation après la mise en service commerciale est évaluée directement.</w:t>
      </w:r>
    </w:p>
    <w:p>
      <w:pPr>
        <w:spacing w:after="60"/>
        <w:ind w:left="397" w:hanging="397"/>
      </w:pPr>
      <w:r>
        <w:rPr/>
        <w:t>•</w:t>
        <w:tab/>
        <w:t>Le choc de change est permanent en termes réels, sans répercussion sur les prix locaux.</w:t>
      </w:r>
    </w:p>
    <w:p>
      <w:pPr>
        <w:spacing w:after="60"/>
        <w:ind w:left="397" w:hanging="397"/>
      </w:pPr>
      <w:r>
        <w:rPr/>
        <w:t>•</w:t>
        <w:tab/>
        <w:t>Le modèle de la compagnie d'électricité ne comporte pas de bilan.</w:t>
      </w:r>
    </w:p>
    <w:p>
      <w:pPr>
        <w:spacing w:after="60"/>
        <w:ind w:left="397" w:hanging="397"/>
      </w:pPr>
      <w:r>
        <w:rPr/>
        <w:t>•</w:t>
        <w:tab/>
        <w:t>Les stress sont déterministes : pas de simulation de Monte-Carlo sur l'hydrologie et le change, pas de distribution conjointe de la sécheresse, du change et des difficultés de la compagnie d'électricité.</w:t>
      </w:r>
    </w:p>
    <w:p>
      <w:pPr>
        <w:spacing w:after="60"/>
        <w:ind w:left="397" w:hanging="397"/>
      </w:pPr>
      <w:r>
        <w:rPr/>
        <w:t>•</w:t>
        <w:tab/>
        <w:t>Les probabilités par étape, la prime de développement et le taux d'actualisation du développeur relèvent du jugement de l'utilisateur ; aucune donnée publique n'a été trouvée pour les calibrer pour l'hydroélectricité en Afrique.</w:t>
      </w:r>
    </w:p>
    <w:p>
      <w:pPr>
        <w:spacing w:after="60"/>
        <w:ind w:left="397" w:hanging="397"/>
      </w:pPr>
      <w:r>
        <w:rPr/>
        <w:t>•</w:t>
        <w:tab/>
        <w:t>Le modèle a été recalculé dans LibreOffice et reproduit par un second moteur de calcul ; un test dans Microsoft Excel reste à faire.</w:t>
      </w:r>
    </w:p>
    <w:p>
      <w:pPr>
        <w:pStyle w:val="Heading2"/>
      </w:pPr>
      <w:r>
        <w:t>11.2 Autres simplifications</w:t>
      </w:r>
    </w:p>
    <w:p>
      <w:pPr>
        <w:spacing w:after="60"/>
        <w:ind w:left="397" w:hanging="397"/>
      </w:pPr>
      <w:r>
        <w:rPr/>
        <w:t>•</w:t>
        <w:tab/>
        <w:t>Les valeurs P sont obtenues par approximation normale à partir du coefficient de variation (CV). L'énergie est calculée à partir des débits mensuels moyens de long terme, ce qui surestime l'énergie lorsque les débits dépassent le débit d'équipement certaines années.</w:t>
      </w:r>
    </w:p>
    <w:p>
      <w:pPr>
        <w:spacing w:after="60"/>
        <w:ind w:left="397" w:hanging="397"/>
      </w:pPr>
      <w:r>
        <w:rPr/>
        <w:t>•</w:t>
        <w:tab/>
        <w:t>Le P90 à dix ans utilise le facteur de persistance des grands échantillons (1+ρ)/(1−ρ)/n ; le facteur exact pour un échantillon fini avec n = 10 et ρ = 0,3 donne environ 0,3 % d'énergie en plus, de sorte que le modèle est légèrement prudent.</w:t>
      </w:r>
    </w:p>
    <w:p>
      <w:pPr>
        <w:spacing w:after="60"/>
        <w:ind w:left="397" w:hanging="397"/>
      </w:pPr>
      <w:r>
        <w:rPr/>
        <w:t>•</w:t>
        <w:tab/>
        <w:t>L'écrêtement est proportionnel : l'énergie livrée est égale à la production multipliée par MIN(1, MW d'évacuation / MW installés).</w:t>
      </w:r>
    </w:p>
    <w:p>
      <w:pPr>
        <w:spacing w:after="60"/>
        <w:ind w:left="397" w:hanging="397"/>
      </w:pPr>
      <w:r>
        <w:rPr/>
        <w:t>•</w:t>
        <w:tab/>
        <w:t>Le cas prêteurs utilise un impôt et des amortissements hors effet de levier, sans IDC ni commissions.</w:t>
      </w:r>
    </w:p>
    <w:p>
      <w:pPr>
        <w:spacing w:after="60"/>
        <w:ind w:left="397" w:hanging="397"/>
      </w:pPr>
      <w:r>
        <w:rPr/>
        <w:t>•</w:t>
        <w:tab/>
        <w:t>L'impôt est calculé sur les recettes encaissées, et non sur les recettes facturées.</w:t>
      </w:r>
    </w:p>
    <w:p>
      <w:pPr>
        <w:spacing w:after="60"/>
        <w:ind w:left="397" w:hanging="397"/>
      </w:pPr>
      <w:r>
        <w:rPr/>
        <w:t>•</w:t>
        <w:tab/>
        <w:t>Les charges d'exploitation de la compagnie d'électricité sont pour moitié fixes et pour moitié liées aux volumes ; le coût des autres approvisionnements est pour moitié indexé sur l'USD.</w:t>
      </w:r>
    </w:p>
    <w:p>
      <w:pPr>
        <w:spacing w:after="60"/>
        <w:ind w:left="397" w:hanging="397"/>
      </w:pPr>
      <w:r>
        <w:rPr/>
        <w:t>•</w:t>
        <w:tab/>
        <w:t>Les appels de garantie sont déterministes dans un scénario donné ; la perte attendue ne vaut que ce que valent les probabilités saisies.</w:t>
      </w:r>
    </w:p>
    <w:p>
      <w:pPr>
        <w:spacing w:after="60"/>
        <w:ind w:left="397" w:hanging="397"/>
      </w:pPr>
      <w:r>
        <w:rPr/>
        <w:t>•</w:t>
        <w:tab/>
        <w:t>L'indemnité de résiliation est simplifiée : dette plus le plus élevé de deux montants, les fonds propres non récupérés majorés d'une prime ou la valeur des distributions restantes au TRI cible.</w:t>
      </w:r>
    </w:p>
    <w:p>
      <w:pPr>
        <w:spacing w:after="60"/>
        <w:ind w:left="397" w:hanging="397"/>
      </w:pPr>
      <w:r>
        <w:rPr/>
        <w:t>•</w:t>
        <w:tab/>
        <w:t>Le filtre budgétaire est un filtre au niveau du projet et ne remplace pas l'analyse de viabilité de la dette (DSA) du FMI et de la Banque mondiale ni le PFRAM. Les autres CAE et garanties du même gouvernement ne sont pas agrégés.</w:t>
      </w:r>
    </w:p>
    <w:p>
      <w:pPr>
        <w:spacing w:after="60"/>
        <w:ind w:left="397" w:hanging="397"/>
      </w:pPr>
      <w:r>
        <w:rPr/>
        <w:t>•</w:t>
        <w:tab/>
        <w:t>Q3 (intérêt économique pour le système) n'est testée que par les portes relatives au réseau et au transport ; la comparaison avec le plan de développement au moindre coût de la compagnie d'électricité se fait hors du modèle (Livre 7, chapitre 17).</w:t>
      </w:r>
    </w:p>
    <w:p>
      <w:pPr>
        <w:spacing w:after="60"/>
        <w:ind w:left="397" w:hanging="397"/>
      </w:pPr>
      <w:r>
        <w:rPr/>
        <w:t>•</w:t>
        <w:tab/>
        <w:t>Les coûts de développement entrent dans le coût de la centrale à leur budget réel (9,0 millions USD), phasés et indexés avec les dépenses de construction, tandis que le flux de trésorerie du développeur reçoit au bouclage la dépense nominale sur le scénario de succès (8,6 millions USD) ; les deux montants ne sont pas rapprochés.</w:t>
      </w:r>
    </w:p>
    <w:p>
      <w:pPr>
        <w:spacing w:after="60"/>
        <w:ind w:left="397" w:hanging="397"/>
      </w:pPr>
      <w:r>
        <w:rPr/>
        <w:t>•</w:t>
        <w:tab/>
        <w:t xml:space="preserve">La marge de paiement de la compagnie d'électricité par MWh sur </w:t>
      </w:r>
      <w:r>
        <w:rPr>
          <w:i/>
        </w:rPr>
        <w:t>17A_STRUCTURES</w:t>
      </w:r>
      <w:r>
        <w:rPr/>
        <w:t xml:space="preserve"> (environ 956 USD/MWh pour Kasiri) divise toute la capacité de paiement soutenable de la compagnie par l'énergie du projet ; elle est élevée pour une petite centrale et mesure une capacité, pas un prix.</w:t>
      </w:r>
    </w:p>
    <w:p>
      <w:pPr>
        <w:pStyle w:val="Heading2"/>
      </w:pPr>
      <w:r>
        <w:t>11.3 Points mineurs ouverts issus du test indépendant</w:t>
      </w:r>
    </w:p>
    <w:p>
      <w:pPr>
        <w:jc w:val="both"/>
      </w:pPr>
      <w:r>
        <w:rPr/>
        <w:t>Le test indépendant (</w:t>
      </w:r>
      <w:r>
        <w:rPr>
          <w:rFonts w:ascii="Courier New" w:hAnsi="Courier New"/>
        </w:rPr>
        <w:t>docs/MODEL7_TEST_REPORT.md</w:t>
      </w:r>
      <w:r>
        <w:rPr/>
        <w:t>) a relevé cinq anomalies, qui ont été corrigées (apostrophes pour Excel, valeurs de repli du TRI du développeur, validation des sélecteurs, valeur provisoire du DSCR dans la porte 18, erreur sur le DSCR moyen). Points restant ouverts :</w:t>
      </w:r>
    </w:p>
    <w:p>
      <w:pPr>
        <w:spacing w:after="60"/>
        <w:ind w:left="397" w:hanging="397"/>
      </w:pPr>
      <w:r>
        <w:rPr/>
        <w:t>1.</w:t>
        <w:tab/>
        <w:t>Avec un débit nul de la rivière, le modèle ne se dégrade pas proprement : des erreurs de division apparaissent (P90/P50, LCOE, porte 1 et classement du tableau de bord).</w:t>
      </w:r>
    </w:p>
    <w:p>
      <w:pPr>
        <w:spacing w:after="60"/>
        <w:ind w:left="397" w:hanging="397"/>
      </w:pPr>
      <w:r>
        <w:rPr/>
        <w:t>2.</w:t>
        <w:tab/>
        <w:t>Le débit d'équipement n'est lié ni à la puissance installée ni au coût : l'augmenter ne change rien, car la puissance est plafonnée aux MW installés, et le réduire diminue l'énergie sans diminuer le coût. La ligne « puissance théorique au débit d'équipement » (</w:t>
      </w:r>
      <w:r>
        <w:rPr>
          <w:i/>
        </w:rPr>
        <w:t>"theoretical power at design flow"</w:t>
      </w:r>
      <w:r>
        <w:rPr/>
        <w:t xml:space="preserve">) de </w:t>
      </w:r>
      <w:r>
        <w:rPr>
          <w:i/>
        </w:rPr>
        <w:t>03_HYDROLOGY</w:t>
      </w:r>
      <w:r>
        <w:rPr/>
        <w:t xml:space="preserve"> ne fait pas partie de </w:t>
      </w:r>
      <w:r>
        <w:rPr>
          <w:i/>
        </w:rPr>
        <w:t>33_CHECKS</w:t>
      </w:r>
      <w:r>
        <w:rPr/>
        <w:t>.</w:t>
      </w:r>
    </w:p>
    <w:p>
      <w:pPr>
        <w:spacing w:after="60"/>
        <w:ind w:left="397" w:hanging="397"/>
      </w:pPr>
      <w:r>
        <w:rPr/>
        <w:t>3.</w:t>
        <w:tab/>
        <w:t>Avec un tarif nul et une dette figée, les promoteurs financent indéfiniment l'insuffisance de service de la dette ; le modèle ne déclenche jamais lui-même de défaut ni de résiliation.</w:t>
      </w:r>
    </w:p>
    <w:p>
      <w:pPr>
        <w:spacing w:after="60"/>
        <w:ind w:left="397" w:hanging="397"/>
      </w:pPr>
      <w:r>
        <w:rPr/>
        <w:t>4.</w:t>
        <w:tab/>
        <w:t>En l'absence de service de la dette, le DSCR minimum et le DSCR moyen affichent la valeur provisoire 99. La porte 18 est protégée par son test sur la dette, mais le test de DSCR de la porte 7 du filtre la noterait READY (prêt).</w:t>
      </w:r>
    </w:p>
    <w:p>
      <w:pPr>
        <w:spacing w:after="60"/>
        <w:ind w:left="397" w:hanging="397"/>
      </w:pPr>
      <w:r>
        <w:rPr/>
        <w:t>5.</w:t>
        <w:tab/>
        <w:t>Le TRI du développeur renvoie −1 si la première valeur de départ converge vers un taux de valeur absolue supérieure ou égale à 1, sans essayer les deux autres.</w:t>
      </w:r>
    </w:p>
    <w:p>
      <w:pPr>
        <w:jc w:val="both"/>
      </w:pPr>
      <w:r>
        <w:rPr/>
        <w:t>Le quatrième point ouvert cité dans l'annexe K, le libellé de la porte 18, est réglé dans le classeur : le libellé indique désormais « dans le cas sélectionné » (</w:t>
      </w:r>
      <w:r>
        <w:rPr>
          <w:i/>
        </w:rPr>
        <w:t>"in the selected case"</w:t>
      </w:r>
      <w:r>
        <w:rPr/>
        <w:t>).</w:t>
      </w:r>
    </w:p>
    <w:p>
      <w:pPr>
        <w:pStyle w:val="Heading2"/>
      </w:pPr>
      <w:r>
        <w:t>11.4 Points ouverts dans cette version candidate (4 octobre 2026)</w:t>
      </w:r>
    </w:p>
    <w:p>
      <w:pPr>
        <w:spacing w:after="60"/>
        <w:ind w:left="397" w:hanging="397"/>
      </w:pPr>
      <w:r>
        <w:rPr/>
        <w:t>1.</w:t>
        <w:tab/>
      </w:r>
      <w:r>
        <w:rPr>
          <w:i/>
        </w:rPr>
        <w:t>35_BOOK_CHECK</w:t>
      </w:r>
      <w:r>
        <w:rPr/>
        <w:t xml:space="preserve"> renvoie </w:t>
      </w:r>
      <w:r>
        <w:rPr>
          <w:rFonts w:ascii="Courier New" w:hAnsi="Courier New"/>
        </w:rPr>
        <w:t>#VALUE!</w:t>
      </w:r>
      <w:r>
        <w:rPr/>
        <w:t xml:space="preserve"> sur la ligne du TRI des fonds propres privés lorsque ce TRI vaut « n/a » (sans objet), c'est-à-dire pour la structure 1, qui ne comporte pas de fonds propres privés. Comme le script d'instantanés s'arrête à la moindre erreur de recalcul, une réexécution complète s'arrête à « Structure 1 ». Les tableaux de scénarios de </w:t>
      </w:r>
      <w:r>
        <w:rPr>
          <w:i/>
        </w:rPr>
        <w:t>27_SCENARIOS</w:t>
      </w:r>
      <w:r>
        <w:rPr/>
        <w:t xml:space="preserve">, </w:t>
      </w:r>
      <w:r>
        <w:rPr>
          <w:i/>
        </w:rPr>
        <w:t>17A_STRUCTURES</w:t>
      </w:r>
      <w:r>
        <w:rPr/>
        <w:t xml:space="preserve"> et </w:t>
      </w:r>
      <w:r>
        <w:rPr>
          <w:i/>
        </w:rPr>
        <w:t>28_SENSITIVITY</w:t>
      </w:r>
      <w:r>
        <w:rPr/>
        <w:t xml:space="preserve"> sont vides dans le classeur actuel, et </w:t>
      </w:r>
      <w:r>
        <w:rPr>
          <w:rFonts w:ascii="Courier New" w:hAnsi="Courier New"/>
        </w:rPr>
        <w:t>model/snapshot_results.json</w:t>
      </w:r>
      <w:r>
        <w:rPr/>
        <w:t xml:space="preserve"> provient de la dernière exécution complète, antérieure à l'ajout de </w:t>
      </w:r>
      <w:r>
        <w:rPr>
          <w:i/>
        </w:rPr>
        <w:t>34_FRAMEWORK_MAP</w:t>
      </w:r>
      <w:r>
        <w:rPr/>
        <w:t xml:space="preserve"> et de </w:t>
      </w:r>
      <w:r>
        <w:rPr>
          <w:i/>
        </w:rPr>
        <w:t>35_BOOK_CHECK</w:t>
      </w:r>
      <w:r>
        <w:rPr/>
        <w:t xml:space="preserve"> ; ses résultats de base concordent avec le contrôle de cohérence avec le livre.</w:t>
      </w:r>
    </w:p>
    <w:p>
      <w:pPr>
        <w:spacing w:after="60"/>
        <w:ind w:left="397" w:hanging="397"/>
      </w:pPr>
      <w:r>
        <w:rPr/>
        <w:t>2.</w:t>
        <w:tab/>
        <w:t xml:space="preserve">Le classeur livré a été enregistré en dernier par LibreOffice et ses formules ne comportent pas les apostrophes ; exécutez </w:t>
      </w:r>
      <w:r>
        <w:rPr>
          <w:rFonts w:ascii="Courier New" w:hAnsi="Courier New"/>
        </w:rPr>
        <w:t>excel_quote_fix.py</w:t>
      </w:r>
      <w:r>
        <w:rPr/>
        <w:t xml:space="preserve"> avant de l'ouvrir dans Excel.</w:t>
      </w:r>
    </w:p>
    <w:p>
      <w:pPr>
        <w:spacing w:after="60"/>
        <w:ind w:left="397" w:hanging="397"/>
      </w:pPr>
      <w:r>
        <w:rPr/>
        <w:t>3.</w:t>
        <w:tab/>
        <w:t>L'en-tête du tableau d'instantanés écrit par le script décrit la dette commerciale figée comme un « profil d'annuités » (</w:t>
      </w:r>
      <w:r>
        <w:rPr>
          <w:i/>
        </w:rPr>
        <w:t>"annuity profile"</w:t>
      </w:r>
      <w:r>
        <w:rPr/>
        <w:t>) ; l'échéancier figé est en réalité le principal sculpté du cas de base.</w:t>
      </w:r>
    </w:p>
    <w:p>
      <w:r>
        <w:br w:type="page"/>
      </w:r>
    </w:p>
    <w:p>
      <w:pPr>
        <w:pStyle w:val="Heading1"/>
        <w:pBdr>
          <w:bottom w:val="single" w:sz="12" w:space="4" w:color="B07C0F"/>
        </w:pBdr>
      </w:pPr>
      <w:r>
        <w:t>12. Reconstruire ou étendre le modèle</w:t>
      </w:r>
    </w:p>
    <w:p>
      <w:pPr>
        <w:pStyle w:val="Heading2"/>
      </w:pPr>
      <w:r>
        <w:t>12.1 Le générateur</w:t>
      </w:r>
    </w:p>
    <w:p>
      <w:pPr>
        <w:jc w:val="both"/>
      </w:pPr>
      <w:r>
        <w:rPr>
          <w:rFonts w:ascii="Courier New" w:hAnsi="Courier New"/>
        </w:rPr>
        <w:t>model/build_model.py</w:t>
      </w:r>
      <w:r>
        <w:rPr/>
        <w:t xml:space="preserve"> est la source unique de référence. Exécutez-le depuis la racine du dépôt ; il écrit </w:t>
      </w:r>
      <w:r>
        <w:rPr>
          <w:rFonts w:ascii="Courier New" w:hAnsi="Courier New"/>
        </w:rPr>
        <w:t>model/Bankable_Hydro_Model.xlsx</w:t>
      </w:r>
      <w:r>
        <w:rPr/>
        <w:t xml:space="preserve">, avec des formules uniquement (pas de valeurs en cache, recalcul complet à l'ouverture), ainsi que </w:t>
      </w:r>
      <w:r>
        <w:rPr>
          <w:rFonts w:ascii="Courier New" w:hAnsi="Courier New"/>
        </w:rPr>
        <w:t>model/model_map.json</w:t>
      </w:r>
      <w:r>
        <w:rPr/>
        <w:t>.</w:t>
      </w:r>
    </w:p>
    <w:p>
      <w:pPr>
        <w:jc w:val="both"/>
      </w:pPr>
      <w:r>
        <w:rPr/>
        <w:t>Chaque cellule est créée par l'une de trois fonctions utilitaires :</w:t>
      </w:r>
    </w:p>
    <w:tbl>
      <w:tblPr>
        <w:tblStyle w:val="TableGrid"/>
        <w:tblW w:type="auto" w:w="0"/>
        <w:jc w:val="center"/>
        <w:tblLook w:firstColumn="1" w:firstRow="1" w:lastColumn="0" w:lastRow="0" w:noHBand="0" w:noVBand="1" w:val="04A0"/>
      </w:tblPr>
      <w:tblGrid>
        <w:gridCol w:w="3213"/>
        <w:gridCol w:w="3213"/>
        <w:gridCol w:w="3213"/>
      </w:tblGrid>
      <w:tr>
        <w:tc>
          <w:tcPr>
            <w:tcW w:type="dxa" w:w="3964"/>
            <w:shd w:val="clear" w:color="auto" w:fill="0B3020"/>
          </w:tcPr>
          <w:p>
            <w:pPr>
              <w:spacing w:after="0"/>
            </w:pPr>
            <w:r>
              <w:rPr>
                <w:b/>
                <w:color w:val="FFFFFF"/>
                <w:sz w:val="16"/>
              </w:rPr>
              <w:t>Fonction</w:t>
            </w:r>
          </w:p>
        </w:tc>
        <w:tc>
          <w:tcPr>
            <w:tcW w:type="dxa" w:w="4101"/>
            <w:shd w:val="clear" w:color="auto" w:fill="0B3020"/>
          </w:tcPr>
          <w:p>
            <w:pPr>
              <w:spacing w:after="0"/>
            </w:pPr>
            <w:r>
              <w:rPr>
                <w:b/>
                <w:color w:val="FFFFFF"/>
                <w:sz w:val="16"/>
              </w:rPr>
              <w:t>Crée</w:t>
            </w:r>
          </w:p>
        </w:tc>
        <w:tc>
          <w:tcPr>
            <w:tcW w:type="dxa" w:w="1572"/>
            <w:shd w:val="clear" w:color="auto" w:fill="0B3020"/>
          </w:tcPr>
          <w:p>
            <w:pPr>
              <w:spacing w:after="0"/>
            </w:pPr>
            <w:r>
              <w:rPr>
                <w:b/>
                <w:color w:val="FFFFFF"/>
                <w:sz w:val="16"/>
              </w:rPr>
              <w:t>Enregistre</w:t>
            </w:r>
          </w:p>
        </w:tc>
      </w:tr>
      <w:tr>
        <w:tc>
          <w:tcPr>
            <w:tcW w:type="dxa" w:w="3964"/>
          </w:tcPr>
          <w:p>
            <w:pPr>
              <w:spacing w:after="0"/>
            </w:pPr>
            <w:r>
              <w:rPr>
                <w:rFonts w:ascii="Courier New" w:hAnsi="Courier New"/>
                <w:color w:val="1D1D1D"/>
                <w:sz w:val="16"/>
              </w:rPr>
              <w:t>inp(ws, r, name, label, value, unit, note, fmt, key)</w:t>
            </w:r>
          </w:p>
        </w:tc>
        <w:tc>
          <w:tcPr>
            <w:tcW w:type="dxa" w:w="4101"/>
          </w:tcPr>
          <w:p>
            <w:pPr>
              <w:spacing w:after="0"/>
            </w:pPr>
            <w:r>
              <w:rPr>
                <w:color w:val="1D1D1D"/>
                <w:sz w:val="16"/>
              </w:rPr>
              <w:t xml:space="preserve">Une donnée d'entrée en bleu dans la colonne C (fond jaune si </w:t>
            </w:r>
            <w:r>
              <w:rPr>
                <w:rFonts w:ascii="Courier New" w:hAnsi="Courier New"/>
                <w:color w:val="1D1D1D"/>
                <w:sz w:val="16"/>
              </w:rPr>
              <w:t>key</w:t>
            </w:r>
            <w:r>
              <w:rPr>
                <w:color w:val="1D1D1D"/>
                <w:sz w:val="16"/>
              </w:rPr>
              <w:t>)</w:t>
            </w:r>
          </w:p>
        </w:tc>
        <w:tc>
          <w:tcPr>
            <w:tcW w:type="dxa" w:w="1572"/>
          </w:tcPr>
          <w:p>
            <w:pPr>
              <w:spacing w:after="0"/>
            </w:pPr>
            <w:r>
              <w:rPr>
                <w:color w:val="1D1D1D"/>
                <w:sz w:val="16"/>
              </w:rPr>
              <w:t>Nom scalaire</w:t>
            </w:r>
          </w:p>
        </w:tc>
      </w:tr>
      <w:tr>
        <w:tc>
          <w:tcPr>
            <w:tcW w:type="dxa" w:w="3964"/>
            <w:shd w:val="clear" w:color="auto" w:fill="FAF8F2"/>
          </w:tcPr>
          <w:p>
            <w:pPr>
              <w:spacing w:after="0"/>
            </w:pPr>
            <w:r>
              <w:rPr>
                <w:rFonts w:ascii="Courier New" w:hAnsi="Courier New"/>
                <w:color w:val="1D1D1D"/>
                <w:sz w:val="16"/>
              </w:rPr>
              <w:t>calc(ws, r, name, label, template, unit, fmt, note, out)</w:t>
            </w:r>
          </w:p>
        </w:tc>
        <w:tc>
          <w:tcPr>
            <w:tcW w:type="dxa" w:w="4101"/>
            <w:shd w:val="clear" w:color="auto" w:fill="FAF8F2"/>
          </w:tcPr>
          <w:p>
            <w:pPr>
              <w:spacing w:after="0"/>
            </w:pPr>
            <w:r>
              <w:rPr>
                <w:color w:val="1D1D1D"/>
                <w:sz w:val="16"/>
              </w:rPr>
              <w:t xml:space="preserve">Une formule dans la colonne C (fond vert si </w:t>
            </w:r>
            <w:r>
              <w:rPr>
                <w:rFonts w:ascii="Courier New" w:hAnsi="Courier New"/>
                <w:color w:val="1D1D1D"/>
                <w:sz w:val="16"/>
              </w:rPr>
              <w:t>out</w:t>
            </w:r>
            <w:r>
              <w:rPr>
                <w:color w:val="1D1D1D"/>
                <w:sz w:val="16"/>
              </w:rPr>
              <w:t>)</w:t>
            </w:r>
          </w:p>
        </w:tc>
        <w:tc>
          <w:tcPr>
            <w:tcW w:type="dxa" w:w="1572"/>
            <w:shd w:val="clear" w:color="auto" w:fill="FAF8F2"/>
          </w:tcPr>
          <w:p>
            <w:pPr>
              <w:spacing w:after="0"/>
            </w:pPr>
            <w:r>
              <w:rPr>
                <w:color w:val="1D1D1D"/>
                <w:sz w:val="16"/>
              </w:rPr>
              <w:t>Nom scalaire</w:t>
            </w:r>
          </w:p>
        </w:tc>
      </w:tr>
      <w:tr>
        <w:tc>
          <w:tcPr>
            <w:tcW w:type="dxa" w:w="3964"/>
          </w:tcPr>
          <w:p>
            <w:pPr>
              <w:spacing w:after="0"/>
            </w:pPr>
            <w:r>
              <w:rPr>
                <w:rFonts w:ascii="Courier New" w:hAnsi="Courier New"/>
                <w:color w:val="1D1D1D"/>
                <w:sz w:val="16"/>
              </w:rPr>
              <w:t>ts(ws, r, name, label, unit, template, fmt, total, bold)</w:t>
            </w:r>
          </w:p>
        </w:tc>
        <w:tc>
          <w:tcPr>
            <w:tcW w:type="dxa" w:w="4101"/>
          </w:tcPr>
          <w:p>
            <w:pPr>
              <w:spacing w:after="0"/>
            </w:pPr>
            <w:r>
              <w:rPr>
                <w:color w:val="1D1D1D"/>
                <w:sz w:val="16"/>
              </w:rPr>
              <w:t>Une formule dans chacune des colonnes E à AR, avec un total facultatif en C (</w:t>
            </w:r>
            <w:r>
              <w:rPr>
                <w:rFonts w:ascii="Courier New" w:hAnsi="Courier New"/>
                <w:color w:val="1D1D1D"/>
                <w:sz w:val="16"/>
              </w:rPr>
              <w:t>sum</w:t>
            </w:r>
            <w:r>
              <w:rPr>
                <w:color w:val="1D1D1D"/>
                <w:sz w:val="16"/>
              </w:rPr>
              <w:t xml:space="preserve">, </w:t>
            </w:r>
            <w:r>
              <w:rPr>
                <w:rFonts w:ascii="Courier New" w:hAnsi="Courier New"/>
                <w:color w:val="1D1D1D"/>
                <w:sz w:val="16"/>
              </w:rPr>
              <w:t>max</w:t>
            </w:r>
            <w:r>
              <w:rPr>
                <w:color w:val="1D1D1D"/>
                <w:sz w:val="16"/>
              </w:rPr>
              <w:t xml:space="preserve">, </w:t>
            </w:r>
            <w:r>
              <w:rPr>
                <w:rFonts w:ascii="Courier New" w:hAnsi="Courier New"/>
                <w:color w:val="1D1D1D"/>
                <w:sz w:val="16"/>
              </w:rPr>
              <w:t>min</w:t>
            </w:r>
            <w:r>
              <w:rPr>
                <w:color w:val="1D1D1D"/>
                <w:sz w:val="16"/>
              </w:rPr>
              <w:t xml:space="preserve"> ou une formule)</w:t>
            </w:r>
          </w:p>
        </w:tc>
        <w:tc>
          <w:tcPr>
            <w:tcW w:type="dxa" w:w="1572"/>
          </w:tcPr>
          <w:p>
            <w:pPr>
              <w:spacing w:after="0"/>
            </w:pPr>
            <w:r>
              <w:rPr>
                <w:color w:val="1D1D1D"/>
                <w:sz w:val="16"/>
              </w:rPr>
              <w:t>Nom de série temporelle</w:t>
            </w:r>
          </w:p>
        </w:tc>
      </w:tr>
    </w:tbl>
    <w:p>
      <w:pPr>
        <w:spacing w:after="40"/>
      </w:pPr>
    </w:p>
    <w:p>
      <w:pPr>
        <w:jc w:val="both"/>
      </w:pPr>
      <w:r>
        <w:rPr/>
        <w:t>Les formules sont écrites une seule fois sous forme de modèles et résolues une fois toutes les feuilles construites, de sorte que les feuilles peuvent se référer les unes aux autres quel que soit l'ordre de construction :</w:t>
      </w:r>
    </w:p>
    <w:tbl>
      <w:tblPr>
        <w:tblStyle w:val="TableGrid"/>
        <w:tblW w:type="auto" w:w="0"/>
        <w:jc w:val="center"/>
        <w:tblLook w:firstColumn="1" w:firstRow="1" w:lastColumn="0" w:lastRow="0" w:noHBand="0" w:noVBand="1" w:val="04A0"/>
      </w:tblPr>
      <w:tblGrid>
        <w:gridCol w:w="4819"/>
        <w:gridCol w:w="4819"/>
      </w:tblGrid>
      <w:tr>
        <w:tc>
          <w:tcPr>
            <w:tcW w:type="dxa" w:w="2671"/>
            <w:shd w:val="clear" w:color="auto" w:fill="0B3020"/>
          </w:tcPr>
          <w:p>
            <w:pPr>
              <w:spacing w:after="0"/>
            </w:pPr>
            <w:r>
              <w:rPr>
                <w:b/>
                <w:color w:val="FFFFFF"/>
                <w:sz w:val="16"/>
              </w:rPr>
              <w:t>Modèle</w:t>
            </w:r>
          </w:p>
        </w:tc>
        <w:tc>
          <w:tcPr>
            <w:tcW w:type="dxa" w:w="6967"/>
            <w:shd w:val="clear" w:color="auto" w:fill="0B3020"/>
          </w:tcPr>
          <w:p>
            <w:pPr>
              <w:spacing w:after="0"/>
            </w:pPr>
            <w:r>
              <w:rPr>
                <w:b/>
                <w:color w:val="FFFFFF"/>
                <w:sz w:val="16"/>
              </w:rPr>
              <w:t>Se résout en</w:t>
            </w:r>
          </w:p>
        </w:tc>
      </w:tr>
      <w:tr>
        <w:tc>
          <w:tcPr>
            <w:tcW w:type="dxa" w:w="2671"/>
          </w:tcPr>
          <w:p>
            <w:pPr>
              <w:spacing w:after="0"/>
            </w:pPr>
            <w:r>
              <w:rPr>
                <w:rFonts w:ascii="Courier New" w:hAnsi="Courier New"/>
                <w:color w:val="1D1D1D"/>
                <w:sz w:val="16"/>
              </w:rPr>
              <w:t>{name}</w:t>
            </w:r>
          </w:p>
        </w:tc>
        <w:tc>
          <w:tcPr>
            <w:tcW w:type="dxa" w:w="6967"/>
          </w:tcPr>
          <w:p>
            <w:pPr>
              <w:spacing w:after="0"/>
            </w:pPr>
            <w:r>
              <w:rPr>
                <w:color w:val="1D1D1D"/>
                <w:sz w:val="16"/>
              </w:rPr>
              <w:t>Référence absolue à une cellule scalaire</w:t>
            </w:r>
          </w:p>
        </w:tc>
      </w:tr>
      <w:tr>
        <w:tc>
          <w:tcPr>
            <w:tcW w:type="dxa" w:w="2671"/>
            <w:shd w:val="clear" w:color="auto" w:fill="FAF8F2"/>
          </w:tcPr>
          <w:p>
            <w:pPr>
              <w:spacing w:after="0"/>
            </w:pPr>
            <w:r>
              <w:rPr>
                <w:rFonts w:ascii="Courier New" w:hAnsi="Courier New"/>
                <w:color w:val="1D1D1D"/>
                <w:sz w:val="16"/>
              </w:rPr>
              <w:t>[name]</w:t>
            </w:r>
          </w:p>
        </w:tc>
        <w:tc>
          <w:tcPr>
            <w:tcW w:type="dxa" w:w="6967"/>
            <w:shd w:val="clear" w:color="auto" w:fill="FAF8F2"/>
          </w:tcPr>
          <w:p>
            <w:pPr>
              <w:spacing w:after="0"/>
            </w:pPr>
            <w:r>
              <w:rPr>
                <w:color w:val="1D1D1D"/>
                <w:sz w:val="16"/>
              </w:rPr>
              <w:t>Cellule de la même colonne d'une ligne de série temporelle</w:t>
            </w:r>
          </w:p>
        </w:tc>
      </w:tr>
      <w:tr>
        <w:tc>
          <w:tcPr>
            <w:tcW w:type="dxa" w:w="2671"/>
          </w:tcPr>
          <w:p>
            <w:pPr>
              <w:spacing w:after="0"/>
            </w:pPr>
            <w:r>
              <w:rPr>
                <w:rFonts w:ascii="Courier New" w:hAnsi="Courier New"/>
                <w:color w:val="1D1D1D"/>
                <w:sz w:val="16"/>
              </w:rPr>
              <w:t>[name@p]</w:t>
            </w:r>
            <w:r>
              <w:rPr>
                <w:color w:val="1D1D1D"/>
                <w:sz w:val="16"/>
              </w:rPr>
              <w:t xml:space="preserve"> / </w:t>
            </w:r>
            <w:r>
              <w:rPr>
                <w:rFonts w:ascii="Courier New" w:hAnsi="Courier New"/>
                <w:color w:val="1D1D1D"/>
                <w:sz w:val="16"/>
              </w:rPr>
              <w:t>[name@n]</w:t>
            </w:r>
          </w:p>
        </w:tc>
        <w:tc>
          <w:tcPr>
            <w:tcW w:type="dxa" w:w="6967"/>
          </w:tcPr>
          <w:p>
            <w:pPr>
              <w:spacing w:after="0"/>
            </w:pPr>
            <w:r>
              <w:rPr>
                <w:color w:val="1D1D1D"/>
                <w:sz w:val="16"/>
              </w:rPr>
              <w:t>Colonne précédente / suivante d'une ligne de série temporelle</w:t>
            </w:r>
          </w:p>
        </w:tc>
      </w:tr>
      <w:tr>
        <w:tc>
          <w:tcPr>
            <w:tcW w:type="dxa" w:w="2671"/>
            <w:shd w:val="clear" w:color="auto" w:fill="FAF8F2"/>
          </w:tcPr>
          <w:p>
            <w:pPr>
              <w:spacing w:after="0"/>
            </w:pPr>
            <w:r>
              <w:rPr>
                <w:rFonts w:ascii="Courier New" w:hAnsi="Courier New"/>
                <w:color w:val="1D1D1D"/>
                <w:sz w:val="16"/>
              </w:rPr>
              <w:t>[RNG:name]</w:t>
            </w:r>
          </w:p>
        </w:tc>
        <w:tc>
          <w:tcPr>
            <w:tcW w:type="dxa" w:w="6967"/>
            <w:shd w:val="clear" w:color="auto" w:fill="FAF8F2"/>
          </w:tcPr>
          <w:p>
            <w:pPr>
              <w:spacing w:after="0"/>
            </w:pPr>
            <w:r>
              <w:rPr>
                <w:color w:val="1D1D1D"/>
                <w:sz w:val="16"/>
              </w:rPr>
              <w:t>Plage absolue complète E à AR d'une ligne de série temporelle</w:t>
            </w:r>
          </w:p>
        </w:tc>
      </w:tr>
      <w:tr>
        <w:tc>
          <w:tcPr>
            <w:tcW w:type="dxa" w:w="2671"/>
          </w:tcPr>
          <w:p>
            <w:pPr>
              <w:spacing w:after="0"/>
            </w:pPr>
            <w:r>
              <w:rPr>
                <w:rFonts w:ascii="Courier New" w:hAnsi="Courier New"/>
                <w:color w:val="1D1D1D"/>
                <w:sz w:val="16"/>
              </w:rPr>
              <w:t>[C:name]</w:t>
            </w:r>
          </w:p>
        </w:tc>
        <w:tc>
          <w:tcPr>
            <w:tcW w:type="dxa" w:w="6967"/>
          </w:tcPr>
          <w:p>
            <w:pPr>
              <w:spacing w:after="0"/>
            </w:pPr>
            <w:r>
              <w:rPr>
                <w:color w:val="1D1D1D"/>
                <w:sz w:val="16"/>
              </w:rPr>
              <w:t>Colonne C (total ou valeur clé) d'une ligne de série temporelle</w:t>
            </w:r>
          </w:p>
        </w:tc>
      </w:tr>
      <w:tr>
        <w:tc>
          <w:tcPr>
            <w:tcW w:type="dxa" w:w="2671"/>
            <w:shd w:val="clear" w:color="auto" w:fill="FAF8F2"/>
          </w:tcPr>
          <w:p>
            <w:pPr>
              <w:spacing w:after="0"/>
            </w:pPr>
            <w:r>
              <w:rPr>
                <w:rFonts w:ascii="Courier New" w:hAnsi="Courier New"/>
                <w:color w:val="1D1D1D"/>
                <w:sz w:val="16"/>
              </w:rPr>
              <w:t>#T#</w:t>
            </w:r>
          </w:p>
        </w:tc>
        <w:tc>
          <w:tcPr>
            <w:tcW w:type="dxa" w:w="6967"/>
            <w:shd w:val="clear" w:color="auto" w:fill="FAF8F2"/>
          </w:tcPr>
          <w:p>
            <w:pPr>
              <w:spacing w:after="0"/>
            </w:pPr>
            <w:r>
              <w:rPr>
                <w:color w:val="1D1D1D"/>
                <w:sz w:val="16"/>
              </w:rPr>
              <w:t>Indice de période t de la colonne courante</w:t>
            </w:r>
          </w:p>
        </w:tc>
      </w:tr>
    </w:tbl>
    <w:p>
      <w:pPr>
        <w:spacing w:after="40"/>
      </w:pPr>
    </w:p>
    <w:p>
      <w:pPr>
        <w:jc w:val="both"/>
      </w:pPr>
      <w:r>
        <w:rPr/>
        <w:t>Les noms sont uniques : les fonctions utilitaires lèvent une erreur en cas de doublon. Les formules qui renvoient à une seule cellule d'une autre feuille sont automatiquement colorées en vert.</w:t>
      </w:r>
    </w:p>
    <w:p>
      <w:pPr>
        <w:pStyle w:val="Heading2"/>
      </w:pPr>
      <w:r>
        <w:t>12.2 Ajouter ou modifier une ligne</w:t>
      </w:r>
    </w:p>
    <w:p>
      <w:pPr>
        <w:spacing w:after="60"/>
        <w:ind w:left="397" w:hanging="397"/>
      </w:pPr>
      <w:r>
        <w:rPr/>
        <w:t>1.</w:t>
        <w:tab/>
        <w:t xml:space="preserve">Ajoutez un appel </w:t>
      </w:r>
      <w:r>
        <w:rPr>
          <w:rFonts w:ascii="Courier New" w:hAnsi="Courier New"/>
        </w:rPr>
        <w:t>inp()</w:t>
      </w:r>
      <w:r>
        <w:rPr/>
        <w:t xml:space="preserve">, </w:t>
      </w:r>
      <w:r>
        <w:rPr>
          <w:rFonts w:ascii="Courier New" w:hAnsi="Courier New"/>
        </w:rPr>
        <w:t>calc()</w:t>
      </w:r>
      <w:r>
        <w:rPr/>
        <w:t xml:space="preserve"> ou </w:t>
      </w:r>
      <w:r>
        <w:rPr>
          <w:rFonts w:ascii="Courier New" w:hAnsi="Courier New"/>
        </w:rPr>
        <w:t>ts()</w:t>
      </w:r>
      <w:r>
        <w:rPr/>
        <w:t xml:space="preserve"> sur la bonne feuille, en utilisant des noms existants dans le modèle de formule.</w:t>
      </w:r>
    </w:p>
    <w:p>
      <w:pPr>
        <w:spacing w:after="60"/>
        <w:ind w:left="397" w:hanging="397"/>
      </w:pPr>
      <w:r>
        <w:rPr/>
        <w:t>2.</w:t>
        <w:tab/>
        <w:t xml:space="preserve">Si la ligne alimente une porte, ajoutez-la à la liste </w:t>
      </w:r>
      <w:r>
        <w:rPr>
          <w:rFonts w:ascii="Courier New" w:hAnsi="Courier New"/>
        </w:rPr>
        <w:t>GATES</w:t>
      </w:r>
      <w:r>
        <w:rPr/>
        <w:t xml:space="preserve"> (filtre) ou à </w:t>
      </w:r>
      <w:r>
        <w:rPr>
          <w:rFonts w:ascii="Courier New" w:hAnsi="Courier New"/>
        </w:rPr>
        <w:t>GATES_FC</w:t>
      </w:r>
      <w:r>
        <w:rPr/>
        <w:t xml:space="preserve"> et </w:t>
      </w:r>
      <w:r>
        <w:rPr>
          <w:rFonts w:ascii="Courier New" w:hAnsi="Courier New"/>
        </w:rPr>
        <w:t>GATE_Q</w:t>
      </w:r>
      <w:r>
        <w:rPr/>
        <w:t xml:space="preserve"> (maturité pour le bouclage) ; la carte du cadre est générée à partir de ces listes.</w:t>
      </w:r>
    </w:p>
    <w:p>
      <w:pPr>
        <w:spacing w:after="60"/>
        <w:ind w:left="397" w:hanging="397"/>
      </w:pPr>
      <w:r>
        <w:rPr/>
        <w:t>3.</w:t>
        <w:tab/>
        <w:t xml:space="preserve">Si la ligne doit être suivie par le script d'instantanés, ajoutez son nom à </w:t>
      </w:r>
      <w:r>
        <w:rPr>
          <w:rFonts w:ascii="Courier New" w:hAnsi="Courier New"/>
        </w:rPr>
        <w:t>KPIS</w:t>
      </w:r>
      <w:r>
        <w:rPr/>
        <w:t xml:space="preserve">, </w:t>
      </w:r>
      <w:r>
        <w:rPr>
          <w:rFonts w:ascii="Courier New" w:hAnsi="Courier New"/>
        </w:rPr>
        <w:t>EXTRA</w:t>
      </w:r>
      <w:r>
        <w:rPr/>
        <w:t xml:space="preserve"> ou </w:t>
      </w:r>
      <w:r>
        <w:rPr>
          <w:rFonts w:ascii="Courier New" w:hAnsi="Courier New"/>
        </w:rPr>
        <w:t>TS_SAVE</w:t>
      </w:r>
      <w:r>
        <w:rPr/>
        <w:t xml:space="preserve"> dans </w:t>
      </w:r>
      <w:r>
        <w:rPr>
          <w:rFonts w:ascii="Courier New" w:hAnsi="Courier New"/>
        </w:rPr>
        <w:t>tools/run_snapshots.py</w:t>
      </w:r>
      <w:r>
        <w:rPr/>
        <w:t>.</w:t>
      </w:r>
    </w:p>
    <w:p>
      <w:pPr>
        <w:spacing w:after="60"/>
        <w:ind w:left="397" w:hanging="397"/>
      </w:pPr>
      <w:r>
        <w:rPr/>
        <w:t>4.</w:t>
        <w:tab/>
        <w:t xml:space="preserve">Si un chiffre publié pour Kasiri change, mettez à jour la liste </w:t>
      </w:r>
      <w:r>
        <w:rPr>
          <w:rFonts w:ascii="Courier New" w:hAnsi="Courier New"/>
        </w:rPr>
        <w:t>BOOK_CHECKS</w:t>
      </w:r>
      <w:r>
        <w:rPr/>
        <w:t xml:space="preserve"> qui construit </w:t>
      </w:r>
      <w:r>
        <w:rPr>
          <w:i/>
        </w:rPr>
        <w:t>35_BOOK_CHECK</w:t>
      </w:r>
      <w:r>
        <w:rPr/>
        <w:t>, ainsi que le livre.</w:t>
      </w:r>
    </w:p>
    <w:p>
      <w:pPr>
        <w:spacing w:after="60"/>
        <w:ind w:left="397" w:hanging="397"/>
      </w:pPr>
      <w:r>
        <w:rPr/>
        <w:t>5.</w:t>
        <w:tab/>
        <w:t xml:space="preserve">Reconstruisez le classeur, puis exécutez </w:t>
      </w:r>
      <w:r>
        <w:rPr>
          <w:rFonts w:ascii="Courier New" w:hAnsi="Courier New"/>
        </w:rPr>
        <w:t>tools/model/check_cycles.py</w:t>
      </w:r>
      <w:r>
        <w:rPr/>
        <w:t xml:space="preserve"> sur le nouveau fichier pour vérifier qu'il n'y a pas de référence circulaire.</w:t>
      </w:r>
    </w:p>
    <w:p>
      <w:pPr>
        <w:spacing w:after="60"/>
        <w:ind w:left="397" w:hanging="397"/>
      </w:pPr>
      <w:r>
        <w:rPr/>
        <w:t>6.</w:t>
        <w:tab/>
        <w:t xml:space="preserve">Recalculez (LibreOffice via le script d'instantanés, ou ouverture et enregistrement dans Excel), exécutez </w:t>
      </w:r>
      <w:r>
        <w:rPr>
          <w:rFonts w:ascii="Courier New" w:hAnsi="Courier New"/>
        </w:rPr>
        <w:t>excel_quote_fix.py</w:t>
      </w:r>
      <w:r>
        <w:rPr/>
        <w:t xml:space="preserve"> si LibreOffice a enregistré le fichier, et vérifiez que </w:t>
      </w:r>
      <w:r>
        <w:rPr>
          <w:i/>
        </w:rPr>
        <w:t>33_CHECKS</w:t>
      </w:r>
      <w:r>
        <w:rPr/>
        <w:t xml:space="preserve"> affiche ALL OK et </w:t>
      </w:r>
      <w:r>
        <w:rPr>
          <w:i/>
        </w:rPr>
        <w:t>35_BOOK_CHECK</w:t>
      </w:r>
      <w:r>
        <w:rPr/>
        <w:t xml:space="preserve"> ALL PASS.</w:t>
      </w:r>
    </w:p>
    <w:p>
      <w:pPr>
        <w:spacing w:after="60"/>
        <w:ind w:left="397" w:hanging="397"/>
      </w:pPr>
      <w:r>
        <w:rPr/>
        <w:t>7.</w:t>
        <w:tab/>
        <w:t>Relancez les instantanés et consignez la date.</w:t>
      </w:r>
    </w:p>
    <w:p>
      <w:pPr>
        <w:pStyle w:val="Heading2"/>
      </w:pPr>
      <w:r>
        <w:t>12.3 Règles de conception à respecter</w:t>
      </w:r>
    </w:p>
    <w:p>
      <w:pPr>
        <w:spacing w:after="60"/>
        <w:ind w:left="397" w:hanging="397"/>
      </w:pPr>
      <w:r>
        <w:rPr/>
        <w:t>•</w:t>
        <w:tab/>
        <w:t>Pas de macros, pas de tables de données, pas de références circulaires. Les intérêts intercalaires et les commissions restent calculés par formule fermée ; le DSRA reste financé par les fonds propres ; le cas prêteurs conserve un impôt hors effet de levier.</w:t>
      </w:r>
    </w:p>
    <w:p>
      <w:pPr>
        <w:spacing w:after="60"/>
        <w:ind w:left="397" w:hanging="397"/>
      </w:pPr>
      <w:r>
        <w:rPr/>
        <w:t>•</w:t>
        <w:tab/>
        <w:t>Données d'entrée uniquement dans les cellules bleues ; aucun nombre saisi en dur dans les formules, sauf les constantes physiques et les conventions identifiées par un libellé.</w:t>
      </w:r>
    </w:p>
    <w:p>
      <w:pPr>
        <w:spacing w:after="60"/>
        <w:ind w:left="397" w:hanging="397"/>
      </w:pPr>
      <w:r>
        <w:rPr/>
        <w:t>•</w:t>
        <w:tab/>
        <w:t xml:space="preserve">Tout nouveau résultat qu'un lecteur pourrait citer doit être défini sur la feuille et, s'il est publié dans le Livre 7, faire l'objet d'une ligne sur </w:t>
      </w:r>
      <w:r>
        <w:rPr>
          <w:i/>
        </w:rPr>
        <w:t>35_BOOK_CHECK</w:t>
      </w:r>
      <w:r>
        <w:rPr/>
        <w:t>.</w:t>
      </w:r>
    </w:p>
    <w:p>
      <w:pPr>
        <w:spacing w:after="60"/>
        <w:ind w:left="397" w:hanging="397"/>
      </w:pPr>
      <w:r>
        <w:rPr/>
        <w:t>•</w:t>
        <w:tab/>
        <w:t>N'utilisez que des fonctions disponibles dans Excel 2010 et LibreOffice ; évitez les tableaux dynamiques, LET, LAMBDA, XLOOKUP et les fonctions volatiles.</w:t>
      </w:r>
    </w:p>
    <w:p>
      <w:pPr>
        <w:jc w:val="both"/>
      </w:pPr>
      <w:r>
        <w:rPr>
          <w:i/>
        </w:rPr>
        <w:t>Le cas Kasiri River Hydro, la République de Navaria, Tamarind Hydro et la Navaria Electricity Company sont fictifs. Rien dans MODEL 7 ni dans ce manuel ne constitue un conseil en investissement, ni un conseil juridique, fiscal ou comptable.</w:t>
      </w:r>
    </w:p>
    <w:sectPr w:rsidR="00FC693F" w:rsidRPr="0006063C" w:rsidSect="00034616">
      <w:footerReference w:type="default" r:id="rId10"/>
      <w:headerReference w:type="default" r:id="rId11"/>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MANUAL 7 : manuel d'utilisation et de méthodologie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MANUAL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7 : manuel d'utilisation et de méthodologie</dc:title>
  <dc:subject>MODEL 7, modèle de développement et de financement de l'hydroélectricité. Ressource d'accompagnement du Livre 7, De la rivière au bouclage financier</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