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Taakstructurering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I/O taakstructurering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740"/>
        <w:gridCol w:w="1880"/>
        <w:gridCol w:w="1880"/>
        <w:gridCol w:w="1880"/>
        <w:tblGridChange w:id="0">
          <w:tblGrid>
            <w:gridCol w:w="1980"/>
            <w:gridCol w:w="1740"/>
            <w:gridCol w:w="1880"/>
            <w:gridCol w:w="1880"/>
            <w:gridCol w:w="1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taak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Web 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periodiek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Heating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Signal 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Door 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Kraan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pomp en kraan worden samengevoegd in de WaterLevelTask omdat ze beide effect hebben op het waterniveau en dus altijd samen worden aangeroepen bij het reguleren van het waterniveau.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Interne taakstructurering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575"/>
        <w:gridCol w:w="1545"/>
        <w:gridCol w:w="1882.5"/>
        <w:gridCol w:w="1882.5"/>
        <w:tblGridChange w:id="0">
          <w:tblGrid>
            <w:gridCol w:w="2475"/>
            <w:gridCol w:w="1575"/>
            <w:gridCol w:w="1545"/>
            <w:gridCol w:w="1882.5"/>
            <w:gridCol w:w="1882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Type taak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WashingProgramTask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periodiek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WaterLevelTask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periodiek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TemperatureTask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MotorTask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SoapTask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WebinterfaceTask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periodiek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Taak structuur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-1009649</wp:posOffset>
            </wp:positionH>
            <wp:positionV relativeFrom="paragraph">
              <wp:posOffset>238125</wp:posOffset>
            </wp:positionV>
            <wp:extent cx="7729538" cy="7323844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7323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