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Het resultaat?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Een goed werkend redelijk netjes programma. Hoeft niet optimaal te zijn als het maar doet wat de opdracht vraagt.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De samenwerking?</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Iedereen kan aan zijn eigen sub-deel van het programma werken maar moet wel rekening houden met de andere delen van het programma waar de rest aan werkt. Samenwerken aan delen die veel met elkaar te maken hebben.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De taakverdeling; hoe zorg je ervoor dat dat eerlijk gebeurt?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Bijhouden waar iedereen aan werkt, git branches hebben voor elk sub-deel van het programma en zo nodig anderen helpen iets te doen als ze wat minder doen dan de rest.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Aanwezigheid; moet iedereen op hetzelfde moment aanwezig zijn en werken?</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Hoeft niet perse, maar wel contact blijven houden. Voor team vergaderingen liever niet afwezig zijn.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De werksfeer; moet het vooral gezellig zijn of zakelijk?</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Gezellig, niet al te strict en serieus.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Het cijfer waarvoor wordt gewerkt?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6.5</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