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hd w:fill="1F3A5F" w:val="clear"/>
        <w:spacing w:after="400"/>
        <w:jc w:val="center"/>
      </w:pPr>
      <w:r>
        <w:rPr>
          <w:b/>
          <w:bCs/>
          <w:color w:val="FFFFFF"/>
          <w:sz w:val="20"/>
          <w:szCs w:val="20"/>
        </w:rPr>
        <w:t xml:space="preserve">DOCUMENTATION INDIVIDUELLE</w:t>
      </w:r>
    </w:p>
    <w:p>
      <w:pPr>
        <w:spacing w:after="100" w:before="700"/>
        <w:jc w:val="center"/>
      </w:pPr>
      <w:r>
        <w:rPr>
          <w:b/>
          <w:bCs/>
          <w:color w:val="1F3A5F"/>
          <w:sz w:val="36"/>
          <w:szCs w:val="36"/>
        </w:rPr>
        <w:t xml:space="preserve">Interactions avec les LLM et justification des modèles choisis</w:t>
      </w:r>
    </w:p>
    <w:p>
      <w:pPr>
        <w:spacing w:after="300"/>
        <w:jc w:val="center"/>
      </w:pPr>
      <w:r>
        <w:rPr>
          <w:color w:val="444444"/>
          <w:sz w:val="24"/>
          <w:szCs w:val="24"/>
        </w:rPr>
        <w:t xml:space="preserve">Projet StageIO — Plateforme de gestion des stages avec suivi pédagogique IA</w:t>
      </w:r>
    </w:p>
    <w:p>
      <w:pPr>
        <w:spacing w:after="60" w:before="700"/>
        <w:jc w:val="center"/>
      </w:pPr>
      <w:r>
        <w:rPr>
          <w:sz w:val="22"/>
          <w:szCs w:val="22"/>
        </w:rPr>
        <w:t xml:space="preserve">Auteur : mohamed aziz boulifa</w:t>
      </w:r>
    </w:p>
    <w:p>
      <w:pPr>
        <w:spacing w:after="60"/>
        <w:jc w:val="center"/>
      </w:pPr>
      <w:r>
        <w:rPr>
          <w:color w:val="555555"/>
          <w:sz w:val="20"/>
          <w:szCs w:val="20"/>
        </w:rPr>
        <w:t xml:space="preserve">Assistant IA utilisé pour le développement : Claude Code (Anthropic, modèle Claude Sonnet 5)</w:t>
      </w:r>
    </w:p>
    <w:p>
      <w:pPr>
        <w:spacing w:after="60"/>
        <w:jc w:val="center"/>
      </w:pPr>
      <w:r>
        <w:rPr>
          <w:color w:val="555555"/>
          <w:sz w:val="20"/>
          <w:szCs w:val="20"/>
        </w:rPr>
        <w:t xml:space="preserve">Classe 5SAE — Année universitaire 2025/2026</w:t>
      </w:r>
    </w:p>
    <w:p>
      <w:r>
        <w:br w:type="page"/>
      </w:r>
    </w:p>
    <w:p>
      <w:pPr>
        <w:pStyle w:val="Heading1"/>
        <w:pBdr>
          <w:bottom w:val="single" w:color="1F3A5F" w:sz="12" w:space="4"/>
        </w:pBdr>
        <w:spacing w:after="240" w:before="480"/>
      </w:pPr>
      <w:r>
        <w:rPr>
          <w:b/>
          <w:bCs/>
          <w:color w:val="1F3A5F"/>
          <w:sz w:val="32"/>
          <w:szCs w:val="32"/>
        </w:rPr>
        <w:t xml:space="preserve">Avant-propos</w:t>
      </w:r>
    </w:p>
    <w:p>
      <w:pPr>
        <w:spacing w:after="200" w:line="300"/>
        <w:jc w:val="both"/>
      </w:pPr>
      <w:r>
        <w:rPr>
          <w:sz w:val="22"/>
          <w:szCs w:val="22"/>
        </w:rPr>
        <w:t xml:space="preserve">Ce document complète le rapport final en documentant, à titre individuel, les interactions réelles avec les assistants IA utilisés pendant le développement du projet : Claude Code (Anthropic) comme assistant de développement et de débogage, et Groq (modèle openai/gpt-oss-120b) comme moteur des 8 fonctionnalités IA intégrées à l’application elle-même.</w:t>
      </w:r>
    </w:p>
    <w:p>
      <w:pPr>
        <w:spacing w:after="200" w:line="300"/>
        <w:jc w:val="both"/>
      </w:pPr>
      <w:r>
        <w:rPr>
          <w:b/>
          <w:bCs/>
          <w:sz w:val="22"/>
          <w:szCs w:val="22"/>
        </w:rPr>
        <w:t xml:space="preserve">Méthode : </w:t>
      </w:r>
      <w:r>
        <w:rPr>
          <w:sz w:val="22"/>
          <w:szCs w:val="22"/>
        </w:rPr>
        <w:t xml:space="preserve">les prompts reproduits ci-dessous sont cités textuellement (verbatim), y compris leurs imperfections de frappe, pour garantir l’authenticité de la documentation plutôt que de les reformuler a posteriori.</w:t>
      </w:r>
    </w:p>
    <w:p>
      <w:pPr>
        <w:pStyle w:val="Heading1"/>
        <w:pBdr>
          <w:bottom w:val="single" w:color="1F3A5F" w:sz="12" w:space="4"/>
        </w:pBdr>
        <w:spacing w:after="240" w:before="480"/>
      </w:pPr>
      <w:r>
        <w:rPr>
          <w:b/>
          <w:bCs/>
          <w:color w:val="1F3A5F"/>
          <w:sz w:val="32"/>
          <w:szCs w:val="32"/>
        </w:rPr>
        <w:t xml:space="preserve">1. Justification des modèles IA choisis</w:t>
      </w:r>
    </w:p>
    <w:p>
      <w:pPr>
        <w:pStyle w:val="Heading2"/>
        <w:spacing w:after="180" w:before="360"/>
      </w:pPr>
      <w:r>
        <w:rPr>
          <w:b/>
          <w:bCs/>
          <w:color w:val="2563EB"/>
          <w:sz w:val="26"/>
          <w:szCs w:val="26"/>
        </w:rPr>
        <w:t xml:space="preserve">1.1 Pourquoi un assistant de développement (Claude Code) ?</w:t>
      </w:r>
    </w:p>
    <w:p>
      <w:pPr>
        <w:spacing w:after="200" w:line="300"/>
        <w:jc w:val="both"/>
      </w:pPr>
      <w:r>
        <w:rPr>
          <w:sz w:val="22"/>
          <w:szCs w:val="22"/>
        </w:rPr>
        <w:t xml:space="preserve">Le projet combine un backend Spring Boot récent (version 4.1.1, sortie peu avant le début du projet) avec Hibernate 7.4.5 et Jackson 3.x — une combinaison encore peu documentée, qui a généré plusieurs incompatibilités non triviales (voir section 2.4). Un assistant de développement capable de lire les traces d’erreur complètes, de formuler des hypothèses vérifiables et de les tester directement (requêtes SQL, appels curl, logs serveur) a représenté un gain de temps déterminant face à des erreurs dont la cause n’était pas dans la documentation officielle.</w:t>
      </w:r>
    </w:p>
    <w:p>
      <w:pPr>
        <w:pStyle w:val="Heading2"/>
        <w:spacing w:after="180" w:before="360"/>
      </w:pPr>
      <w:r>
        <w:rPr>
          <w:b/>
          <w:bCs/>
          <w:color w:val="2563EB"/>
          <w:sz w:val="26"/>
          <w:szCs w:val="26"/>
        </w:rPr>
        <w:t xml:space="preserve">1.2 Pourquoi Groq plutôt que Gemini pour le moteur IA applicatif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3538"/>
        <w:gridCol w:w="3538"/>
      </w:tblGrid>
      <w:tr>
        <w:trPr>
          <w:tblHeader/>
        </w:trPr>
        <w:tc>
          <w:tcPr>
            <w:tcW w:type="dxa" w:w="1996"/>
            <w:shd w:fill="1F3A5F" w:val="clear"/>
            <w:tcMar>
              <w:top w:type="dxa" w:w="100"/>
              <w:left w:type="dxa" w:w="120"/>
              <w:bottom w:type="dxa" w:w="100"/>
              <w:right w:type="dxa" w:w="120"/>
            </w:tcMar>
            <w:vAlign w:val="center"/>
          </w:tcPr>
          <w:p>
            <w:r>
              <w:rPr>
                <w:b/>
                <w:bCs/>
                <w:color w:val="FFFFFF"/>
                <w:sz w:val="20"/>
                <w:szCs w:val="20"/>
              </w:rPr>
              <w:t xml:space="preserve">Critère</w:t>
            </w:r>
          </w:p>
        </w:tc>
        <w:tc>
          <w:tcPr>
            <w:tcW w:type="dxa" w:w="3538"/>
            <w:shd w:fill="1F3A5F" w:val="clear"/>
            <w:tcMar>
              <w:top w:type="dxa" w:w="100"/>
              <w:left w:type="dxa" w:w="120"/>
              <w:bottom w:type="dxa" w:w="100"/>
              <w:right w:type="dxa" w:w="120"/>
            </w:tcMar>
            <w:vAlign w:val="center"/>
          </w:tcPr>
          <w:p>
            <w:r>
              <w:rPr>
                <w:b/>
                <w:bCs/>
                <w:color w:val="FFFFFF"/>
                <w:sz w:val="20"/>
                <w:szCs w:val="20"/>
              </w:rPr>
              <w:t xml:space="preserve">Gemini (essai initial)</w:t>
            </w:r>
          </w:p>
        </w:tc>
        <w:tc>
          <w:tcPr>
            <w:tcW w:type="dxa" w:w="3538"/>
            <w:shd w:fill="1F3A5F" w:val="clear"/>
            <w:tcMar>
              <w:top w:type="dxa" w:w="100"/>
              <w:left w:type="dxa" w:w="120"/>
              <w:bottom w:type="dxa" w:w="100"/>
              <w:right w:type="dxa" w:w="120"/>
            </w:tcMar>
            <w:vAlign w:val="center"/>
          </w:tcPr>
          <w:p>
            <w:r>
              <w:rPr>
                <w:b/>
                <w:bCs/>
                <w:color w:val="FFFFFF"/>
                <w:sz w:val="20"/>
                <w:szCs w:val="20"/>
              </w:rPr>
              <w:t xml:space="preserve">Groq (retenu)</w:t>
            </w:r>
          </w:p>
        </w:tc>
      </w:tr>
      <w:tr>
        <w:tc>
          <w:tcPr>
            <w:tcW w:type="dxa" w:w="1996"/>
            <w:shd w:fill="FFFFFF" w:val="clear"/>
            <w:tcMar>
              <w:top w:type="dxa" w:w="90"/>
              <w:left w:type="dxa" w:w="120"/>
              <w:bottom w:type="dxa" w:w="90"/>
              <w:right w:type="dxa" w:w="120"/>
            </w:tcMar>
          </w:tcPr>
          <w:p>
            <w:pPr>
              <w:spacing w:after="0"/>
            </w:pPr>
            <w:r>
              <w:rPr>
                <w:sz w:val="20"/>
                <w:szCs w:val="20"/>
              </w:rPr>
              <w:t xml:space="preserve">Coût</w:t>
            </w:r>
          </w:p>
        </w:tc>
        <w:tc>
          <w:tcPr>
            <w:tcW w:type="dxa" w:w="3538"/>
            <w:shd w:fill="FFFFFF" w:val="clear"/>
            <w:tcMar>
              <w:top w:type="dxa" w:w="90"/>
              <w:left w:type="dxa" w:w="120"/>
              <w:bottom w:type="dxa" w:w="90"/>
              <w:right w:type="dxa" w:w="120"/>
            </w:tcMar>
          </w:tcPr>
          <w:p>
            <w:pPr>
              <w:spacing w:after="0"/>
            </w:pPr>
            <w:r>
              <w:rPr>
                <w:sz w:val="20"/>
                <w:szCs w:val="20"/>
              </w:rPr>
              <w:t xml:space="preserve">Gratuit (quota limité)</w:t>
            </w:r>
          </w:p>
        </w:tc>
        <w:tc>
          <w:tcPr>
            <w:tcW w:type="dxa" w:w="3538"/>
            <w:shd w:fill="FFFFFF" w:val="clear"/>
            <w:tcMar>
              <w:top w:type="dxa" w:w="90"/>
              <w:left w:type="dxa" w:w="120"/>
              <w:bottom w:type="dxa" w:w="90"/>
              <w:right w:type="dxa" w:w="120"/>
            </w:tcMar>
          </w:tcPr>
          <w:p>
            <w:pPr>
              <w:spacing w:after="0"/>
            </w:pPr>
            <w:r>
              <w:rPr>
                <w:sz w:val="20"/>
                <w:szCs w:val="20"/>
              </w:rPr>
              <w:t xml:space="preserve">Gratuit, sans carte bancaire</w:t>
            </w:r>
          </w:p>
        </w:tc>
      </w:tr>
      <w:tr>
        <w:tc>
          <w:tcPr>
            <w:tcW w:type="dxa" w:w="1996"/>
            <w:shd w:fill="F4F7FB" w:val="clear"/>
            <w:tcMar>
              <w:top w:type="dxa" w:w="90"/>
              <w:left w:type="dxa" w:w="120"/>
              <w:bottom w:type="dxa" w:w="90"/>
              <w:right w:type="dxa" w:w="120"/>
            </w:tcMar>
          </w:tcPr>
          <w:p>
            <w:pPr>
              <w:spacing w:after="0"/>
            </w:pPr>
            <w:r>
              <w:rPr>
                <w:sz w:val="20"/>
                <w:szCs w:val="20"/>
              </w:rPr>
              <w:t xml:space="preserve">Quota observé en usage réel</w:t>
            </w:r>
          </w:p>
        </w:tc>
        <w:tc>
          <w:tcPr>
            <w:tcW w:type="dxa" w:w="3538"/>
            <w:shd w:fill="F4F7FB" w:val="clear"/>
            <w:tcMar>
              <w:top w:type="dxa" w:w="90"/>
              <w:left w:type="dxa" w:w="120"/>
              <w:bottom w:type="dxa" w:w="90"/>
              <w:right w:type="dxa" w:w="120"/>
            </w:tcMar>
          </w:tcPr>
          <w:p>
            <w:pPr>
              <w:spacing w:after="0"/>
            </w:pPr>
            <w:r>
              <w:rPr>
                <w:sz w:val="20"/>
                <w:szCs w:val="20"/>
              </w:rPr>
              <w:t xml:space="preserve">Erreurs 429 répétées dès 2-3 fonctionnalités IA testées dans la même session</w:t>
            </w:r>
          </w:p>
        </w:tc>
        <w:tc>
          <w:tcPr>
            <w:tcW w:type="dxa" w:w="3538"/>
            <w:shd w:fill="F4F7FB" w:val="clear"/>
            <w:tcMar>
              <w:top w:type="dxa" w:w="90"/>
              <w:left w:type="dxa" w:w="120"/>
              <w:bottom w:type="dxa" w:w="90"/>
              <w:right w:type="dxa" w:w="120"/>
            </w:tcMar>
          </w:tcPr>
          <w:p>
            <w:pPr>
              <w:spacing w:after="0"/>
            </w:pPr>
            <w:r>
              <w:rPr>
                <w:sz w:val="20"/>
                <w:szCs w:val="20"/>
              </w:rPr>
              <w:t xml:space="preserve">Quota largement suffisant pour développer et tester les 8 modules en parallèle</w:t>
            </w:r>
          </w:p>
        </w:tc>
      </w:tr>
      <w:tr>
        <w:tc>
          <w:tcPr>
            <w:tcW w:type="dxa" w:w="1996"/>
            <w:shd w:fill="FFFFFF" w:val="clear"/>
            <w:tcMar>
              <w:top w:type="dxa" w:w="90"/>
              <w:left w:type="dxa" w:w="120"/>
              <w:bottom w:type="dxa" w:w="90"/>
              <w:right w:type="dxa" w:w="120"/>
            </w:tcMar>
          </w:tcPr>
          <w:p>
            <w:pPr>
              <w:spacing w:after="0"/>
            </w:pPr>
            <w:r>
              <w:rPr>
                <w:sz w:val="20"/>
                <w:szCs w:val="20"/>
              </w:rPr>
              <w:t xml:space="preserve">Format API</w:t>
            </w:r>
          </w:p>
        </w:tc>
        <w:tc>
          <w:tcPr>
            <w:tcW w:type="dxa" w:w="3538"/>
            <w:shd w:fill="FFFFFF" w:val="clear"/>
            <w:tcMar>
              <w:top w:type="dxa" w:w="90"/>
              <w:left w:type="dxa" w:w="120"/>
              <w:bottom w:type="dxa" w:w="90"/>
              <w:right w:type="dxa" w:w="120"/>
            </w:tcMar>
          </w:tcPr>
          <w:p>
            <w:pPr>
              <w:spacing w:after="0"/>
            </w:pPr>
            <w:r>
              <w:rPr>
                <w:sz w:val="20"/>
                <w:szCs w:val="20"/>
              </w:rPr>
              <w:t xml:space="preserve">Format propriétaire Google (roles "user"/"model", systemInstruction séparé)</w:t>
            </w:r>
          </w:p>
        </w:tc>
        <w:tc>
          <w:tcPr>
            <w:tcW w:type="dxa" w:w="3538"/>
            <w:shd w:fill="FFFFFF" w:val="clear"/>
            <w:tcMar>
              <w:top w:type="dxa" w:w="90"/>
              <w:left w:type="dxa" w:w="120"/>
              <w:bottom w:type="dxa" w:w="90"/>
              <w:right w:type="dxa" w:w="120"/>
            </w:tcMar>
          </w:tcPr>
          <w:p>
            <w:pPr>
              <w:spacing w:after="0"/>
            </w:pPr>
            <w:r>
              <w:rPr>
                <w:sz w:val="20"/>
                <w:szCs w:val="20"/>
              </w:rPr>
              <w:t xml:space="preserve">Compatible OpenAI (format standard, portable)</w:t>
            </w:r>
          </w:p>
        </w:tc>
      </w:tr>
      <w:tr>
        <w:tc>
          <w:tcPr>
            <w:tcW w:type="dxa" w:w="1996"/>
            <w:shd w:fill="F4F7FB" w:val="clear"/>
            <w:tcMar>
              <w:top w:type="dxa" w:w="90"/>
              <w:left w:type="dxa" w:w="120"/>
              <w:bottom w:type="dxa" w:w="90"/>
              <w:right w:type="dxa" w:w="120"/>
            </w:tcMar>
          </w:tcPr>
          <w:p>
            <w:pPr>
              <w:spacing w:after="0"/>
            </w:pPr>
            <w:r>
              <w:rPr>
                <w:sz w:val="20"/>
                <w:szCs w:val="20"/>
              </w:rPr>
              <w:t xml:space="preserve">Décision</w:t>
            </w:r>
          </w:p>
        </w:tc>
        <w:tc>
          <w:tcPr>
            <w:tcW w:type="dxa" w:w="3538"/>
            <w:shd w:fill="F4F7FB" w:val="clear"/>
            <w:tcMar>
              <w:top w:type="dxa" w:w="90"/>
              <w:left w:type="dxa" w:w="120"/>
              <w:bottom w:type="dxa" w:w="90"/>
              <w:right w:type="dxa" w:w="120"/>
            </w:tcMar>
          </w:tcPr>
          <w:p>
            <w:pPr>
              <w:spacing w:after="0"/>
            </w:pPr>
            <w:r>
              <w:rPr>
                <w:sz w:val="20"/>
                <w:szCs w:val="20"/>
              </w:rPr>
              <w:t xml:space="preserve">—</w:t>
            </w:r>
          </w:p>
        </w:tc>
        <w:tc>
          <w:tcPr>
            <w:tcW w:type="dxa" w:w="3538"/>
            <w:shd w:fill="F4F7FB" w:val="clear"/>
            <w:tcMar>
              <w:top w:type="dxa" w:w="90"/>
              <w:left w:type="dxa" w:w="120"/>
              <w:bottom w:type="dxa" w:w="90"/>
              <w:right w:type="dxa" w:w="120"/>
            </w:tcMar>
          </w:tcPr>
          <w:p>
            <w:pPr>
              <w:spacing w:after="0"/>
            </w:pPr>
            <w:r>
              <w:rPr>
                <w:sz w:val="20"/>
                <w:szCs w:val="20"/>
              </w:rPr>
              <w:t xml:space="preserve">Migration complète effectuée le 2026-10-13 (commit 3a60b99), sans changement d’architecture grâce à l’isolation du fournisseur dans une seule classe (LlmService)</w:t>
            </w:r>
          </w:p>
        </w:tc>
      </w:tr>
    </w:tbl>
    <w:p>
      <w:pPr>
        <w:pStyle w:val="Heading2"/>
        <w:spacing w:after="180" w:before="360"/>
      </w:pPr>
      <w:r>
        <w:rPr>
          <w:b/>
          <w:bCs/>
          <w:color w:val="2563EB"/>
          <w:sz w:val="26"/>
          <w:szCs w:val="26"/>
        </w:rPr>
        <w:t xml:space="preserve">1.3 Choix du modèle Groq précis</w:t>
      </w:r>
    </w:p>
    <w:p>
      <w:pPr>
        <w:spacing w:after="200" w:line="300"/>
        <w:jc w:val="both"/>
      </w:pPr>
      <w:r>
        <w:rPr>
          <w:sz w:val="22"/>
          <w:szCs w:val="22"/>
        </w:rPr>
        <w:t xml:space="preserve">Deux modèles ont été essayés avant de converger vers le modèle finalement utilisé :</w:t>
      </w:r>
    </w:p>
    <w:p>
      <w:pPr>
        <w:pStyle w:val="ListParagraph"/>
        <w:numPr>
          <w:ilvl w:val="0"/>
          <w:numId w:val="2"/>
        </w:numPr>
        <w:spacing w:after="100"/>
      </w:pPr>
      <w:r>
        <w:rPr>
          <w:b/>
          <w:bCs/>
          <w:sz w:val="22"/>
          <w:szCs w:val="22"/>
        </w:rPr>
        <w:t xml:space="preserve">llama-3.3-70b-versatile </w:t>
      </w:r>
      <w:r>
        <w:rPr>
          <w:sz w:val="22"/>
          <w:szCs w:val="22"/>
        </w:rPr>
        <w:t xml:space="preserve">— rejeté immédiatement : erreur 404 model_not_found. Diagnostic : appel direct à GET /openai/v1/models pour obtenir la liste réelle des modèles disponibles sur le compte, plutôt que de se fier à un nom de modèle trouvé en documentation externe.</w:t>
      </w:r>
    </w:p>
    <w:p>
      <w:pPr>
        <w:pStyle w:val="ListParagraph"/>
        <w:numPr>
          <w:ilvl w:val="0"/>
          <w:numId w:val="2"/>
        </w:numPr>
        <w:spacing w:after="100"/>
      </w:pPr>
      <w:r>
        <w:rPr>
          <w:b/>
          <w:bCs/>
          <w:sz w:val="22"/>
          <w:szCs w:val="22"/>
        </w:rPr>
        <w:t xml:space="preserve">openai/gpt-oss-120b </w:t>
      </w:r>
      <w:r>
        <w:rPr>
          <w:sz w:val="22"/>
          <w:szCs w:val="22"/>
        </w:rPr>
        <w:t xml:space="preserve">— retenu. Modèle de raisonnement, nécessitant un réglage spécifique (reasoning_effort="low") pour éviter la troncature des réponses JSON structurées (détaillé section 2.5).</w:t>
      </w:r>
    </w:p>
    <w:p>
      <w:r>
        <w:br w:type="page"/>
      </w:r>
    </w:p>
    <w:p>
      <w:pPr>
        <w:pStyle w:val="Heading1"/>
        <w:pBdr>
          <w:bottom w:val="single" w:color="1F3A5F" w:sz="12" w:space="4"/>
        </w:pBdr>
        <w:spacing w:after="240" w:before="480"/>
      </w:pPr>
      <w:r>
        <w:rPr>
          <w:b/>
          <w:bCs/>
          <w:color w:val="1F3A5F"/>
          <w:sz w:val="32"/>
          <w:szCs w:val="32"/>
        </w:rPr>
        <w:t xml:space="preserve">2. Journal des interactions clés avec Claude Code</w:t>
      </w:r>
    </w:p>
    <w:p>
      <w:pPr>
        <w:spacing w:after="200" w:line="300"/>
        <w:jc w:val="both"/>
      </w:pPr>
      <w:r>
        <w:rPr>
          <w:sz w:val="22"/>
          <w:szCs w:val="22"/>
        </w:rPr>
        <w:t xml:space="preserve">Organisé par thème et dans l’ordre chronologique du projet. Seuls les échanges ayant mené à une décision technique ou une correction concrète sont repris ; les échanges purement conversationnels sont omis.</w:t>
      </w:r>
    </w:p>
    <w:p>
      <w:pPr>
        <w:pStyle w:val="Heading2"/>
        <w:spacing w:after="180" w:before="360"/>
      </w:pPr>
      <w:r>
        <w:rPr>
          <w:b/>
          <w:bCs/>
          <w:color w:val="2563EB"/>
          <w:sz w:val="26"/>
          <w:szCs w:val="26"/>
        </w:rPr>
        <w:t xml:space="preserve">2.1 Thème — Extension du module IA (de 3 à 8 fonctionnalités)</w:t>
      </w: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#1 — Audit des modules existants</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ok super ce que je veux faire maintennant analyse les modules de lapplication et les modules IA est dis moi ce que je peux ajouter comme dautres modules IA car je nais que trois modules et je veux ajouter encore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Audit du code existant (contrôleurs, services, entités) pour identifier les données déjà disponibles mais non exploitées par l’IA, puis proposition de 4 nouvelles fonctionnalités cohérentes avec l’existant plutôt que des idées génériques.</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Validation des 4 propositions dans l’ordre suggéré (synthèse de parcours, pré-sélection candidatures, pertinence conventions, détection d’écart d’évaluation) — les 4 ont été implémentées (commit e21f6ec, 2026-10-16), portant le total à 8 fonctionnalités IA.</w:t>
            </w:r>
          </w:p>
        </w:tc>
      </w:tr>
    </w:tbl>
    <w:p>
      <w:pPr>
        <w:spacing w:after="280"/>
      </w:pP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#2 — Remise en question du choix d’architecture multi-fournisseurs</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avant de tester quoi que ce soit jai une idée bien sur dis moi si c une bonne idée ou pas on peut utuliser plusieur modéle gratuit pour chaque modéle IA , par exemple le chat bot API Groq , matching cv llama , etc ...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Analyse des inconvénients concrets d’une architecture multi-fournisseurs (complexité de maintenance, gestion d’erreurs dupliquée, incohérence de comportement entre modules) face à un seul fournisseur centralisé, recommandation argumentée en faveur d’un point d’accès unique.</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Décision validée (« ok vasy ») : architecture à fournisseur unique (LlmService), qui s’est révélée payante lors de la migration Gemini→Groq — aucune des 4 fonctionnalités IA déjà existantes n’a eu besoin d’être modifiée.</w:t>
            </w:r>
          </w:p>
        </w:tc>
      </w:tr>
    </w:tbl>
    <w:p>
      <w:pPr>
        <w:spacing w:after="280"/>
      </w:pPr>
    </w:p>
    <w:p>
      <w:pPr>
        <w:pStyle w:val="Heading2"/>
        <w:spacing w:after="180" w:before="360"/>
      </w:pPr>
      <w:r>
        <w:rPr>
          <w:b/>
          <w:bCs/>
          <w:color w:val="2563EB"/>
          <w:sz w:val="26"/>
          <w:szCs w:val="26"/>
        </w:rPr>
        <w:t xml:space="preserve">2.2 Thème — Fiabilisation et tests du chatbot</w:t>
      </w: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#3 — Validation du périmètre fonctionnel avant test</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par exemple si je lui dis 'quelle sont les etapes a faire pour postuler a un offre' il va me répondre ?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Clarification du périmètre réel du chatbot (questions procédurales génériques vs données personnelles de l’utilisateur connecté) avant de lancer une campagne de test, pour éviter des attentes irréalistes.</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Scénario de test réaliste défini puis vérifié en conditions réelles avant la mise à disposition aux utilisateurs.</w:t>
            </w:r>
          </w:p>
        </w:tc>
      </w:tr>
    </w:tbl>
    <w:p>
      <w:pPr>
        <w:spacing w:after="280"/>
      </w:pP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#4 — Scénario de test structuré</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comment tester tout cela donne moi un bon scénario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Génération d’un scénario de test couvrant les 4 rôles (étudiant, entreprise, enseignant, admin), avec des comptes réels et des cas limites (données manquantes, réponse IA indisponible).</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Document TESTS_IA.md créé et maintenu dans le dépôt tout au long du projet, réutilisé à chaque ajout de fonctionnalité IA.</w:t>
            </w:r>
          </w:p>
        </w:tc>
      </w:tr>
    </w:tbl>
    <w:p>
      <w:pPr>
        <w:spacing w:after="280"/>
      </w:pPr>
    </w:p>
    <w:p>
      <w:pPr>
        <w:pStyle w:val="Heading2"/>
        <w:spacing w:after="180" w:before="360"/>
      </w:pPr>
      <w:r>
        <w:rPr>
          <w:b/>
          <w:bCs/>
          <w:color w:val="2563EB"/>
          <w:sz w:val="26"/>
          <w:szCs w:val="26"/>
        </w:rPr>
        <w:t xml:space="preserve">2.3 Thème — Diagnostic de bugs de production (voir aussi rapport final, section 8)</w:t>
      </w: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#5 — Bug chatbot masqué en 401</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qui est mon encadrant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Reproduction du bug en conditions réelles, puis inspection des logs serveur plutôt que du code en premier lieu — révélant une UnexpectedRollbackException sans rapport avec l’authentification.</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Pattern « 401 trompeur » documenté et réutilisé pour diagnostiquer 2 autres incidents similaires plus tard dans le projet (gain de temps direct sur les incidents 8.1 et 8.4 du rapport final).</w:t>
            </w:r>
          </w:p>
        </w:tc>
      </w:tr>
    </w:tbl>
    <w:p>
      <w:pPr>
        <w:spacing w:after="280"/>
      </w:pP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#6 — Lenteur du tableau de bord — diagnostic initial</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vérifie pourquoi il prend du temps pour le loading du tableau de bord lorsque je me connecte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Mesure chronométrée de chaque appel API (et non une estimation subjective), identification de requêtes N+1 via les logs SQL Hibernate, correctif par @EntityGraph.</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Temps de réponse réduits mais encore anormalement lents — a motivé une investigation plus poussée (prompt suivant).</w:t>
            </w:r>
          </w:p>
        </w:tc>
      </w:tr>
    </w:tbl>
    <w:p>
      <w:pPr>
        <w:spacing w:after="280"/>
      </w:pP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#7 — Lenteur persistante — demande de re-vérification</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vérifie pourquoi il prend du temps pour le loading du tableau de bord lorsque je me connecte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Démarche d’élimination méthodique documentée en détail dans le rapport final (section 8.3) : EXPLAIN ANALYZE direct (1,6 ms), client PostgreSQL brut hors Hibernate (40 ms), désactivation du logging SQL — jusqu’à isoler un mapping de colonne oid au lieu de text, invisible à la simple lecture du code Java.</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mes-candidatures : 4,65 s → 0,26 s ; ma-convention : 2,34 s → 0,13 s ; mon-stage : 4,94 s → 0,17 s. Correctif commité (994c183).</w:t>
            </w:r>
          </w:p>
        </w:tc>
      </w:tr>
    </w:tbl>
    <w:p>
      <w:pPr>
        <w:spacing w:after="280"/>
      </w:pP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#8 — Confirmation du correctif en conditions réelles</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avant de pusher il ya une erreure 401 je sais pas pourquoi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Lecture du message d’erreur réel dans la console navigateur fournie en capture d’écran (GET /api/soutenances/stage/4 401), puis inspection des logs serveur révélant une LazyInitializationException sur le champ jury — cause différente du bug précédent malgré le même symptôme 401.</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Cause identifiée : un @EntityGraph ajouté pour un autre correctif avait silencieusement désactivé le FetchType.EAGER du champ jury (comportement Hibernate documenté en section 8.4 du rapport). Corrigé et vérifié avant le commit.</w:t>
            </w:r>
          </w:p>
        </w:tc>
      </w:tr>
    </w:tbl>
    <w:p>
      <w:pPr>
        <w:spacing w:after="280"/>
      </w:pPr>
    </w:p>
    <w:p>
      <w:pPr>
        <w:pStyle w:val="Heading2"/>
        <w:spacing w:after="180" w:before="360"/>
      </w:pPr>
      <w:r>
        <w:rPr>
          <w:b/>
          <w:bCs/>
          <w:color w:val="2563EB"/>
          <w:sz w:val="26"/>
          <w:szCs w:val="26"/>
        </w:rPr>
        <w:t xml:space="preserve">2.4 Thème — Fiabilisation de l’environnement de développement</w:t>
      </w: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#9 — Échec de démarrage du backend</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jai une question lorsque je lance cette comande pour démarrer le backend ./mvnw spring-boot:run il me dit build failer pourquoi ?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Lecture de la trace d’erreur complète (et non du seul message final) pour distinguer deux causes différentes possibles : variables d’environnement manquantes vs fichiers compilés corrompus par un arrêt brutal du process précédent.</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Cause identifiée : absence des variables DB_URL/DB_USERNAME/DB_PASSWORD dans le terminal de l’utilisateur (non exportées automatiquement).</w:t>
            </w:r>
          </w:p>
        </w:tc>
      </w:tr>
    </w:tbl>
    <w:p>
      <w:pPr>
        <w:spacing w:after="280"/>
      </w:pPr>
    </w:p>
    <w:tbl>
      <w:tblPr>
        <w:tblW w:type="pct" w:w="5000"/>
        <w:tblBorders>
          <w:top w:val="single" w:color="2563EB" w:sz="4"/>
          <w:left w:val="single" w:color="2563EB" w:sz="24"/>
          <w:bottom w:val="single" w:color="2563EB" w:sz="4"/>
          <w:right w:val="single" w:color="2563EB" w:sz="4"/>
          <w:insideH w:val="single" w:color="D0D8E4" w:sz="2"/>
          <w:insideV w:val="single" w:color="auto" w:sz="4"/>
        </w:tblBorders>
      </w:tblPr>
      <w:tblGrid>
        <w:gridCol w:w="9638"/>
      </w:tblGrid>
      <w:tr>
        <w:tc>
          <w:tcPr>
            <w:shd w:fill="1F3A5F" w:val="clear"/>
            <w:tcMar>
              <w:top w:type="dxa" w:w="90"/>
              <w:left w:type="dxa" w:w="160"/>
              <w:bottom w:type="dxa" w:w="90"/>
              <w:right w:type="dxa" w:w="160"/>
            </w:tcMar>
          </w:tcPr>
          <w:p>
            <w:r>
              <w:rPr>
                <w:b/>
                <w:bCs/>
                <w:color w:val="FFFFFF"/>
                <w:sz w:val="20"/>
                <w:szCs w:val="20"/>
              </w:rPr>
              <w:t xml:space="preserve">#10 — Demande de correctif définitif, pas de contournement ponctuel</w:t>
            </w:r>
          </w:p>
        </w:tc>
      </w:tr>
      <w:tr>
        <w:tc>
          <w:tcPr>
            <w:shd w:fill="EAF1FB" w:val="clear"/>
            <w:tcMar>
              <w:top w:type="dxa" w:w="110"/>
              <w:left w:type="dxa" w:w="160"/>
              <w:bottom w:type="dxa" w:w="110"/>
              <w:right w:type="dxa" w:w="160"/>
            </w:tcMar>
          </w:tcPr>
          <w:p>
            <w:pPr>
              <w:spacing w:after="0"/>
            </w:pPr>
            <w:r>
              <w:rPr>
                <w:b/>
                <w:bCs/>
                <w:i/>
                <w:iCs/>
                <w:sz w:val="20"/>
                <w:szCs w:val="20"/>
              </w:rPr>
              <w:t xml:space="preserve">Prompt (verbatim) : </w:t>
            </w:r>
            <w:r>
              <w:rPr>
                <w:i/>
                <w:iCs/>
                <w:sz w:val="20"/>
                <w:szCs w:val="20"/>
              </w:rPr>
              <w:t xml:space="preserve">« fixe ce probléme définitivement de facon lorsque jouvre mon terminal je me pointe vers le backend et je tape ./mvnw spring-boot:run ca fonctionne »</w:t>
            </w:r>
          </w:p>
        </w:tc>
      </w:tr>
      <w:tr>
        <w:tc>
          <w:tcPr>
            <w:shd w:fill="FFFFFF" w:val="clear"/>
            <w:tcMar>
              <w:top w:type="dxa" w:w="110"/>
              <w:left w:type="dxa" w:w="160"/>
              <w:bottom w:type="dxa" w:w="60"/>
              <w:right w:type="dxa" w:w="160"/>
            </w:tcMar>
          </w:tcPr>
          <w:p>
            <w:pPr>
              <w:spacing w:after="0"/>
            </w:pPr>
            <w:r>
              <w:rPr>
                <w:b/>
                <w:bCs/>
                <w:sz w:val="20"/>
                <w:szCs w:val="20"/>
              </w:rPr>
              <w:t xml:space="preserve">Action de Claude Code : </w:t>
            </w:r>
            <w:r>
              <w:rPr>
                <w:sz w:val="20"/>
                <w:szCs w:val="20"/>
              </w:rPr>
              <w:t xml:space="preserve">Plutôt qu’une solution à répéter manuellement à chaque session (export des variables), développement d’un chargeur .env natif (EnvironmentPostProcessor Spring Boot), testé explicitement avec un terminal sans aucune variable d’environnement définie pour prouver que la commande brute fonctionne seule.</w:t>
            </w:r>
          </w:p>
        </w:tc>
      </w:tr>
      <w:tr>
        <w:tc>
          <w:tcPr>
            <w:shd w:fill="F2FAF4" w:val="clear"/>
            <w:tcMar>
              <w:top w:type="dxa" w:w="90"/>
              <w:left w:type="dxa" w:w="160"/>
              <w:bottom w:type="dxa" w:w="110"/>
              <w:right w:type="dxa" w:w="160"/>
            </w:tcMar>
          </w:tcPr>
          <w:p>
            <w:pPr>
              <w:spacing w:after="0"/>
            </w:pPr>
            <w:r>
              <w:rPr>
                <w:b/>
                <w:bCs/>
                <w:color w:val="1E7A34"/>
                <w:sz w:val="20"/>
                <w:szCs w:val="20"/>
              </w:rPr>
              <w:t xml:space="preserve">Résultat / gain : </w:t>
            </w:r>
            <w:r>
              <w:rPr>
                <w:sz w:val="20"/>
                <w:szCs w:val="20"/>
              </w:rPr>
              <w:t xml:space="preserve">Vérifié avec succès en conditions réelles (terminal vierge) ; correctif commité (a315702) et documenté pour qu’il profite aussi au second contributeur du dépôt.</w:t>
            </w:r>
          </w:p>
        </w:tc>
      </w:tr>
    </w:tbl>
    <w:p>
      <w:pPr>
        <w:spacing w:after="280"/>
      </w:pPr>
    </w:p>
    <w:p>
      <w:r>
        <w:br w:type="page"/>
      </w:r>
    </w:p>
    <w:p>
      <w:pPr>
        <w:pStyle w:val="Heading1"/>
        <w:pBdr>
          <w:bottom w:val="single" w:color="1F3A5F" w:sz="12" w:space="4"/>
        </w:pBdr>
        <w:spacing w:after="240" w:before="480"/>
      </w:pPr>
      <w:r>
        <w:rPr>
          <w:b/>
          <w:bCs/>
          <w:color w:val="1F3A5F"/>
          <w:sz w:val="32"/>
          <w:szCs w:val="32"/>
        </w:rPr>
        <w:t xml:space="preserve">3. Bilan et gain de productivité</w:t>
      </w:r>
    </w:p>
    <w:p>
      <w:pPr>
        <w:pStyle w:val="Heading2"/>
        <w:spacing w:after="180" w:before="360"/>
      </w:pPr>
      <w:r>
        <w:rPr>
          <w:b/>
          <w:bCs/>
          <w:color w:val="2563EB"/>
          <w:sz w:val="26"/>
          <w:szCs w:val="26"/>
        </w:rPr>
        <w:t xml:space="preserve">3.1 Ce que l’assistant IA a concrètement changé dans la méthode de travail</w:t>
      </w:r>
    </w:p>
    <w:p>
      <w:pPr>
        <w:spacing w:after="200" w:line="300"/>
        <w:jc w:val="both"/>
      </w:pPr>
      <w:r>
        <w:rPr>
          <w:sz w:val="22"/>
          <w:szCs w:val="22"/>
        </w:rPr>
        <w:t xml:space="preserve">Le gain le plus significatif n’est pas la vitesse d’écriture de code, mais la capacité à mener une démarche de diagnostic complète (hypothèse → vérification → correctif → preuve) sur des bugs dont la cause n’était pas évidente. L’incident documenté en 2.3 (prompt #7) est l’exemple le plus parlant : la cause réelle (un type de colonne PostgreSQL oid au lieu de text) n’était visible ni dans le code Java, ni dans les requêtes SQL générées par Hibernate — seule une comparaison systématique de plusieurs couches (base de données, pilote JDBC brut, ORM) a permis de l’isoler.</w:t>
      </w:r>
    </w:p>
    <w:p>
      <w:pPr>
        <w:pStyle w:val="Heading2"/>
        <w:spacing w:after="180" w:before="360"/>
      </w:pPr>
      <w:r>
        <w:rPr>
          <w:b/>
          <w:bCs/>
          <w:color w:val="2563EB"/>
          <w:sz w:val="26"/>
          <w:szCs w:val="26"/>
        </w:rPr>
        <w:t xml:space="preserve">3.2 Limites observées</w:t>
      </w:r>
    </w:p>
    <w:p>
      <w:pPr>
        <w:pStyle w:val="ListParagraph"/>
        <w:numPr>
          <w:ilvl w:val="0"/>
          <w:numId w:val="2"/>
        </w:numPr>
        <w:spacing w:after="100"/>
      </w:pPr>
      <w:r>
        <w:rPr>
          <w:sz w:val="22"/>
          <w:szCs w:val="22"/>
        </w:rPr>
        <w:t xml:space="preserve">L’assistant propose des hypothèses à vérifier, pas des certitudes : plusieurs pistes initiales (ex. requêtes N+1 seules, prompt #6) se sont révélées insuffisantes et ont nécessité une investigation complémentaire.</w:t>
      </w:r>
    </w:p>
    <w:p>
      <w:pPr>
        <w:pStyle w:val="ListParagraph"/>
        <w:numPr>
          <w:ilvl w:val="0"/>
          <w:numId w:val="2"/>
        </w:numPr>
        <w:spacing w:after="100"/>
      </w:pPr>
      <w:r>
        <w:rPr>
          <w:sz w:val="22"/>
          <w:szCs w:val="22"/>
        </w:rPr>
        <w:t xml:space="preserve">Les corrections appliquées ne sont pas protégées par des tests automatisés (limite assumée, voir rapport final section 8.6 et 11.4) — un assistant IA accélère la détection et la correction, mais ne remplace pas une suite de tests pour prévenir la régression.</w:t>
      </w:r>
    </w:p>
    <w:p>
      <w:pPr>
        <w:pStyle w:val="ListParagraph"/>
        <w:numPr>
          <w:ilvl w:val="0"/>
          <w:numId w:val="2"/>
        </w:numPr>
        <w:spacing w:after="100"/>
      </w:pPr>
      <w:r>
        <w:rPr>
          <w:sz w:val="22"/>
          <w:szCs w:val="22"/>
        </w:rPr>
        <w:t xml:space="preserve">La qualité des réponses dépend de la précision des informations fournies (logs complets, messages d’erreur exacts) — les échanges les plus productifs sont ceux où l’erreur réelle a été copiée intégralement plutôt que résumée.</w:t>
      </w:r>
    </w:p>
    <w:p>
      <w:pPr>
        <w:pStyle w:val="Heading2"/>
        <w:spacing w:after="180" w:before="360"/>
      </w:pPr>
      <w:r>
        <w:rPr>
          <w:b/>
          <w:bCs/>
          <w:color w:val="2563EB"/>
          <w:sz w:val="26"/>
          <w:szCs w:val="26"/>
        </w:rPr>
        <w:t xml:space="preserve">3.3 Synthèse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82"/>
        <w:gridCol w:w="4990"/>
      </w:tblGrid>
      <w:tr>
        <w:trPr>
          <w:tblHeader/>
        </w:trPr>
        <w:tc>
          <w:tcPr>
            <w:tcW w:type="dxa" w:w="4082"/>
            <w:shd w:fill="1F3A5F" w:val="clear"/>
            <w:tcMar>
              <w:top w:type="dxa" w:w="100"/>
              <w:left w:type="dxa" w:w="120"/>
              <w:bottom w:type="dxa" w:w="100"/>
              <w:right w:type="dxa" w:w="120"/>
            </w:tcMar>
            <w:vAlign w:val="center"/>
          </w:tcPr>
          <w:p>
            <w:r>
              <w:rPr>
                <w:b/>
                <w:bCs/>
                <w:color w:val="FFFFFF"/>
                <w:sz w:val="20"/>
                <w:szCs w:val="20"/>
              </w:rPr>
              <w:t xml:space="preserve">Indicateur</w:t>
            </w:r>
          </w:p>
        </w:tc>
        <w:tc>
          <w:tcPr>
            <w:tcW w:type="dxa" w:w="4990"/>
            <w:shd w:fill="1F3A5F" w:val="clear"/>
            <w:tcMar>
              <w:top w:type="dxa" w:w="100"/>
              <w:left w:type="dxa" w:w="120"/>
              <w:bottom w:type="dxa" w:w="100"/>
              <w:right w:type="dxa" w:w="120"/>
            </w:tcMar>
            <w:vAlign w:val="center"/>
          </w:tcPr>
          <w:p>
            <w:r>
              <w:rPr>
                <w:b/>
                <w:bCs/>
                <w:color w:val="FFFFFF"/>
                <w:sz w:val="20"/>
                <w:szCs w:val="20"/>
              </w:rPr>
              <w:t xml:space="preserve">Constat</w:t>
            </w:r>
          </w:p>
        </w:tc>
      </w:tr>
      <w:tr>
        <w:tc>
          <w:tcPr>
            <w:tcW w:type="dxa" w:w="4082"/>
            <w:shd w:fill="FFFFFF" w:val="clear"/>
            <w:tcMar>
              <w:top w:type="dxa" w:w="90"/>
              <w:left w:type="dxa" w:w="120"/>
              <w:bottom w:type="dxa" w:w="90"/>
              <w:right w:type="dxa" w:w="120"/>
            </w:tcMar>
          </w:tcPr>
          <w:p>
            <w:pPr>
              <w:spacing w:after="0"/>
            </w:pPr>
            <w:r>
              <w:rPr>
                <w:sz w:val="20"/>
                <w:szCs w:val="20"/>
              </w:rPr>
              <w:t xml:space="preserve">Fonctionnalités IA livrées</w:t>
            </w:r>
          </w:p>
        </w:tc>
        <w:tc>
          <w:tcPr>
            <w:tcW w:type="dxa" w:w="4990"/>
            <w:shd w:fill="FFFFFF" w:val="clear"/>
            <w:tcMar>
              <w:top w:type="dxa" w:w="90"/>
              <w:left w:type="dxa" w:w="120"/>
              <w:bottom w:type="dxa" w:w="90"/>
              <w:right w:type="dxa" w:w="120"/>
            </w:tcMar>
          </w:tcPr>
          <w:p>
            <w:pPr>
              <w:spacing w:after="0"/>
            </w:pPr>
            <w:r>
              <w:rPr>
                <w:sz w:val="20"/>
                <w:szCs w:val="20"/>
              </w:rPr>
              <w:t xml:space="preserve">8, toutes opérationnelles sur données réelles</w:t>
            </w:r>
          </w:p>
        </w:tc>
      </w:tr>
      <w:tr>
        <w:tc>
          <w:tcPr>
            <w:tcW w:type="dxa" w:w="4082"/>
            <w:shd w:fill="F4F7FB" w:val="clear"/>
            <w:tcMar>
              <w:top w:type="dxa" w:w="90"/>
              <w:left w:type="dxa" w:w="120"/>
              <w:bottom w:type="dxa" w:w="90"/>
              <w:right w:type="dxa" w:w="120"/>
            </w:tcMar>
          </w:tcPr>
          <w:p>
            <w:pPr>
              <w:spacing w:after="0"/>
            </w:pPr>
            <w:r>
              <w:rPr>
                <w:sz w:val="20"/>
                <w:szCs w:val="20"/>
              </w:rPr>
              <w:t xml:space="preserve">Incidents de production diagnostiqués et corrigés avec assistant IA</w:t>
            </w:r>
          </w:p>
        </w:tc>
        <w:tc>
          <w:tcPr>
            <w:tcW w:type="dxa" w:w="4990"/>
            <w:shd w:fill="F4F7FB" w:val="clear"/>
            <w:tcMar>
              <w:top w:type="dxa" w:w="90"/>
              <w:left w:type="dxa" w:w="120"/>
              <w:bottom w:type="dxa" w:w="90"/>
              <w:right w:type="dxa" w:w="120"/>
            </w:tcMar>
          </w:tcPr>
          <w:p>
            <w:pPr>
              <w:spacing w:after="0"/>
            </w:pPr>
            <w:r>
              <w:rPr>
                <w:sz w:val="20"/>
                <w:szCs w:val="20"/>
              </w:rPr>
              <w:t xml:space="preserve">6 (détaillés rapport final, section 8), avec preuves mesurables pour chacun</w:t>
            </w:r>
          </w:p>
        </w:tc>
      </w:tr>
      <w:tr>
        <w:tc>
          <w:tcPr>
            <w:tcW w:type="dxa" w:w="4082"/>
            <w:shd w:fill="FFFFFF" w:val="clear"/>
            <w:tcMar>
              <w:top w:type="dxa" w:w="90"/>
              <w:left w:type="dxa" w:w="120"/>
              <w:bottom w:type="dxa" w:w="90"/>
              <w:right w:type="dxa" w:w="120"/>
            </w:tcMar>
          </w:tcPr>
          <w:p>
            <w:pPr>
              <w:spacing w:after="0"/>
            </w:pPr>
            <w:r>
              <w:rPr>
                <w:sz w:val="20"/>
                <w:szCs w:val="20"/>
              </w:rPr>
              <w:t xml:space="preserve">Migrations de fournisseur IA réalisées sans régression</w:t>
            </w:r>
          </w:p>
        </w:tc>
        <w:tc>
          <w:tcPr>
            <w:tcW w:type="dxa" w:w="4990"/>
            <w:shd w:fill="FFFFFF" w:val="clear"/>
            <w:tcMar>
              <w:top w:type="dxa" w:w="90"/>
              <w:left w:type="dxa" w:w="120"/>
              <w:bottom w:type="dxa" w:w="90"/>
              <w:right w:type="dxa" w:w="120"/>
            </w:tcMar>
          </w:tcPr>
          <w:p>
            <w:pPr>
              <w:spacing w:after="0"/>
            </w:pPr>
            <w:r>
              <w:rPr>
                <w:sz w:val="20"/>
                <w:szCs w:val="20"/>
              </w:rPr>
              <w:t xml:space="preserve">1 (Gemini → Groq), grâce à l’isolation du fournisseur dans LlmService</w:t>
            </w:r>
          </w:p>
        </w:tc>
      </w:tr>
      <w:tr>
        <w:tc>
          <w:tcPr>
            <w:tcW w:type="dxa" w:w="4082"/>
            <w:shd w:fill="F4F7FB" w:val="clear"/>
            <w:tcMar>
              <w:top w:type="dxa" w:w="90"/>
              <w:left w:type="dxa" w:w="120"/>
              <w:bottom w:type="dxa" w:w="90"/>
              <w:right w:type="dxa" w:w="120"/>
            </w:tcMar>
          </w:tcPr>
          <w:p>
            <w:pPr>
              <w:spacing w:after="0"/>
            </w:pPr>
            <w:r>
              <w:rPr>
                <w:sz w:val="20"/>
                <w:szCs w:val="20"/>
              </w:rPr>
              <w:t xml:space="preserve">Principale limite assumée</w:t>
            </w:r>
          </w:p>
        </w:tc>
        <w:tc>
          <w:tcPr>
            <w:tcW w:type="dxa" w:w="4990"/>
            <w:shd w:fill="F4F7FB" w:val="clear"/>
            <w:tcMar>
              <w:top w:type="dxa" w:w="90"/>
              <w:left w:type="dxa" w:w="120"/>
              <w:bottom w:type="dxa" w:w="90"/>
              <w:right w:type="dxa" w:w="120"/>
            </w:tcMar>
          </w:tcPr>
          <w:p>
            <w:pPr>
              <w:spacing w:after="0"/>
            </w:pPr>
            <w:r>
              <w:rPr>
                <w:sz w:val="20"/>
                <w:szCs w:val="20"/>
              </w:rPr>
              <w:t xml:space="preserve">Absence de tests automatisés protégeant les correctifs réalisés</w:t>
            </w:r>
          </w:p>
        </w:tc>
      </w:tr>
    </w:tbl>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individuelle — Interactions LLM et justification des modèles</dc:title>
  <dc:creator>mohamed aziz boulifa</dc:creator>
  <cp:lastModifiedBy>Un-named</cp:lastModifiedBy>
  <cp:revision>1</cp:revision>
  <dcterms:created xsi:type="dcterms:W3CDTF">2026-10-18T21:42:53.027Z</dcterms:created>
  <dcterms:modified xsi:type="dcterms:W3CDTF">2026-10-18T21:42:53.028Z</dcterms:modified>
</cp:coreProperties>
</file>

<file path=docProps/custom.xml><?xml version="1.0" encoding="utf-8"?>
<Properties xmlns="http://schemas.openxmlformats.org/officeDocument/2006/custom-properties" xmlns:vt="http://schemas.openxmlformats.org/officeDocument/2006/docPropsVTypes"/>
</file>