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hd w:fill="1F3A5F" w:val="clear"/>
        <w:spacing w:after="400"/>
        <w:jc w:val="center"/>
      </w:pPr>
      <w:r>
        <w:rPr>
          <w:b/>
          <w:bCs/>
          <w:color w:val="FFFFFF"/>
          <w:sz w:val="20"/>
          <w:szCs w:val="20"/>
        </w:rPr>
        <w:t xml:space="preserve">RAPPORT DE PROJET — ANALYSE, CONCEPTION &amp; BILAN TECHNIQUE</w:t>
      </w:r>
    </w:p>
    <w:p>
      <w:pPr>
        <w:spacing w:after="100" w:before="800"/>
        <w:jc w:val="center"/>
      </w:pPr>
      <w:r>
        <w:rPr>
          <w:b/>
          <w:bCs/>
          <w:color w:val="1F3A5F"/>
          <w:sz w:val="44"/>
          <w:szCs w:val="44"/>
        </w:rPr>
        <w:t xml:space="preserve">Plateforme de gestion des stages de l’école — StageIO</w:t>
      </w:r>
    </w:p>
    <w:p>
      <w:pPr>
        <w:spacing w:after="400"/>
        <w:jc w:val="center"/>
      </w:pPr>
      <w:r>
        <w:rPr>
          <w:color w:val="444444"/>
          <w:sz w:val="26"/>
          <w:szCs w:val="26"/>
        </w:rPr>
        <w:t xml:space="preserve">De l’offre à la soutenance, avec un suivi pédagogique assisté par IA</w:t>
      </w:r>
    </w:p>
    <w:p>
      <w:pPr>
        <w:spacing w:after="100" w:before="600"/>
        <w:jc w:val="center"/>
      </w:pPr>
      <w:r>
        <w:rPr>
          <w:sz w:val="22"/>
          <w:szCs w:val="22"/>
        </w:rPr>
        <w:t xml:space="preserve">Architecture applicative : </w:t>
      </w:r>
      <w:r>
        <w:rPr>
          <w:b/>
          <w:bCs/>
          <w:sz w:val="22"/>
          <w:szCs w:val="22"/>
        </w:rPr>
        <w:t xml:space="preserve">MVC (Modèle – Vue – Contrôleur) étendu</w:t>
      </w:r>
    </w:p>
    <w:p>
      <w:pPr>
        <w:spacing w:after="60" w:before="800"/>
        <w:jc w:val="center"/>
      </w:pPr>
      <w:r>
        <w:rPr>
          <w:color w:val="555555"/>
          <w:sz w:val="20"/>
          <w:szCs w:val="20"/>
        </w:rPr>
        <w:t xml:space="preserve">Rapport final — spécification des besoins, conception UML, architecture logicielle</w:t>
      </w:r>
    </w:p>
    <w:p>
      <w:pPr>
        <w:spacing w:after="600"/>
        <w:jc w:val="center"/>
      </w:pPr>
      <w:r>
        <w:rPr>
          <w:color w:val="555555"/>
          <w:sz w:val="20"/>
          <w:szCs w:val="20"/>
        </w:rPr>
        <w:t xml:space="preserve">et bilan de l’intégration de l’intelligence artificielle</w:t>
      </w:r>
    </w:p>
    <w:p>
      <w:pPr>
        <w:spacing w:after="60" w:before="1600"/>
        <w:jc w:val="center"/>
      </w:pPr>
      <w:r>
        <w:rPr>
          <w:sz w:val="22"/>
          <w:szCs w:val="22"/>
        </w:rPr>
        <w:t xml:space="preserve">Année universitaire 2025 / 2026 — Classe 5SAE</w:t>
      </w:r>
    </w:p>
    <w:p>
      <w:pPr>
        <w:spacing w:after="60"/>
        <w:jc w:val="center"/>
      </w:pPr>
      <w:r>
        <w:rPr>
          <w:sz w:val="22"/>
          <w:szCs w:val="22"/>
        </w:rPr>
        <w:t xml:space="preserve">Réalisé par : Aziz Boulifa, Seif Ayed, Aymen Ben Abdallah, Khalil Dridi</w:t>
      </w:r>
    </w:p>
    <w:p>
      <w:pPr>
        <w:spacing w:after="60"/>
        <w:jc w:val="center"/>
      </w:pPr>
      <w:r>
        <w:rPr>
          <w:color w:val="555555"/>
          <w:sz w:val="20"/>
          <w:szCs w:val="20"/>
        </w:rPr>
        <w:t xml:space="preserve">Dépôt : github.com/boulifa25/Projet_IA_SAE</w:t>
      </w:r>
    </w:p>
    <w:p>
      <w:r>
        <w:br w:type="page"/>
      </w:r>
    </w:p>
    <w:p>
      <w:pPr>
        <w:pStyle w:val="Heading1"/>
        <w:pBdr>
          <w:bottom w:val="single" w:color="1F3A5F" w:sz="12" w:space="4"/>
        </w:pBdr>
        <w:spacing w:after="240" w:before="480"/>
      </w:pPr>
      <w:r>
        <w:rPr>
          <w:b/>
          <w:bCs/>
          <w:color w:val="1F3A5F"/>
          <w:sz w:val="32"/>
          <w:szCs w:val="32"/>
        </w:rPr>
        <w:t xml:space="preserve">Table des matières</w:t>
      </w:r>
    </w:p>
    <w:p>
      <w:pPr>
        <w:spacing w:after="140"/>
      </w:pPr>
      <w:r>
        <w:rPr>
          <w:sz w:val="24"/>
          <w:szCs w:val="24"/>
        </w:rPr>
        <w:t xml:space="preserve">1. Introduction générale</w:t>
      </w:r>
    </w:p>
    <w:p>
      <w:pPr>
        <w:spacing w:after="140"/>
      </w:pPr>
      <w:r>
        <w:rPr>
          <w:sz w:val="24"/>
          <w:szCs w:val="24"/>
        </w:rPr>
        <w:t xml:space="preserve">2. Étude de l’existant et spécification des besoins</w:t>
      </w:r>
    </w:p>
    <w:p>
      <w:pPr>
        <w:spacing w:after="140"/>
      </w:pPr>
      <w:r>
        <w:rPr>
          <w:sz w:val="24"/>
          <w:szCs w:val="24"/>
        </w:rPr>
        <w:t xml:space="preserve">3. Conception du système (UML)</w:t>
      </w:r>
    </w:p>
    <w:p>
      <w:pPr>
        <w:spacing w:after="140"/>
      </w:pPr>
      <w:r>
        <w:rPr>
          <w:sz w:val="24"/>
          <w:szCs w:val="24"/>
        </w:rPr>
        <w:t xml:space="preserve">4. Maquettes de l’interface utilisateur (captures réelles)</w:t>
      </w:r>
    </w:p>
    <w:p>
      <w:pPr>
        <w:spacing w:after="140"/>
      </w:pPr>
      <w:r>
        <w:rPr>
          <w:sz w:val="24"/>
          <w:szCs w:val="24"/>
        </w:rPr>
        <w:t xml:space="preserve">5. Architecture technique — Modèle MVC</w:t>
      </w:r>
    </w:p>
    <w:p>
      <w:pPr>
        <w:spacing w:after="140"/>
      </w:pPr>
      <w:r>
        <w:rPr>
          <w:sz w:val="24"/>
          <w:szCs w:val="24"/>
        </w:rPr>
        <w:t xml:space="preserve">6. Le module de suivi pédagogique assisté par IA — réalisation</w:t>
      </w:r>
    </w:p>
    <w:p>
      <w:pPr>
        <w:spacing w:after="140"/>
      </w:pPr>
      <w:r>
        <w:rPr>
          <w:sz w:val="24"/>
          <w:szCs w:val="24"/>
        </w:rPr>
        <w:t xml:space="preserve">7. Documentation des choix de modèles et interactions avec les LLM</w:t>
      </w:r>
    </w:p>
    <w:p>
      <w:pPr>
        <w:spacing w:after="140"/>
      </w:pPr>
      <w:r>
        <w:rPr>
          <w:sz w:val="24"/>
          <w:szCs w:val="24"/>
        </w:rPr>
        <w:t xml:space="preserve">8. Utilisation de l’IA pour la détection de bugs, les tests et le refactoring</w:t>
      </w:r>
    </w:p>
    <w:p>
      <w:pPr>
        <w:spacing w:after="140"/>
      </w:pPr>
      <w:r>
        <w:rPr>
          <w:sz w:val="24"/>
          <w:szCs w:val="24"/>
        </w:rPr>
        <w:t xml:space="preserve">9. Optimisation, performance et limites du modèle IA</w:t>
      </w:r>
    </w:p>
    <w:p>
      <w:pPr>
        <w:spacing w:after="140"/>
      </w:pPr>
      <w:r>
        <w:rPr>
          <w:sz w:val="24"/>
          <w:szCs w:val="24"/>
        </w:rPr>
        <w:t xml:space="preserve">10. Sécurité et gestion des accès</w:t>
      </w:r>
    </w:p>
    <w:p>
      <w:pPr>
        <w:spacing w:after="140"/>
      </w:pPr>
      <w:r>
        <w:rPr>
          <w:sz w:val="24"/>
          <w:szCs w:val="24"/>
        </w:rPr>
        <w:t xml:space="preserve">11. Méthodologie et bilan du projet</w:t>
      </w:r>
    </w:p>
    <w:p>
      <w:pPr>
        <w:spacing w:after="140"/>
      </w:pPr>
      <w:r>
        <w:rPr>
          <w:sz w:val="24"/>
          <w:szCs w:val="24"/>
        </w:rPr>
        <w:t xml:space="preserve">12. Conclusion et perspectives</w:t>
      </w:r>
    </w:p>
    <w:p>
      <w:r>
        <w:br w:type="page"/>
      </w:r>
    </w:p>
    <w:p>
      <w:pPr>
        <w:pStyle w:val="Heading1"/>
        <w:pBdr>
          <w:bottom w:val="single" w:color="1F3A5F" w:sz="12" w:space="4"/>
        </w:pBdr>
        <w:spacing w:after="240" w:before="480"/>
      </w:pPr>
      <w:r>
        <w:rPr>
          <w:b/>
          <w:bCs/>
          <w:color w:val="1F3A5F"/>
          <w:sz w:val="32"/>
          <w:szCs w:val="32"/>
        </w:rPr>
        <w:t xml:space="preserve">1. Introduction générale</w:t>
      </w:r>
    </w:p>
    <w:p>
      <w:pPr>
        <w:pStyle w:val="Heading2"/>
        <w:spacing w:after="180" w:before="360"/>
      </w:pPr>
      <w:r>
        <w:rPr>
          <w:b/>
          <w:bCs/>
          <w:color w:val="2563EB"/>
          <w:sz w:val="26"/>
          <w:szCs w:val="26"/>
        </w:rPr>
        <w:t xml:space="preserve">1.1 Contexte du projet</w:t>
      </w:r>
    </w:p>
    <w:p>
      <w:pPr>
        <w:spacing w:after="200" w:line="300"/>
        <w:jc w:val="both"/>
      </w:pPr>
      <w:r>
        <w:rPr>
          <w:sz w:val="22"/>
          <w:szCs w:val="22"/>
        </w:rPr>
        <w:t xml:space="preserve">Le stage constitue une étape essentielle du parcours académique de l’étudiant : il lui permet de confronter ses connaissances théoriques à la réalité du monde professionnel. Sa gestion implique cependant la coordination de trois parties prenantes aux besoins différents : l’étudiant, qui doit trouver une offre adaptée à son profil et être accompagné tout au long de son stage ; l’entreprise, qui souhaite publier ses offres, sélectionner des candidats et évaluer le stagiaire ; et l’école (enseignants, responsables de stages, administration), qui doit valider les conventions, suivre pédagogiquement les étudiants et organiser les soutenances.</w:t>
      </w:r>
    </w:p>
    <w:p>
      <w:pPr>
        <w:spacing w:after="200" w:line="300"/>
        <w:jc w:val="both"/>
      </w:pPr>
      <w:r>
        <w:rPr>
          <w:sz w:val="22"/>
          <w:szCs w:val="22"/>
        </w:rPr>
        <w:t xml:space="preserve">Dans la majorité des établissements, ce processus reste géré de manière manuelle ou semi-manuelle (échanges d’e-mails, fichiers Excel, formulaires papier), ce qui entraîne une perte de temps, un manque de traçabilité et un suivi pédagogique souvent tardif ou insuffisant — les difficultés d’un étudiant en stage (désengagement, retard dans les livrables, incompréhension du sujet) ne sont détectées que lorsqu’il est déjà trop tard pour intervenir efficacement.</w:t>
      </w:r>
    </w:p>
    <w:p>
      <w:pPr>
        <w:pStyle w:val="Heading2"/>
        <w:spacing w:after="180" w:before="360"/>
      </w:pPr>
      <w:r>
        <w:rPr>
          <w:b/>
          <w:bCs/>
          <w:color w:val="2563EB"/>
          <w:sz w:val="26"/>
          <w:szCs w:val="26"/>
        </w:rPr>
        <w:t xml:space="preserve">1.2 Problématique</w:t>
      </w:r>
    </w:p>
    <w:p>
      <w:pPr>
        <w:spacing w:after="200" w:line="300"/>
        <w:jc w:val="both"/>
      </w:pPr>
      <w:r>
        <w:rPr>
          <w:sz w:val="22"/>
          <w:szCs w:val="22"/>
        </w:rPr>
        <w:t xml:space="preserve">Comment concevoir une plateforme unique, centralisée et sécurisée qui couvre l’intégralité du cycle de vie d’un stage — de la publication de l’offre jusqu’à la soutenance — tout en apportant, grâce à l’intelligence artificielle, un suivi pédagogique proactif capable d’assister les enseignants dans la détection précoce des difficultés et d’accompagner les étudiants de façon personnalisée ?</w:t>
      </w:r>
    </w:p>
    <w:p>
      <w:pPr>
        <w:pStyle w:val="Heading2"/>
        <w:spacing w:after="180" w:before="360"/>
      </w:pPr>
      <w:r>
        <w:rPr>
          <w:b/>
          <w:bCs/>
          <w:color w:val="2563EB"/>
          <w:sz w:val="26"/>
          <w:szCs w:val="26"/>
        </w:rPr>
        <w:t xml:space="preserve">1.3 Objectifs du projet</w:t>
      </w:r>
    </w:p>
    <w:p>
      <w:pPr>
        <w:pStyle w:val="ListParagraph"/>
        <w:numPr>
          <w:ilvl w:val="0"/>
          <w:numId w:val="2"/>
        </w:numPr>
        <w:spacing w:after="100"/>
      </w:pPr>
      <w:r>
        <w:rPr>
          <w:sz w:val="22"/>
          <w:szCs w:val="22"/>
        </w:rPr>
        <w:t xml:space="preserve">Centraliser la gestion des offres de stage, des candidatures et des conventions sur une seule plateforme.</w:t>
      </w:r>
    </w:p>
    <w:p>
      <w:pPr>
        <w:pStyle w:val="ListParagraph"/>
        <w:numPr>
          <w:ilvl w:val="0"/>
          <w:numId w:val="2"/>
        </w:numPr>
        <w:spacing w:after="100"/>
      </w:pPr>
      <w:r>
        <w:rPr>
          <w:sz w:val="22"/>
          <w:szCs w:val="22"/>
        </w:rPr>
        <w:t xml:space="preserve">Digitaliser le suivi du stage (rapports, échanges, jalons) entre étudiant, tuteur académique et tuteur professionnel.</w:t>
      </w:r>
    </w:p>
    <w:p>
      <w:pPr>
        <w:pStyle w:val="ListParagraph"/>
        <w:numPr>
          <w:ilvl w:val="0"/>
          <w:numId w:val="2"/>
        </w:numPr>
        <w:spacing w:after="100"/>
      </w:pPr>
      <w:r>
        <w:rPr>
          <w:sz w:val="22"/>
          <w:szCs w:val="22"/>
        </w:rPr>
        <w:t xml:space="preserve">Intégrer un module d’intelligence artificielle capable d’analyser les rapports d’avancement, de détecter les signaux faibles de décrochage et de proposer des recommandations personnalisées.</w:t>
      </w:r>
    </w:p>
    <w:p>
      <w:pPr>
        <w:pStyle w:val="ListParagraph"/>
        <w:numPr>
          <w:ilvl w:val="0"/>
          <w:numId w:val="2"/>
        </w:numPr>
        <w:spacing w:after="100"/>
      </w:pPr>
      <w:r>
        <w:rPr>
          <w:sz w:val="22"/>
          <w:szCs w:val="22"/>
        </w:rPr>
        <w:t xml:space="preserve">Automatiser la planification des soutenances et la génération des documents administratifs (convention, attestation).</w:t>
      </w:r>
    </w:p>
    <w:p>
      <w:pPr>
        <w:pStyle w:val="ListParagraph"/>
        <w:numPr>
          <w:ilvl w:val="0"/>
          <w:numId w:val="2"/>
        </w:numPr>
        <w:spacing w:after="100"/>
      </w:pPr>
      <w:r>
        <w:rPr>
          <w:sz w:val="22"/>
          <w:szCs w:val="22"/>
        </w:rPr>
        <w:t xml:space="preserve">Fournir aux responsables pédagogiques des tableaux de bord et statistiques d’aide à la décision.</w:t>
      </w:r>
    </w:p>
    <w:p>
      <w:pPr>
        <w:pStyle w:val="ListParagraph"/>
        <w:numPr>
          <w:ilvl w:val="0"/>
          <w:numId w:val="2"/>
        </w:numPr>
        <w:spacing w:after="100"/>
      </w:pPr>
      <w:r>
        <w:rPr>
          <w:sz w:val="22"/>
          <w:szCs w:val="22"/>
        </w:rPr>
        <w:t xml:space="preserve">Concevoir une architecture logicielle claire, maintenable et évolutive, fondée sur le patron MVC.</w:t>
      </w:r>
    </w:p>
    <w:p>
      <w:pPr>
        <w:spacing w:after="200" w:line="300"/>
        <w:jc w:val="both"/>
      </w:pPr>
      <w:r>
        <w:rPr>
          <w:b/>
          <w:bCs/>
          <w:sz w:val="22"/>
          <w:szCs w:val="22"/>
        </w:rPr>
        <w:t xml:space="preserve">Statut au moment de ce rapport : </w:t>
      </w:r>
      <w:r>
        <w:rPr>
          <w:sz w:val="22"/>
          <w:szCs w:val="22"/>
        </w:rPr>
        <w:t xml:space="preserve">l’ensemble de ces objectifs est implémenté et fonctionnel sur une base de données réelle (PostgreSQL hébergée sur Neon), avec 4 rôles opérationnels et 8 fonctionnalités d’intelligence artificielle actives (détaillées en section 6).</w:t>
      </w:r>
    </w:p>
    <w:p>
      <w:pPr>
        <w:pStyle w:val="Heading1"/>
        <w:pBdr>
          <w:bottom w:val="single" w:color="1F3A5F" w:sz="12" w:space="4"/>
        </w:pBdr>
        <w:spacing w:after="240" w:before="480"/>
      </w:pPr>
      <w:r>
        <w:rPr>
          <w:b/>
          <w:bCs/>
          <w:color w:val="1F3A5F"/>
          <w:sz w:val="32"/>
          <w:szCs w:val="32"/>
        </w:rPr>
        <w:t xml:space="preserve">2. Étude de l’existant et spécification des besoins</w:t>
      </w:r>
    </w:p>
    <w:p>
      <w:pPr>
        <w:pStyle w:val="Heading2"/>
        <w:spacing w:after="180" w:before="360"/>
      </w:pPr>
      <w:r>
        <w:rPr>
          <w:b/>
          <w:bCs/>
          <w:color w:val="2563EB"/>
          <w:sz w:val="26"/>
          <w:szCs w:val="26"/>
        </w:rPr>
        <w:t xml:space="preserve">2.1 Analyse critique de l’existant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082"/>
        <w:gridCol w:w="4990"/>
      </w:tblGrid>
      <w:tr>
        <w:trPr>
          <w:tblHeader/>
        </w:trPr>
        <w:tc>
          <w:tcPr>
            <w:tcW w:type="dxa" w:w="4082"/>
            <w:shd w:fill="1F3A5F" w:val="clear"/>
            <w:tcMar>
              <w:top w:type="dxa" w:w="100"/>
              <w:left w:type="dxa" w:w="120"/>
              <w:bottom w:type="dxa" w:w="100"/>
              <w:right w:type="dxa" w:w="120"/>
            </w:tcMar>
            <w:vAlign w:val="center"/>
          </w:tcPr>
          <w:p>
            <w:r>
              <w:rPr>
                <w:b/>
                <w:bCs/>
                <w:color w:val="FFFFFF"/>
                <w:sz w:val="20"/>
                <w:szCs w:val="20"/>
              </w:rPr>
              <w:t xml:space="preserve">Limite du processus actuel</w:t>
            </w:r>
          </w:p>
        </w:tc>
        <w:tc>
          <w:tcPr>
            <w:tcW w:type="dxa" w:w="4990"/>
            <w:shd w:fill="1F3A5F" w:val="clear"/>
            <w:tcMar>
              <w:top w:type="dxa" w:w="100"/>
              <w:left w:type="dxa" w:w="120"/>
              <w:bottom w:type="dxa" w:w="100"/>
              <w:right w:type="dxa" w:w="120"/>
            </w:tcMar>
            <w:vAlign w:val="center"/>
          </w:tcPr>
          <w:p>
            <w:r>
              <w:rPr>
                <w:b/>
                <w:bCs/>
                <w:color w:val="FFFFFF"/>
                <w:sz w:val="20"/>
                <w:szCs w:val="20"/>
              </w:rPr>
              <w:t xml:space="preserve">Conséquence</w:t>
            </w:r>
          </w:p>
        </w:tc>
      </w:tr>
      <w:tr>
        <w:tc>
          <w:tcPr>
            <w:tcW w:type="dxa" w:w="4082"/>
            <w:shd w:fill="FFFFFF" w:val="clear"/>
            <w:tcMar>
              <w:top w:type="dxa" w:w="90"/>
              <w:left w:type="dxa" w:w="120"/>
              <w:bottom w:type="dxa" w:w="90"/>
              <w:right w:type="dxa" w:w="120"/>
            </w:tcMar>
          </w:tcPr>
          <w:p>
            <w:pPr>
              <w:spacing w:after="0"/>
            </w:pPr>
            <w:r>
              <w:rPr>
                <w:sz w:val="20"/>
                <w:szCs w:val="20"/>
              </w:rPr>
              <w:t xml:space="preserve">Offres diffusées par e-mail ou affichage papier</w:t>
            </w:r>
          </w:p>
        </w:tc>
        <w:tc>
          <w:tcPr>
            <w:tcW w:type="dxa" w:w="4990"/>
            <w:shd w:fill="FFFFFF" w:val="clear"/>
            <w:tcMar>
              <w:top w:type="dxa" w:w="90"/>
              <w:left w:type="dxa" w:w="120"/>
              <w:bottom w:type="dxa" w:w="90"/>
              <w:right w:type="dxa" w:w="120"/>
            </w:tcMar>
          </w:tcPr>
          <w:p>
            <w:pPr>
              <w:spacing w:after="0"/>
            </w:pPr>
            <w:r>
              <w:rPr>
                <w:sz w:val="20"/>
                <w:szCs w:val="20"/>
              </w:rPr>
              <w:t xml:space="preserve">Manque de visibilité, offres non centralisées, recherche difficile</w:t>
            </w:r>
          </w:p>
        </w:tc>
      </w:tr>
      <w:tr>
        <w:tc>
          <w:tcPr>
            <w:tcW w:type="dxa" w:w="4082"/>
            <w:shd w:fill="F4F7FB" w:val="clear"/>
            <w:tcMar>
              <w:top w:type="dxa" w:w="90"/>
              <w:left w:type="dxa" w:w="120"/>
              <w:bottom w:type="dxa" w:w="90"/>
              <w:right w:type="dxa" w:w="120"/>
            </w:tcMar>
          </w:tcPr>
          <w:p>
            <w:pPr>
              <w:spacing w:after="0"/>
            </w:pPr>
            <w:r>
              <w:rPr>
                <w:sz w:val="20"/>
                <w:szCs w:val="20"/>
              </w:rPr>
              <w:t xml:space="preserve">Candidatures envoyées hors circuit officiel</w:t>
            </w:r>
          </w:p>
        </w:tc>
        <w:tc>
          <w:tcPr>
            <w:tcW w:type="dxa" w:w="4990"/>
            <w:shd w:fill="F4F7FB" w:val="clear"/>
            <w:tcMar>
              <w:top w:type="dxa" w:w="90"/>
              <w:left w:type="dxa" w:w="120"/>
              <w:bottom w:type="dxa" w:w="90"/>
              <w:right w:type="dxa" w:w="120"/>
            </w:tcMar>
          </w:tcPr>
          <w:p>
            <w:pPr>
              <w:spacing w:after="0"/>
            </w:pPr>
            <w:r>
              <w:rPr>
                <w:sz w:val="20"/>
                <w:szCs w:val="20"/>
              </w:rPr>
              <w:t xml:space="preserve">Pas de traçabilité, risque de perte de documents</w:t>
            </w:r>
          </w:p>
        </w:tc>
      </w:tr>
      <w:tr>
        <w:tc>
          <w:tcPr>
            <w:tcW w:type="dxa" w:w="4082"/>
            <w:shd w:fill="FFFFFF" w:val="clear"/>
            <w:tcMar>
              <w:top w:type="dxa" w:w="90"/>
              <w:left w:type="dxa" w:w="120"/>
              <w:bottom w:type="dxa" w:w="90"/>
              <w:right w:type="dxa" w:w="120"/>
            </w:tcMar>
          </w:tcPr>
          <w:p>
            <w:pPr>
              <w:spacing w:after="0"/>
            </w:pPr>
            <w:r>
              <w:rPr>
                <w:sz w:val="20"/>
                <w:szCs w:val="20"/>
              </w:rPr>
              <w:t xml:space="preserve">Suivi du stage informel (appels, visites ponctuelles)</w:t>
            </w:r>
          </w:p>
        </w:tc>
        <w:tc>
          <w:tcPr>
            <w:tcW w:type="dxa" w:w="4990"/>
            <w:shd w:fill="FFFFFF" w:val="clear"/>
            <w:tcMar>
              <w:top w:type="dxa" w:w="90"/>
              <w:left w:type="dxa" w:w="120"/>
              <w:bottom w:type="dxa" w:w="90"/>
              <w:right w:type="dxa" w:w="120"/>
            </w:tcMar>
          </w:tcPr>
          <w:p>
            <w:pPr>
              <w:spacing w:after="0"/>
            </w:pPr>
            <w:r>
              <w:rPr>
                <w:sz w:val="20"/>
                <w:szCs w:val="20"/>
              </w:rPr>
              <w:t xml:space="preserve">Détection tardive des problèmes, charge de travail élevée pour les enseignants</w:t>
            </w:r>
          </w:p>
        </w:tc>
      </w:tr>
      <w:tr>
        <w:tc>
          <w:tcPr>
            <w:tcW w:type="dxa" w:w="4082"/>
            <w:shd w:fill="F4F7FB" w:val="clear"/>
            <w:tcMar>
              <w:top w:type="dxa" w:w="90"/>
              <w:left w:type="dxa" w:w="120"/>
              <w:bottom w:type="dxa" w:w="90"/>
              <w:right w:type="dxa" w:w="120"/>
            </w:tcMar>
          </w:tcPr>
          <w:p>
            <w:pPr>
              <w:spacing w:after="0"/>
            </w:pPr>
            <w:r>
              <w:rPr>
                <w:sz w:val="20"/>
                <w:szCs w:val="20"/>
              </w:rPr>
              <w:t xml:space="preserve">Conventions et attestations rédigées manuellement</w:t>
            </w:r>
          </w:p>
        </w:tc>
        <w:tc>
          <w:tcPr>
            <w:tcW w:type="dxa" w:w="4990"/>
            <w:shd w:fill="F4F7FB" w:val="clear"/>
            <w:tcMar>
              <w:top w:type="dxa" w:w="90"/>
              <w:left w:type="dxa" w:w="120"/>
              <w:bottom w:type="dxa" w:w="90"/>
              <w:right w:type="dxa" w:w="120"/>
            </w:tcMar>
          </w:tcPr>
          <w:p>
            <w:pPr>
              <w:spacing w:after="0"/>
            </w:pPr>
            <w:r>
              <w:rPr>
                <w:sz w:val="20"/>
                <w:szCs w:val="20"/>
              </w:rPr>
              <w:t xml:space="preserve">Erreurs de saisie, délais administratifs longs</w:t>
            </w:r>
          </w:p>
        </w:tc>
      </w:tr>
      <w:tr>
        <w:tc>
          <w:tcPr>
            <w:tcW w:type="dxa" w:w="4082"/>
            <w:shd w:fill="FFFFFF" w:val="clear"/>
            <w:tcMar>
              <w:top w:type="dxa" w:w="90"/>
              <w:left w:type="dxa" w:w="120"/>
              <w:bottom w:type="dxa" w:w="90"/>
              <w:right w:type="dxa" w:w="120"/>
            </w:tcMar>
          </w:tcPr>
          <w:p>
            <w:pPr>
              <w:spacing w:after="0"/>
            </w:pPr>
            <w:r>
              <w:rPr>
                <w:sz w:val="20"/>
                <w:szCs w:val="20"/>
              </w:rPr>
              <w:t xml:space="preserve">Aucune capitalisation des données de suivi</w:t>
            </w:r>
          </w:p>
        </w:tc>
        <w:tc>
          <w:tcPr>
            <w:tcW w:type="dxa" w:w="4990"/>
            <w:shd w:fill="FFFFFF" w:val="clear"/>
            <w:tcMar>
              <w:top w:type="dxa" w:w="90"/>
              <w:left w:type="dxa" w:w="120"/>
              <w:bottom w:type="dxa" w:w="90"/>
              <w:right w:type="dxa" w:w="120"/>
            </w:tcMar>
          </w:tcPr>
          <w:p>
            <w:pPr>
              <w:spacing w:after="0"/>
            </w:pPr>
            <w:r>
              <w:rPr>
                <w:sz w:val="20"/>
                <w:szCs w:val="20"/>
              </w:rPr>
              <w:t xml:space="preserve">Absence d’indicateurs pour améliorer le dispositif d’année en année</w:t>
            </w:r>
          </w:p>
        </w:tc>
      </w:tr>
    </w:tbl>
    <w:p>
      <w:pPr>
        <w:pStyle w:val="Heading2"/>
        <w:spacing w:after="180" w:before="360"/>
      </w:pPr>
      <w:r>
        <w:rPr>
          <w:b/>
          <w:bCs/>
          <w:color w:val="2563EB"/>
          <w:sz w:val="26"/>
          <w:szCs w:val="26"/>
        </w:rPr>
        <w:t xml:space="preserve">2.2 Acteurs du système</w:t>
      </w:r>
    </w:p>
    <w:p>
      <w:pPr>
        <w:pStyle w:val="ListParagraph"/>
        <w:numPr>
          <w:ilvl w:val="0"/>
          <w:numId w:val="2"/>
        </w:numPr>
        <w:spacing w:after="100"/>
      </w:pPr>
      <w:r>
        <w:rPr>
          <w:b/>
          <w:bCs/>
          <w:sz w:val="22"/>
          <w:szCs w:val="22"/>
        </w:rPr>
        <w:t xml:space="preserve">Étudiant</w:t>
      </w:r>
      <w:r>
        <w:rPr>
          <w:sz w:val="22"/>
          <w:szCs w:val="22"/>
        </w:rPr>
        <w:t xml:space="preserve"> — recherche une offre, postule, dépose ses rapports, communique</w:t>
      </w:r>
    </w:p>
    <w:p>
      <w:pPr>
        <w:pStyle w:val="ListParagraph"/>
        <w:numPr>
          <w:ilvl w:val="0"/>
          <w:numId w:val="2"/>
        </w:numPr>
        <w:spacing w:after="100"/>
      </w:pPr>
      <w:r>
        <w:rPr>
          <w:b/>
          <w:bCs/>
          <w:sz w:val="22"/>
          <w:szCs w:val="22"/>
        </w:rPr>
        <w:t xml:space="preserve">Entreprise</w:t>
      </w:r>
      <w:r>
        <w:rPr>
          <w:sz w:val="22"/>
          <w:szCs w:val="22"/>
        </w:rPr>
        <w:t xml:space="preserve"> (tuteur professionnel) — publie des offres, sélectionne, évalue</w:t>
      </w:r>
    </w:p>
    <w:p>
      <w:pPr>
        <w:pStyle w:val="ListParagraph"/>
        <w:numPr>
          <w:ilvl w:val="0"/>
          <w:numId w:val="2"/>
        </w:numPr>
        <w:spacing w:after="100"/>
      </w:pPr>
      <w:r>
        <w:rPr>
          <w:b/>
          <w:bCs/>
          <w:sz w:val="22"/>
          <w:szCs w:val="22"/>
        </w:rPr>
        <w:t xml:space="preserve">Enseignant</w:t>
      </w:r>
      <w:r>
        <w:rPr>
          <w:sz w:val="22"/>
          <w:szCs w:val="22"/>
        </w:rPr>
        <w:t xml:space="preserve"> (tuteur académique) — encadre, suit, évalue, valide</w:t>
      </w:r>
    </w:p>
    <w:p>
      <w:pPr>
        <w:pStyle w:val="ListParagraph"/>
        <w:numPr>
          <w:ilvl w:val="0"/>
          <w:numId w:val="2"/>
        </w:numPr>
        <w:spacing w:after="100"/>
      </w:pPr>
      <w:r>
        <w:rPr>
          <w:b/>
          <w:bCs/>
          <w:sz w:val="22"/>
          <w:szCs w:val="22"/>
        </w:rPr>
        <w:t xml:space="preserve">Administrateur</w:t>
      </w:r>
      <w:r>
        <w:rPr>
          <w:sz w:val="22"/>
          <w:szCs w:val="22"/>
        </w:rPr>
        <w:t xml:space="preserve"> — supervise, configure, gère les comptes et les statistiques</w:t>
      </w:r>
    </w:p>
    <w:p>
      <w:pPr>
        <w:pStyle w:val="ListParagraph"/>
        <w:numPr>
          <w:ilvl w:val="0"/>
          <w:numId w:val="2"/>
        </w:numPr>
        <w:spacing w:after="100"/>
      </w:pPr>
      <w:r>
        <w:rPr>
          <w:b/>
          <w:bCs/>
          <w:sz w:val="22"/>
          <w:szCs w:val="22"/>
        </w:rPr>
        <w:t xml:space="preserve">Assistant IA</w:t>
      </w:r>
      <w:r>
        <w:rPr>
          <w:sz w:val="22"/>
          <w:szCs w:val="22"/>
        </w:rPr>
        <w:t xml:space="preserve"> (acteur système) — analyse les rapports, détecte les risques, formule des recommandations</w:t>
      </w:r>
    </w:p>
    <w:p>
      <w:pPr>
        <w:pStyle w:val="Heading2"/>
        <w:spacing w:after="180" w:before="360"/>
      </w:pPr>
      <w:r>
        <w:rPr>
          <w:b/>
          <w:bCs/>
          <w:color w:val="2563EB"/>
          <w:sz w:val="26"/>
          <w:szCs w:val="26"/>
        </w:rPr>
        <w:t xml:space="preserve">2.3 Besoins fonctionnels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
        <w:gridCol w:w="5897"/>
        <w:gridCol w:w="2268"/>
      </w:tblGrid>
      <w:tr>
        <w:trPr>
          <w:tblHeader/>
        </w:trPr>
        <w:tc>
          <w:tcPr>
            <w:tcW w:type="dxa" w:w="907"/>
            <w:shd w:fill="1F3A5F" w:val="clear"/>
            <w:tcMar>
              <w:top w:type="dxa" w:w="100"/>
              <w:left w:type="dxa" w:w="120"/>
              <w:bottom w:type="dxa" w:w="100"/>
              <w:right w:type="dxa" w:w="120"/>
            </w:tcMar>
            <w:vAlign w:val="center"/>
          </w:tcPr>
          <w:p>
            <w:r>
              <w:rPr>
                <w:b/>
                <w:bCs/>
                <w:color w:val="FFFFFF"/>
                <w:sz w:val="20"/>
                <w:szCs w:val="20"/>
              </w:rPr>
              <w:t xml:space="preserve">#</w:t>
            </w:r>
          </w:p>
        </w:tc>
        <w:tc>
          <w:tcPr>
            <w:tcW w:type="dxa" w:w="5897"/>
            <w:shd w:fill="1F3A5F" w:val="clear"/>
            <w:tcMar>
              <w:top w:type="dxa" w:w="100"/>
              <w:left w:type="dxa" w:w="120"/>
              <w:bottom w:type="dxa" w:w="100"/>
              <w:right w:type="dxa" w:w="120"/>
            </w:tcMar>
            <w:vAlign w:val="center"/>
          </w:tcPr>
          <w:p>
            <w:r>
              <w:rPr>
                <w:b/>
                <w:bCs/>
                <w:color w:val="FFFFFF"/>
                <w:sz w:val="20"/>
                <w:szCs w:val="20"/>
              </w:rPr>
              <w:t xml:space="preserve">Besoin fonctionnel</w:t>
            </w:r>
          </w:p>
        </w:tc>
        <w:tc>
          <w:tcPr>
            <w:tcW w:type="dxa" w:w="2268"/>
            <w:shd w:fill="1F3A5F" w:val="clear"/>
            <w:tcMar>
              <w:top w:type="dxa" w:w="100"/>
              <w:left w:type="dxa" w:w="120"/>
              <w:bottom w:type="dxa" w:w="100"/>
              <w:right w:type="dxa" w:w="120"/>
            </w:tcMar>
            <w:vAlign w:val="center"/>
          </w:tcPr>
          <w:p>
            <w:r>
              <w:rPr>
                <w:b/>
                <w:bCs/>
                <w:color w:val="FFFFFF"/>
                <w:sz w:val="20"/>
                <w:szCs w:val="20"/>
              </w:rPr>
              <w:t xml:space="preserve">Acteur(s) concerné(s)</w:t>
            </w:r>
          </w:p>
        </w:tc>
      </w:tr>
      <w:tr>
        <w:tc>
          <w:tcPr>
            <w:tcW w:type="dxa" w:w="907"/>
            <w:shd w:fill="FFFFFF" w:val="clear"/>
            <w:tcMar>
              <w:top w:type="dxa" w:w="90"/>
              <w:left w:type="dxa" w:w="120"/>
              <w:bottom w:type="dxa" w:w="90"/>
              <w:right w:type="dxa" w:w="120"/>
            </w:tcMar>
          </w:tcPr>
          <w:p>
            <w:pPr>
              <w:spacing w:after="0"/>
            </w:pPr>
            <w:r>
              <w:rPr>
                <w:sz w:val="20"/>
                <w:szCs w:val="20"/>
              </w:rPr>
              <w:t xml:space="preserve">BF01</w:t>
            </w:r>
          </w:p>
        </w:tc>
        <w:tc>
          <w:tcPr>
            <w:tcW w:type="dxa" w:w="5897"/>
            <w:shd w:fill="FFFFFF" w:val="clear"/>
            <w:tcMar>
              <w:top w:type="dxa" w:w="90"/>
              <w:left w:type="dxa" w:w="120"/>
              <w:bottom w:type="dxa" w:w="90"/>
              <w:right w:type="dxa" w:w="120"/>
            </w:tcMar>
          </w:tcPr>
          <w:p>
            <w:pPr>
              <w:spacing w:after="0"/>
            </w:pPr>
            <w:r>
              <w:rPr>
                <w:sz w:val="20"/>
                <w:szCs w:val="20"/>
              </w:rPr>
              <w:t xml:space="preserve">Créer un compte et s’authentifier selon son rôle</w:t>
            </w:r>
          </w:p>
        </w:tc>
        <w:tc>
          <w:tcPr>
            <w:tcW w:type="dxa" w:w="2268"/>
            <w:shd w:fill="FFFFFF" w:val="clear"/>
            <w:tcMar>
              <w:top w:type="dxa" w:w="90"/>
              <w:left w:type="dxa" w:w="120"/>
              <w:bottom w:type="dxa" w:w="90"/>
              <w:right w:type="dxa" w:w="120"/>
            </w:tcMar>
          </w:tcPr>
          <w:p>
            <w:pPr>
              <w:spacing w:after="0"/>
            </w:pPr>
            <w:r>
              <w:rPr>
                <w:sz w:val="20"/>
                <w:szCs w:val="20"/>
              </w:rPr>
              <w:t xml:space="preserve">Tous</w:t>
            </w:r>
          </w:p>
        </w:tc>
      </w:tr>
      <w:tr>
        <w:tc>
          <w:tcPr>
            <w:tcW w:type="dxa" w:w="907"/>
            <w:shd w:fill="F4F7FB" w:val="clear"/>
            <w:tcMar>
              <w:top w:type="dxa" w:w="90"/>
              <w:left w:type="dxa" w:w="120"/>
              <w:bottom w:type="dxa" w:w="90"/>
              <w:right w:type="dxa" w:w="120"/>
            </w:tcMar>
          </w:tcPr>
          <w:p>
            <w:pPr>
              <w:spacing w:after="0"/>
            </w:pPr>
            <w:r>
              <w:rPr>
                <w:sz w:val="20"/>
                <w:szCs w:val="20"/>
              </w:rPr>
              <w:t xml:space="preserve">BF02</w:t>
            </w:r>
          </w:p>
        </w:tc>
        <w:tc>
          <w:tcPr>
            <w:tcW w:type="dxa" w:w="5897"/>
            <w:shd w:fill="F4F7FB" w:val="clear"/>
            <w:tcMar>
              <w:top w:type="dxa" w:w="90"/>
              <w:left w:type="dxa" w:w="120"/>
              <w:bottom w:type="dxa" w:w="90"/>
              <w:right w:type="dxa" w:w="120"/>
            </w:tcMar>
          </w:tcPr>
          <w:p>
            <w:pPr>
              <w:spacing w:after="0"/>
            </w:pPr>
            <w:r>
              <w:rPr>
                <w:sz w:val="20"/>
                <w:szCs w:val="20"/>
              </w:rPr>
              <w:t xml:space="preserve">Publier, modifier et clôturer une offre de stage</w:t>
            </w:r>
          </w:p>
        </w:tc>
        <w:tc>
          <w:tcPr>
            <w:tcW w:type="dxa" w:w="2268"/>
            <w:shd w:fill="F4F7FB" w:val="clear"/>
            <w:tcMar>
              <w:top w:type="dxa" w:w="90"/>
              <w:left w:type="dxa" w:w="120"/>
              <w:bottom w:type="dxa" w:w="90"/>
              <w:right w:type="dxa" w:w="120"/>
            </w:tcMar>
          </w:tcPr>
          <w:p>
            <w:pPr>
              <w:spacing w:after="0"/>
            </w:pPr>
            <w:r>
              <w:rPr>
                <w:sz w:val="20"/>
                <w:szCs w:val="20"/>
              </w:rPr>
              <w:t xml:space="preserve">Entreprise</w:t>
            </w:r>
          </w:p>
        </w:tc>
      </w:tr>
      <w:tr>
        <w:tc>
          <w:tcPr>
            <w:tcW w:type="dxa" w:w="907"/>
            <w:shd w:fill="FFFFFF" w:val="clear"/>
            <w:tcMar>
              <w:top w:type="dxa" w:w="90"/>
              <w:left w:type="dxa" w:w="120"/>
              <w:bottom w:type="dxa" w:w="90"/>
              <w:right w:type="dxa" w:w="120"/>
            </w:tcMar>
          </w:tcPr>
          <w:p>
            <w:pPr>
              <w:spacing w:after="0"/>
            </w:pPr>
            <w:r>
              <w:rPr>
                <w:sz w:val="20"/>
                <w:szCs w:val="20"/>
              </w:rPr>
              <w:t xml:space="preserve">BF03</w:t>
            </w:r>
          </w:p>
        </w:tc>
        <w:tc>
          <w:tcPr>
            <w:tcW w:type="dxa" w:w="5897"/>
            <w:shd w:fill="FFFFFF" w:val="clear"/>
            <w:tcMar>
              <w:top w:type="dxa" w:w="90"/>
              <w:left w:type="dxa" w:w="120"/>
              <w:bottom w:type="dxa" w:w="90"/>
              <w:right w:type="dxa" w:w="120"/>
            </w:tcMar>
          </w:tcPr>
          <w:p>
            <w:pPr>
              <w:spacing w:after="0"/>
            </w:pPr>
            <w:r>
              <w:rPr>
                <w:sz w:val="20"/>
                <w:szCs w:val="20"/>
              </w:rPr>
              <w:t xml:space="preserve">Rechercher et filtrer les offres (filière, durée, lieu, compétences)</w:t>
            </w:r>
          </w:p>
        </w:tc>
        <w:tc>
          <w:tcPr>
            <w:tcW w:type="dxa" w:w="2268"/>
            <w:shd w:fill="FFFFFF" w:val="clear"/>
            <w:tcMar>
              <w:top w:type="dxa" w:w="90"/>
              <w:left w:type="dxa" w:w="120"/>
              <w:bottom w:type="dxa" w:w="90"/>
              <w:right w:type="dxa" w:w="120"/>
            </w:tcMar>
          </w:tcPr>
          <w:p>
            <w:pPr>
              <w:spacing w:after="0"/>
            </w:pPr>
            <w:r>
              <w:rPr>
                <w:sz w:val="20"/>
                <w:szCs w:val="20"/>
              </w:rPr>
              <w:t xml:space="preserve">Étudiant</w:t>
            </w:r>
          </w:p>
        </w:tc>
      </w:tr>
      <w:tr>
        <w:tc>
          <w:tcPr>
            <w:tcW w:type="dxa" w:w="907"/>
            <w:shd w:fill="F4F7FB" w:val="clear"/>
            <w:tcMar>
              <w:top w:type="dxa" w:w="90"/>
              <w:left w:type="dxa" w:w="120"/>
              <w:bottom w:type="dxa" w:w="90"/>
              <w:right w:type="dxa" w:w="120"/>
            </w:tcMar>
          </w:tcPr>
          <w:p>
            <w:pPr>
              <w:spacing w:after="0"/>
            </w:pPr>
            <w:r>
              <w:rPr>
                <w:sz w:val="20"/>
                <w:szCs w:val="20"/>
              </w:rPr>
              <w:t xml:space="preserve">BF04</w:t>
            </w:r>
          </w:p>
        </w:tc>
        <w:tc>
          <w:tcPr>
            <w:tcW w:type="dxa" w:w="5897"/>
            <w:shd w:fill="F4F7FB" w:val="clear"/>
            <w:tcMar>
              <w:top w:type="dxa" w:w="90"/>
              <w:left w:type="dxa" w:w="120"/>
              <w:bottom w:type="dxa" w:w="90"/>
              <w:right w:type="dxa" w:w="120"/>
            </w:tcMar>
          </w:tcPr>
          <w:p>
            <w:pPr>
              <w:spacing w:after="0"/>
            </w:pPr>
            <w:r>
              <w:rPr>
                <w:sz w:val="20"/>
                <w:szCs w:val="20"/>
              </w:rPr>
              <w:t xml:space="preserve">Postuler à une offre en joignant CV et lettre de motivation</w:t>
            </w:r>
          </w:p>
        </w:tc>
        <w:tc>
          <w:tcPr>
            <w:tcW w:type="dxa" w:w="2268"/>
            <w:shd w:fill="F4F7FB" w:val="clear"/>
            <w:tcMar>
              <w:top w:type="dxa" w:w="90"/>
              <w:left w:type="dxa" w:w="120"/>
              <w:bottom w:type="dxa" w:w="90"/>
              <w:right w:type="dxa" w:w="120"/>
            </w:tcMar>
          </w:tcPr>
          <w:p>
            <w:pPr>
              <w:spacing w:after="0"/>
            </w:pPr>
            <w:r>
              <w:rPr>
                <w:sz w:val="20"/>
                <w:szCs w:val="20"/>
              </w:rPr>
              <w:t xml:space="preserve">Étudiant</w:t>
            </w:r>
          </w:p>
        </w:tc>
      </w:tr>
      <w:tr>
        <w:tc>
          <w:tcPr>
            <w:tcW w:type="dxa" w:w="907"/>
            <w:shd w:fill="FFFFFF" w:val="clear"/>
            <w:tcMar>
              <w:top w:type="dxa" w:w="90"/>
              <w:left w:type="dxa" w:w="120"/>
              <w:bottom w:type="dxa" w:w="90"/>
              <w:right w:type="dxa" w:w="120"/>
            </w:tcMar>
          </w:tcPr>
          <w:p>
            <w:pPr>
              <w:spacing w:after="0"/>
            </w:pPr>
            <w:r>
              <w:rPr>
                <w:sz w:val="20"/>
                <w:szCs w:val="20"/>
              </w:rPr>
              <w:t xml:space="preserve">BF05</w:t>
            </w:r>
          </w:p>
        </w:tc>
        <w:tc>
          <w:tcPr>
            <w:tcW w:type="dxa" w:w="5897"/>
            <w:shd w:fill="FFFFFF" w:val="clear"/>
            <w:tcMar>
              <w:top w:type="dxa" w:w="90"/>
              <w:left w:type="dxa" w:w="120"/>
              <w:bottom w:type="dxa" w:w="90"/>
              <w:right w:type="dxa" w:w="120"/>
            </w:tcMar>
          </w:tcPr>
          <w:p>
            <w:pPr>
              <w:spacing w:after="0"/>
            </w:pPr>
            <w:r>
              <w:rPr>
                <w:sz w:val="20"/>
                <w:szCs w:val="20"/>
              </w:rPr>
              <w:t xml:space="preserve">Présélectionner et sélectionner un candidat</w:t>
            </w:r>
          </w:p>
        </w:tc>
        <w:tc>
          <w:tcPr>
            <w:tcW w:type="dxa" w:w="2268"/>
            <w:shd w:fill="FFFFFF" w:val="clear"/>
            <w:tcMar>
              <w:top w:type="dxa" w:w="90"/>
              <w:left w:type="dxa" w:w="120"/>
              <w:bottom w:type="dxa" w:w="90"/>
              <w:right w:type="dxa" w:w="120"/>
            </w:tcMar>
          </w:tcPr>
          <w:p>
            <w:pPr>
              <w:spacing w:after="0"/>
            </w:pPr>
            <w:r>
              <w:rPr>
                <w:sz w:val="20"/>
                <w:szCs w:val="20"/>
              </w:rPr>
              <w:t xml:space="preserve">Entreprise</w:t>
            </w:r>
          </w:p>
        </w:tc>
      </w:tr>
      <w:tr>
        <w:tc>
          <w:tcPr>
            <w:tcW w:type="dxa" w:w="907"/>
            <w:shd w:fill="F4F7FB" w:val="clear"/>
            <w:tcMar>
              <w:top w:type="dxa" w:w="90"/>
              <w:left w:type="dxa" w:w="120"/>
              <w:bottom w:type="dxa" w:w="90"/>
              <w:right w:type="dxa" w:w="120"/>
            </w:tcMar>
          </w:tcPr>
          <w:p>
            <w:pPr>
              <w:spacing w:after="0"/>
            </w:pPr>
            <w:r>
              <w:rPr>
                <w:sz w:val="20"/>
                <w:szCs w:val="20"/>
              </w:rPr>
              <w:t xml:space="preserve">BF06</w:t>
            </w:r>
          </w:p>
        </w:tc>
        <w:tc>
          <w:tcPr>
            <w:tcW w:type="dxa" w:w="5897"/>
            <w:shd w:fill="F4F7FB" w:val="clear"/>
            <w:tcMar>
              <w:top w:type="dxa" w:w="90"/>
              <w:left w:type="dxa" w:w="120"/>
              <w:bottom w:type="dxa" w:w="90"/>
              <w:right w:type="dxa" w:w="120"/>
            </w:tcMar>
          </w:tcPr>
          <w:p>
            <w:pPr>
              <w:spacing w:after="0"/>
            </w:pPr>
            <w:r>
              <w:rPr>
                <w:sz w:val="20"/>
                <w:szCs w:val="20"/>
              </w:rPr>
              <w:t xml:space="preserve">Générer et faire valider électroniquement la convention de stage</w:t>
            </w:r>
          </w:p>
        </w:tc>
        <w:tc>
          <w:tcPr>
            <w:tcW w:type="dxa" w:w="2268"/>
            <w:shd w:fill="F4F7FB" w:val="clear"/>
            <w:tcMar>
              <w:top w:type="dxa" w:w="90"/>
              <w:left w:type="dxa" w:w="120"/>
              <w:bottom w:type="dxa" w:w="90"/>
              <w:right w:type="dxa" w:w="120"/>
            </w:tcMar>
          </w:tcPr>
          <w:p>
            <w:pPr>
              <w:spacing w:after="0"/>
            </w:pPr>
            <w:r>
              <w:rPr>
                <w:sz w:val="20"/>
                <w:szCs w:val="20"/>
              </w:rPr>
              <w:t xml:space="preserve">Administrateur, Enseignant</w:t>
            </w:r>
          </w:p>
        </w:tc>
      </w:tr>
      <w:tr>
        <w:tc>
          <w:tcPr>
            <w:tcW w:type="dxa" w:w="907"/>
            <w:shd w:fill="FFFFFF" w:val="clear"/>
            <w:tcMar>
              <w:top w:type="dxa" w:w="90"/>
              <w:left w:type="dxa" w:w="120"/>
              <w:bottom w:type="dxa" w:w="90"/>
              <w:right w:type="dxa" w:w="120"/>
            </w:tcMar>
          </w:tcPr>
          <w:p>
            <w:pPr>
              <w:spacing w:after="0"/>
            </w:pPr>
            <w:r>
              <w:rPr>
                <w:sz w:val="20"/>
                <w:szCs w:val="20"/>
              </w:rPr>
              <w:t xml:space="preserve">BF07</w:t>
            </w:r>
          </w:p>
        </w:tc>
        <w:tc>
          <w:tcPr>
            <w:tcW w:type="dxa" w:w="5897"/>
            <w:shd w:fill="FFFFFF" w:val="clear"/>
            <w:tcMar>
              <w:top w:type="dxa" w:w="90"/>
              <w:left w:type="dxa" w:w="120"/>
              <w:bottom w:type="dxa" w:w="90"/>
              <w:right w:type="dxa" w:w="120"/>
            </w:tcMar>
          </w:tcPr>
          <w:p>
            <w:pPr>
              <w:spacing w:after="0"/>
            </w:pPr>
            <w:r>
              <w:rPr>
                <w:sz w:val="20"/>
                <w:szCs w:val="20"/>
              </w:rPr>
              <w:t xml:space="preserve">Déposer des rapports d’avancement et le rapport final</w:t>
            </w:r>
          </w:p>
        </w:tc>
        <w:tc>
          <w:tcPr>
            <w:tcW w:type="dxa" w:w="2268"/>
            <w:shd w:fill="FFFFFF" w:val="clear"/>
            <w:tcMar>
              <w:top w:type="dxa" w:w="90"/>
              <w:left w:type="dxa" w:w="120"/>
              <w:bottom w:type="dxa" w:w="90"/>
              <w:right w:type="dxa" w:w="120"/>
            </w:tcMar>
          </w:tcPr>
          <w:p>
            <w:pPr>
              <w:spacing w:after="0"/>
            </w:pPr>
            <w:r>
              <w:rPr>
                <w:sz w:val="20"/>
                <w:szCs w:val="20"/>
              </w:rPr>
              <w:t xml:space="preserve">Étudiant</w:t>
            </w:r>
          </w:p>
        </w:tc>
      </w:tr>
      <w:tr>
        <w:tc>
          <w:tcPr>
            <w:tcW w:type="dxa" w:w="907"/>
            <w:shd w:fill="F4F7FB" w:val="clear"/>
            <w:tcMar>
              <w:top w:type="dxa" w:w="90"/>
              <w:left w:type="dxa" w:w="120"/>
              <w:bottom w:type="dxa" w:w="90"/>
              <w:right w:type="dxa" w:w="120"/>
            </w:tcMar>
          </w:tcPr>
          <w:p>
            <w:pPr>
              <w:spacing w:after="0"/>
            </w:pPr>
            <w:r>
              <w:rPr>
                <w:sz w:val="20"/>
                <w:szCs w:val="20"/>
              </w:rPr>
              <w:t xml:space="preserve">BF08</w:t>
            </w:r>
          </w:p>
        </w:tc>
        <w:tc>
          <w:tcPr>
            <w:tcW w:type="dxa" w:w="5897"/>
            <w:shd w:fill="F4F7FB" w:val="clear"/>
            <w:tcMar>
              <w:top w:type="dxa" w:w="90"/>
              <w:left w:type="dxa" w:w="120"/>
              <w:bottom w:type="dxa" w:w="90"/>
              <w:right w:type="dxa" w:w="120"/>
            </w:tcMar>
          </w:tcPr>
          <w:p>
            <w:pPr>
              <w:spacing w:after="0"/>
            </w:pPr>
            <w:r>
              <w:rPr>
                <w:sz w:val="20"/>
                <w:szCs w:val="20"/>
              </w:rPr>
              <w:t xml:space="preserve">Échanger via une messagerie interne (étudiant / tuteurs)</w:t>
            </w:r>
          </w:p>
        </w:tc>
        <w:tc>
          <w:tcPr>
            <w:tcW w:type="dxa" w:w="2268"/>
            <w:shd w:fill="F4F7FB" w:val="clear"/>
            <w:tcMar>
              <w:top w:type="dxa" w:w="90"/>
              <w:left w:type="dxa" w:w="120"/>
              <w:bottom w:type="dxa" w:w="90"/>
              <w:right w:type="dxa" w:w="120"/>
            </w:tcMar>
          </w:tcPr>
          <w:p>
            <w:pPr>
              <w:spacing w:after="0"/>
            </w:pPr>
            <w:r>
              <w:rPr>
                <w:sz w:val="20"/>
                <w:szCs w:val="20"/>
              </w:rPr>
              <w:t xml:space="preserve">Tous</w:t>
            </w:r>
          </w:p>
        </w:tc>
      </w:tr>
      <w:tr>
        <w:tc>
          <w:tcPr>
            <w:tcW w:type="dxa" w:w="907"/>
            <w:shd w:fill="FFFFFF" w:val="clear"/>
            <w:tcMar>
              <w:top w:type="dxa" w:w="90"/>
              <w:left w:type="dxa" w:w="120"/>
              <w:bottom w:type="dxa" w:w="90"/>
              <w:right w:type="dxa" w:w="120"/>
            </w:tcMar>
          </w:tcPr>
          <w:p>
            <w:pPr>
              <w:spacing w:after="0"/>
            </w:pPr>
            <w:r>
              <w:rPr>
                <w:sz w:val="20"/>
                <w:szCs w:val="20"/>
              </w:rPr>
              <w:t xml:space="preserve">BF09</w:t>
            </w:r>
          </w:p>
        </w:tc>
        <w:tc>
          <w:tcPr>
            <w:tcW w:type="dxa" w:w="5897"/>
            <w:shd w:fill="FFFFFF" w:val="clear"/>
            <w:tcMar>
              <w:top w:type="dxa" w:w="90"/>
              <w:left w:type="dxa" w:w="120"/>
              <w:bottom w:type="dxa" w:w="90"/>
              <w:right w:type="dxa" w:w="120"/>
            </w:tcMar>
          </w:tcPr>
          <w:p>
            <w:pPr>
              <w:spacing w:after="0"/>
            </w:pPr>
            <w:r>
              <w:rPr>
                <w:sz w:val="20"/>
                <w:szCs w:val="20"/>
              </w:rPr>
              <w:t xml:space="preserve">Analyser automatiquement les rapports déposés (résumé, ton, indicateurs)</w:t>
            </w:r>
          </w:p>
        </w:tc>
        <w:tc>
          <w:tcPr>
            <w:tcW w:type="dxa" w:w="2268"/>
            <w:shd w:fill="FFFFFF" w:val="clear"/>
            <w:tcMar>
              <w:top w:type="dxa" w:w="90"/>
              <w:left w:type="dxa" w:w="120"/>
              <w:bottom w:type="dxa" w:w="90"/>
              <w:right w:type="dxa" w:w="120"/>
            </w:tcMar>
          </w:tcPr>
          <w:p>
            <w:pPr>
              <w:spacing w:after="0"/>
            </w:pPr>
            <w:r>
              <w:rPr>
                <w:sz w:val="20"/>
                <w:szCs w:val="20"/>
              </w:rPr>
              <w:t xml:space="preserve">Assistant IA</w:t>
            </w:r>
          </w:p>
        </w:tc>
      </w:tr>
      <w:tr>
        <w:tc>
          <w:tcPr>
            <w:tcW w:type="dxa" w:w="907"/>
            <w:shd w:fill="F4F7FB" w:val="clear"/>
            <w:tcMar>
              <w:top w:type="dxa" w:w="90"/>
              <w:left w:type="dxa" w:w="120"/>
              <w:bottom w:type="dxa" w:w="90"/>
              <w:right w:type="dxa" w:w="120"/>
            </w:tcMar>
          </w:tcPr>
          <w:p>
            <w:pPr>
              <w:spacing w:after="0"/>
            </w:pPr>
            <w:r>
              <w:rPr>
                <w:sz w:val="20"/>
                <w:szCs w:val="20"/>
              </w:rPr>
              <w:t xml:space="preserve">BF10</w:t>
            </w:r>
          </w:p>
        </w:tc>
        <w:tc>
          <w:tcPr>
            <w:tcW w:type="dxa" w:w="5897"/>
            <w:shd w:fill="F4F7FB" w:val="clear"/>
            <w:tcMar>
              <w:top w:type="dxa" w:w="90"/>
              <w:left w:type="dxa" w:w="120"/>
              <w:bottom w:type="dxa" w:w="90"/>
              <w:right w:type="dxa" w:w="120"/>
            </w:tcMar>
          </w:tcPr>
          <w:p>
            <w:pPr>
              <w:spacing w:after="0"/>
            </w:pPr>
            <w:r>
              <w:rPr>
                <w:sz w:val="20"/>
                <w:szCs w:val="20"/>
              </w:rPr>
              <w:t xml:space="preserve">Détecter les signaux de risque de décrochage et alerter l’enseignant</w:t>
            </w:r>
          </w:p>
        </w:tc>
        <w:tc>
          <w:tcPr>
            <w:tcW w:type="dxa" w:w="2268"/>
            <w:shd w:fill="F4F7FB" w:val="clear"/>
            <w:tcMar>
              <w:top w:type="dxa" w:w="90"/>
              <w:left w:type="dxa" w:w="120"/>
              <w:bottom w:type="dxa" w:w="90"/>
              <w:right w:type="dxa" w:w="120"/>
            </w:tcMar>
          </w:tcPr>
          <w:p>
            <w:pPr>
              <w:spacing w:after="0"/>
            </w:pPr>
            <w:r>
              <w:rPr>
                <w:sz w:val="20"/>
                <w:szCs w:val="20"/>
              </w:rPr>
              <w:t xml:space="preserve">Assistant IA</w:t>
            </w:r>
          </w:p>
        </w:tc>
      </w:tr>
      <w:tr>
        <w:tc>
          <w:tcPr>
            <w:tcW w:type="dxa" w:w="907"/>
            <w:shd w:fill="FFFFFF" w:val="clear"/>
            <w:tcMar>
              <w:top w:type="dxa" w:w="90"/>
              <w:left w:type="dxa" w:w="120"/>
              <w:bottom w:type="dxa" w:w="90"/>
              <w:right w:type="dxa" w:w="120"/>
            </w:tcMar>
          </w:tcPr>
          <w:p>
            <w:pPr>
              <w:spacing w:after="0"/>
            </w:pPr>
            <w:r>
              <w:rPr>
                <w:sz w:val="20"/>
                <w:szCs w:val="20"/>
              </w:rPr>
              <w:t xml:space="preserve">BF11</w:t>
            </w:r>
          </w:p>
        </w:tc>
        <w:tc>
          <w:tcPr>
            <w:tcW w:type="dxa" w:w="5897"/>
            <w:shd w:fill="FFFFFF" w:val="clear"/>
            <w:tcMar>
              <w:top w:type="dxa" w:w="90"/>
              <w:left w:type="dxa" w:w="120"/>
              <w:bottom w:type="dxa" w:w="90"/>
              <w:right w:type="dxa" w:w="120"/>
            </w:tcMar>
          </w:tcPr>
          <w:p>
            <w:pPr>
              <w:spacing w:after="0"/>
            </w:pPr>
            <w:r>
              <w:rPr>
                <w:sz w:val="20"/>
                <w:szCs w:val="20"/>
              </w:rPr>
              <w:t xml:space="preserve">Proposer des recommandations personnalisées à l’étudiant</w:t>
            </w:r>
          </w:p>
        </w:tc>
        <w:tc>
          <w:tcPr>
            <w:tcW w:type="dxa" w:w="2268"/>
            <w:shd w:fill="FFFFFF" w:val="clear"/>
            <w:tcMar>
              <w:top w:type="dxa" w:w="90"/>
              <w:left w:type="dxa" w:w="120"/>
              <w:bottom w:type="dxa" w:w="90"/>
              <w:right w:type="dxa" w:w="120"/>
            </w:tcMar>
          </w:tcPr>
          <w:p>
            <w:pPr>
              <w:spacing w:after="0"/>
            </w:pPr>
            <w:r>
              <w:rPr>
                <w:sz w:val="20"/>
                <w:szCs w:val="20"/>
              </w:rPr>
              <w:t xml:space="preserve">Assistant IA</w:t>
            </w:r>
          </w:p>
        </w:tc>
      </w:tr>
      <w:tr>
        <w:tc>
          <w:tcPr>
            <w:tcW w:type="dxa" w:w="907"/>
            <w:shd w:fill="F4F7FB" w:val="clear"/>
            <w:tcMar>
              <w:top w:type="dxa" w:w="90"/>
              <w:left w:type="dxa" w:w="120"/>
              <w:bottom w:type="dxa" w:w="90"/>
              <w:right w:type="dxa" w:w="120"/>
            </w:tcMar>
          </w:tcPr>
          <w:p>
            <w:pPr>
              <w:spacing w:after="0"/>
            </w:pPr>
            <w:r>
              <w:rPr>
                <w:sz w:val="20"/>
                <w:szCs w:val="20"/>
              </w:rPr>
              <w:t xml:space="preserve">BF12</w:t>
            </w:r>
          </w:p>
        </w:tc>
        <w:tc>
          <w:tcPr>
            <w:tcW w:type="dxa" w:w="5897"/>
            <w:shd w:fill="F4F7FB" w:val="clear"/>
            <w:tcMar>
              <w:top w:type="dxa" w:w="90"/>
              <w:left w:type="dxa" w:w="120"/>
              <w:bottom w:type="dxa" w:w="90"/>
              <w:right w:type="dxa" w:w="120"/>
            </w:tcMar>
          </w:tcPr>
          <w:p>
            <w:pPr>
              <w:spacing w:after="0"/>
            </w:pPr>
            <w:r>
              <w:rPr>
                <w:sz w:val="20"/>
                <w:szCs w:val="20"/>
              </w:rPr>
              <w:t xml:space="preserve">Planifier la soutenance (date, jury, lieu ou lien visio)</w:t>
            </w:r>
          </w:p>
        </w:tc>
        <w:tc>
          <w:tcPr>
            <w:tcW w:type="dxa" w:w="2268"/>
            <w:shd w:fill="F4F7FB" w:val="clear"/>
            <w:tcMar>
              <w:top w:type="dxa" w:w="90"/>
              <w:left w:type="dxa" w:w="120"/>
              <w:bottom w:type="dxa" w:w="90"/>
              <w:right w:type="dxa" w:w="120"/>
            </w:tcMar>
          </w:tcPr>
          <w:p>
            <w:pPr>
              <w:spacing w:after="0"/>
            </w:pPr>
            <w:r>
              <w:rPr>
                <w:sz w:val="20"/>
                <w:szCs w:val="20"/>
              </w:rPr>
              <w:t xml:space="preserve">Administrateur</w:t>
            </w:r>
          </w:p>
        </w:tc>
      </w:tr>
      <w:tr>
        <w:tc>
          <w:tcPr>
            <w:tcW w:type="dxa" w:w="907"/>
            <w:shd w:fill="FFFFFF" w:val="clear"/>
            <w:tcMar>
              <w:top w:type="dxa" w:w="90"/>
              <w:left w:type="dxa" w:w="120"/>
              <w:bottom w:type="dxa" w:w="90"/>
              <w:right w:type="dxa" w:w="120"/>
            </w:tcMar>
          </w:tcPr>
          <w:p>
            <w:pPr>
              <w:spacing w:after="0"/>
            </w:pPr>
            <w:r>
              <w:rPr>
                <w:sz w:val="20"/>
                <w:szCs w:val="20"/>
              </w:rPr>
              <w:t xml:space="preserve">BF13</w:t>
            </w:r>
          </w:p>
        </w:tc>
        <w:tc>
          <w:tcPr>
            <w:tcW w:type="dxa" w:w="5897"/>
            <w:shd w:fill="FFFFFF" w:val="clear"/>
            <w:tcMar>
              <w:top w:type="dxa" w:w="90"/>
              <w:left w:type="dxa" w:w="120"/>
              <w:bottom w:type="dxa" w:w="90"/>
              <w:right w:type="dxa" w:w="120"/>
            </w:tcMar>
          </w:tcPr>
          <w:p>
            <w:pPr>
              <w:spacing w:after="0"/>
            </w:pPr>
            <w:r>
              <w:rPr>
                <w:sz w:val="20"/>
                <w:szCs w:val="20"/>
              </w:rPr>
              <w:t xml:space="preserve">Évaluer le stage selon une grille de critères</w:t>
            </w:r>
          </w:p>
        </w:tc>
        <w:tc>
          <w:tcPr>
            <w:tcW w:type="dxa" w:w="2268"/>
            <w:shd w:fill="FFFFFF" w:val="clear"/>
            <w:tcMar>
              <w:top w:type="dxa" w:w="90"/>
              <w:left w:type="dxa" w:w="120"/>
              <w:bottom w:type="dxa" w:w="90"/>
              <w:right w:type="dxa" w:w="120"/>
            </w:tcMar>
          </w:tcPr>
          <w:p>
            <w:pPr>
              <w:spacing w:after="0"/>
            </w:pPr>
            <w:r>
              <w:rPr>
                <w:sz w:val="20"/>
                <w:szCs w:val="20"/>
              </w:rPr>
              <w:t xml:space="preserve">Enseignant, Entreprise</w:t>
            </w:r>
          </w:p>
        </w:tc>
      </w:tr>
      <w:tr>
        <w:tc>
          <w:tcPr>
            <w:tcW w:type="dxa" w:w="907"/>
            <w:shd w:fill="F4F7FB" w:val="clear"/>
            <w:tcMar>
              <w:top w:type="dxa" w:w="90"/>
              <w:left w:type="dxa" w:w="120"/>
              <w:bottom w:type="dxa" w:w="90"/>
              <w:right w:type="dxa" w:w="120"/>
            </w:tcMar>
          </w:tcPr>
          <w:p>
            <w:pPr>
              <w:spacing w:after="0"/>
            </w:pPr>
            <w:r>
              <w:rPr>
                <w:sz w:val="20"/>
                <w:szCs w:val="20"/>
              </w:rPr>
              <w:t xml:space="preserve">BF14</w:t>
            </w:r>
          </w:p>
        </w:tc>
        <w:tc>
          <w:tcPr>
            <w:tcW w:type="dxa" w:w="5897"/>
            <w:shd w:fill="F4F7FB" w:val="clear"/>
            <w:tcMar>
              <w:top w:type="dxa" w:w="90"/>
              <w:left w:type="dxa" w:w="120"/>
              <w:bottom w:type="dxa" w:w="90"/>
              <w:right w:type="dxa" w:w="120"/>
            </w:tcMar>
          </w:tcPr>
          <w:p>
            <w:pPr>
              <w:spacing w:after="0"/>
            </w:pPr>
            <w:r>
              <w:rPr>
                <w:sz w:val="20"/>
                <w:szCs w:val="20"/>
              </w:rPr>
              <w:t xml:space="preserve">Générer automatiquement l’attestation de stage</w:t>
            </w:r>
          </w:p>
        </w:tc>
        <w:tc>
          <w:tcPr>
            <w:tcW w:type="dxa" w:w="2268"/>
            <w:shd w:fill="F4F7FB" w:val="clear"/>
            <w:tcMar>
              <w:top w:type="dxa" w:w="90"/>
              <w:left w:type="dxa" w:w="120"/>
              <w:bottom w:type="dxa" w:w="90"/>
              <w:right w:type="dxa" w:w="120"/>
            </w:tcMar>
          </w:tcPr>
          <w:p>
            <w:pPr>
              <w:spacing w:after="0"/>
            </w:pPr>
            <w:r>
              <w:rPr>
                <w:sz w:val="20"/>
                <w:szCs w:val="20"/>
              </w:rPr>
              <w:t xml:space="preserve">Système</w:t>
            </w:r>
          </w:p>
        </w:tc>
      </w:tr>
      <w:tr>
        <w:tc>
          <w:tcPr>
            <w:tcW w:type="dxa" w:w="907"/>
            <w:shd w:fill="FFFFFF" w:val="clear"/>
            <w:tcMar>
              <w:top w:type="dxa" w:w="90"/>
              <w:left w:type="dxa" w:w="120"/>
              <w:bottom w:type="dxa" w:w="90"/>
              <w:right w:type="dxa" w:w="120"/>
            </w:tcMar>
          </w:tcPr>
          <w:p>
            <w:pPr>
              <w:spacing w:after="0"/>
            </w:pPr>
            <w:r>
              <w:rPr>
                <w:sz w:val="20"/>
                <w:szCs w:val="20"/>
              </w:rPr>
              <w:t xml:space="preserve">BF15</w:t>
            </w:r>
          </w:p>
        </w:tc>
        <w:tc>
          <w:tcPr>
            <w:tcW w:type="dxa" w:w="5897"/>
            <w:shd w:fill="FFFFFF" w:val="clear"/>
            <w:tcMar>
              <w:top w:type="dxa" w:w="90"/>
              <w:left w:type="dxa" w:w="120"/>
              <w:bottom w:type="dxa" w:w="90"/>
              <w:right w:type="dxa" w:w="120"/>
            </w:tcMar>
          </w:tcPr>
          <w:p>
            <w:pPr>
              <w:spacing w:after="0"/>
            </w:pPr>
            <w:r>
              <w:rPr>
                <w:sz w:val="20"/>
                <w:szCs w:val="20"/>
              </w:rPr>
              <w:t xml:space="preserve">Consulter des tableaux de bord et statistiques globales</w:t>
            </w:r>
          </w:p>
        </w:tc>
        <w:tc>
          <w:tcPr>
            <w:tcW w:type="dxa" w:w="2268"/>
            <w:shd w:fill="FFFFFF" w:val="clear"/>
            <w:tcMar>
              <w:top w:type="dxa" w:w="90"/>
              <w:left w:type="dxa" w:w="120"/>
              <w:bottom w:type="dxa" w:w="90"/>
              <w:right w:type="dxa" w:w="120"/>
            </w:tcMar>
          </w:tcPr>
          <w:p>
            <w:pPr>
              <w:spacing w:after="0"/>
            </w:pPr>
            <w:r>
              <w:rPr>
                <w:sz w:val="20"/>
                <w:szCs w:val="20"/>
              </w:rPr>
              <w:t xml:space="preserve">Administrateur</w:t>
            </w:r>
          </w:p>
        </w:tc>
      </w:tr>
    </w:tbl>
    <w:p>
      <w:pPr>
        <w:pStyle w:val="Heading2"/>
        <w:spacing w:after="180" w:before="360"/>
      </w:pPr>
      <w:r>
        <w:rPr>
          <w:b/>
          <w:bCs/>
          <w:color w:val="2563EB"/>
          <w:sz w:val="26"/>
          <w:szCs w:val="26"/>
        </w:rPr>
        <w:t xml:space="preserve">2.4 Besoins non fonctionnels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6804"/>
      </w:tblGrid>
      <w:tr>
        <w:trPr>
          <w:tblHeader/>
        </w:trPr>
        <w:tc>
          <w:tcPr>
            <w:tcW w:type="dxa" w:w="2268"/>
            <w:shd w:fill="1F3A5F" w:val="clear"/>
            <w:tcMar>
              <w:top w:type="dxa" w:w="100"/>
              <w:left w:type="dxa" w:w="120"/>
              <w:bottom w:type="dxa" w:w="100"/>
              <w:right w:type="dxa" w:w="120"/>
            </w:tcMar>
            <w:vAlign w:val="center"/>
          </w:tcPr>
          <w:p>
            <w:r>
              <w:rPr>
                <w:b/>
                <w:bCs/>
                <w:color w:val="FFFFFF"/>
                <w:sz w:val="20"/>
                <w:szCs w:val="20"/>
              </w:rPr>
              <w:t xml:space="preserve">Catégorie</w:t>
            </w:r>
          </w:p>
        </w:tc>
        <w:tc>
          <w:tcPr>
            <w:tcW w:type="dxa" w:w="6804"/>
            <w:shd w:fill="1F3A5F" w:val="clear"/>
            <w:tcMar>
              <w:top w:type="dxa" w:w="100"/>
              <w:left w:type="dxa" w:w="120"/>
              <w:bottom w:type="dxa" w:w="100"/>
              <w:right w:type="dxa" w:w="120"/>
            </w:tcMar>
            <w:vAlign w:val="center"/>
          </w:tcPr>
          <w:p>
            <w:r>
              <w:rPr>
                <w:b/>
                <w:bCs/>
                <w:color w:val="FFFFFF"/>
                <w:sz w:val="20"/>
                <w:szCs w:val="20"/>
              </w:rPr>
              <w:t xml:space="preserve">Exigence</w:t>
            </w:r>
          </w:p>
        </w:tc>
      </w:tr>
      <w:tr>
        <w:tc>
          <w:tcPr>
            <w:tcW w:type="dxa" w:w="2268"/>
            <w:shd w:fill="FFFFFF" w:val="clear"/>
            <w:tcMar>
              <w:top w:type="dxa" w:w="90"/>
              <w:left w:type="dxa" w:w="120"/>
              <w:bottom w:type="dxa" w:w="90"/>
              <w:right w:type="dxa" w:w="120"/>
            </w:tcMar>
          </w:tcPr>
          <w:p>
            <w:pPr>
              <w:spacing w:after="0"/>
            </w:pPr>
            <w:r>
              <w:rPr>
                <w:sz w:val="20"/>
                <w:szCs w:val="20"/>
              </w:rPr>
              <w:t xml:space="preserve">Sécurité</w:t>
            </w:r>
          </w:p>
        </w:tc>
        <w:tc>
          <w:tcPr>
            <w:tcW w:type="dxa" w:w="6804"/>
            <w:shd w:fill="FFFFFF" w:val="clear"/>
            <w:tcMar>
              <w:top w:type="dxa" w:w="90"/>
              <w:left w:type="dxa" w:w="120"/>
              <w:bottom w:type="dxa" w:w="90"/>
              <w:right w:type="dxa" w:w="120"/>
            </w:tcMar>
          </w:tcPr>
          <w:p>
            <w:pPr>
              <w:spacing w:after="0"/>
            </w:pPr>
            <w:r>
              <w:rPr>
                <w:sz w:val="20"/>
                <w:szCs w:val="20"/>
              </w:rPr>
              <w:t xml:space="preserve">Authentification robuste (JWT), gestion des rôles (RBAC), mots de passe hachés (bcrypt)</w:t>
            </w:r>
          </w:p>
        </w:tc>
      </w:tr>
      <w:tr>
        <w:tc>
          <w:tcPr>
            <w:tcW w:type="dxa" w:w="2268"/>
            <w:shd w:fill="F4F7FB" w:val="clear"/>
            <w:tcMar>
              <w:top w:type="dxa" w:w="90"/>
              <w:left w:type="dxa" w:w="120"/>
              <w:bottom w:type="dxa" w:w="90"/>
              <w:right w:type="dxa" w:w="120"/>
            </w:tcMar>
          </w:tcPr>
          <w:p>
            <w:pPr>
              <w:spacing w:after="0"/>
            </w:pPr>
            <w:r>
              <w:rPr>
                <w:sz w:val="20"/>
                <w:szCs w:val="20"/>
              </w:rPr>
              <w:t xml:space="preserve">Performance</w:t>
            </w:r>
          </w:p>
        </w:tc>
        <w:tc>
          <w:tcPr>
            <w:tcW w:type="dxa" w:w="6804"/>
            <w:shd w:fill="F4F7FB" w:val="clear"/>
            <w:tcMar>
              <w:top w:type="dxa" w:w="90"/>
              <w:left w:type="dxa" w:w="120"/>
              <w:bottom w:type="dxa" w:w="90"/>
              <w:right w:type="dxa" w:w="120"/>
            </w:tcMar>
          </w:tcPr>
          <w:p>
            <w:pPr>
              <w:spacing w:after="0"/>
            </w:pPr>
            <w:r>
              <w:rPr>
                <w:sz w:val="20"/>
                <w:szCs w:val="20"/>
              </w:rPr>
              <w:t xml:space="preserve">Temps de réponse court pour les opérations courantes</w:t>
            </w:r>
          </w:p>
        </w:tc>
      </w:tr>
      <w:tr>
        <w:tc>
          <w:tcPr>
            <w:tcW w:type="dxa" w:w="2268"/>
            <w:shd w:fill="FFFFFF" w:val="clear"/>
            <w:tcMar>
              <w:top w:type="dxa" w:w="90"/>
              <w:left w:type="dxa" w:w="120"/>
              <w:bottom w:type="dxa" w:w="90"/>
              <w:right w:type="dxa" w:w="120"/>
            </w:tcMar>
          </w:tcPr>
          <w:p>
            <w:pPr>
              <w:spacing w:after="0"/>
            </w:pPr>
            <w:r>
              <w:rPr>
                <w:sz w:val="20"/>
                <w:szCs w:val="20"/>
              </w:rPr>
              <w:t xml:space="preserve">Ergonomie</w:t>
            </w:r>
          </w:p>
        </w:tc>
        <w:tc>
          <w:tcPr>
            <w:tcW w:type="dxa" w:w="6804"/>
            <w:shd w:fill="FFFFFF" w:val="clear"/>
            <w:tcMar>
              <w:top w:type="dxa" w:w="90"/>
              <w:left w:type="dxa" w:w="120"/>
              <w:bottom w:type="dxa" w:w="90"/>
              <w:right w:type="dxa" w:w="120"/>
            </w:tcMar>
          </w:tcPr>
          <w:p>
            <w:pPr>
              <w:spacing w:after="0"/>
            </w:pPr>
            <w:r>
              <w:rPr>
                <w:sz w:val="20"/>
                <w:szCs w:val="20"/>
              </w:rPr>
              <w:t xml:space="preserve">Interface responsive, adaptée à chaque profil d’utilisateur</w:t>
            </w:r>
          </w:p>
        </w:tc>
      </w:tr>
      <w:tr>
        <w:tc>
          <w:tcPr>
            <w:tcW w:type="dxa" w:w="2268"/>
            <w:shd w:fill="F4F7FB" w:val="clear"/>
            <w:tcMar>
              <w:top w:type="dxa" w:w="90"/>
              <w:left w:type="dxa" w:w="120"/>
              <w:bottom w:type="dxa" w:w="90"/>
              <w:right w:type="dxa" w:w="120"/>
            </w:tcMar>
          </w:tcPr>
          <w:p>
            <w:pPr>
              <w:spacing w:after="0"/>
            </w:pPr>
            <w:r>
              <w:rPr>
                <w:sz w:val="20"/>
                <w:szCs w:val="20"/>
              </w:rPr>
              <w:t xml:space="preserve">Disponibilité</w:t>
            </w:r>
          </w:p>
        </w:tc>
        <w:tc>
          <w:tcPr>
            <w:tcW w:type="dxa" w:w="6804"/>
            <w:shd w:fill="F4F7FB" w:val="clear"/>
            <w:tcMar>
              <w:top w:type="dxa" w:w="90"/>
              <w:left w:type="dxa" w:w="120"/>
              <w:bottom w:type="dxa" w:w="90"/>
              <w:right w:type="dxa" w:w="120"/>
            </w:tcMar>
          </w:tcPr>
          <w:p>
            <w:pPr>
              <w:spacing w:after="0"/>
            </w:pPr>
            <w:r>
              <w:rPr>
                <w:sz w:val="20"/>
                <w:szCs w:val="20"/>
              </w:rPr>
              <w:t xml:space="preserve">Plateforme accessible en continu pendant les périodes de stage</w:t>
            </w:r>
          </w:p>
        </w:tc>
      </w:tr>
      <w:tr>
        <w:tc>
          <w:tcPr>
            <w:tcW w:type="dxa" w:w="2268"/>
            <w:shd w:fill="FFFFFF" w:val="clear"/>
            <w:tcMar>
              <w:top w:type="dxa" w:w="90"/>
              <w:left w:type="dxa" w:w="120"/>
              <w:bottom w:type="dxa" w:w="90"/>
              <w:right w:type="dxa" w:w="120"/>
            </w:tcMar>
          </w:tcPr>
          <w:p>
            <w:pPr>
              <w:spacing w:after="0"/>
            </w:pPr>
            <w:r>
              <w:rPr>
                <w:sz w:val="20"/>
                <w:szCs w:val="20"/>
              </w:rPr>
              <w:t xml:space="preserve">Évolutivité</w:t>
            </w:r>
          </w:p>
        </w:tc>
        <w:tc>
          <w:tcPr>
            <w:tcW w:type="dxa" w:w="6804"/>
            <w:shd w:fill="FFFFFF" w:val="clear"/>
            <w:tcMar>
              <w:top w:type="dxa" w:w="90"/>
              <w:left w:type="dxa" w:w="120"/>
              <w:bottom w:type="dxa" w:w="90"/>
              <w:right w:type="dxa" w:w="120"/>
            </w:tcMar>
          </w:tcPr>
          <w:p>
            <w:pPr>
              <w:spacing w:after="0"/>
            </w:pPr>
            <w:r>
              <w:rPr>
                <w:sz w:val="20"/>
                <w:szCs w:val="20"/>
              </w:rPr>
              <w:t xml:space="preserve">Architecture modulaire (MVC étendu) permettant l’ajout futur de nouvelles fonctionnalités IA</w:t>
            </w:r>
          </w:p>
        </w:tc>
      </w:tr>
      <w:tr>
        <w:tc>
          <w:tcPr>
            <w:tcW w:type="dxa" w:w="2268"/>
            <w:shd w:fill="F4F7FB" w:val="clear"/>
            <w:tcMar>
              <w:top w:type="dxa" w:w="90"/>
              <w:left w:type="dxa" w:w="120"/>
              <w:bottom w:type="dxa" w:w="90"/>
              <w:right w:type="dxa" w:w="120"/>
            </w:tcMar>
          </w:tcPr>
          <w:p>
            <w:pPr>
              <w:spacing w:after="0"/>
            </w:pPr>
            <w:r>
              <w:rPr>
                <w:sz w:val="20"/>
                <w:szCs w:val="20"/>
              </w:rPr>
              <w:t xml:space="preserve">Portabilité</w:t>
            </w:r>
          </w:p>
        </w:tc>
        <w:tc>
          <w:tcPr>
            <w:tcW w:type="dxa" w:w="6804"/>
            <w:shd w:fill="F4F7FB" w:val="clear"/>
            <w:tcMar>
              <w:top w:type="dxa" w:w="90"/>
              <w:left w:type="dxa" w:w="120"/>
              <w:bottom w:type="dxa" w:w="90"/>
              <w:right w:type="dxa" w:w="120"/>
            </w:tcMar>
          </w:tcPr>
          <w:p>
            <w:pPr>
              <w:spacing w:after="0"/>
            </w:pPr>
            <w:r>
              <w:rPr>
                <w:sz w:val="20"/>
                <w:szCs w:val="20"/>
              </w:rPr>
              <w:t xml:space="preserve">Compatibilité multi-navigateurs, backend indépendant de l’hébergeur de base de données</w:t>
            </w:r>
          </w:p>
        </w:tc>
      </w:tr>
      <w:tr>
        <w:tc>
          <w:tcPr>
            <w:tcW w:type="dxa" w:w="2268"/>
            <w:shd w:fill="FFFFFF" w:val="clear"/>
            <w:tcMar>
              <w:top w:type="dxa" w:w="90"/>
              <w:left w:type="dxa" w:w="120"/>
              <w:bottom w:type="dxa" w:w="90"/>
              <w:right w:type="dxa" w:w="120"/>
            </w:tcMar>
          </w:tcPr>
          <w:p>
            <w:pPr>
              <w:spacing w:after="0"/>
            </w:pPr>
            <w:r>
              <w:rPr>
                <w:sz w:val="20"/>
                <w:szCs w:val="20"/>
              </w:rPr>
              <w:t xml:space="preserve">Traçabilité</w:t>
            </w:r>
          </w:p>
        </w:tc>
        <w:tc>
          <w:tcPr>
            <w:tcW w:type="dxa" w:w="6804"/>
            <w:shd w:fill="FFFFFF" w:val="clear"/>
            <w:tcMar>
              <w:top w:type="dxa" w:w="90"/>
              <w:left w:type="dxa" w:w="120"/>
              <w:bottom w:type="dxa" w:w="90"/>
              <w:right w:type="dxa" w:w="120"/>
            </w:tcMar>
          </w:tcPr>
          <w:p>
            <w:pPr>
              <w:spacing w:after="0"/>
            </w:pPr>
            <w:r>
              <w:rPr>
                <w:sz w:val="20"/>
                <w:szCs w:val="20"/>
              </w:rPr>
              <w:t xml:space="preserve">Historisation des actions critiques (candidature, validation, évaluation)</w:t>
            </w:r>
          </w:p>
        </w:tc>
      </w:tr>
    </w:tbl>
    <w:p>
      <w:pPr>
        <w:spacing w:after="200" w:line="300"/>
        <w:jc w:val="both"/>
      </w:pPr>
      <w:r>
        <w:rPr>
          <w:b/>
          <w:bCs/>
          <w:sz w:val="22"/>
          <w:szCs w:val="22"/>
        </w:rPr>
        <w:t xml:space="preserve">Note sur la performance : </w:t>
      </w:r>
      <w:r>
        <w:rPr>
          <w:sz w:val="22"/>
          <w:szCs w:val="22"/>
        </w:rPr>
        <w:t xml:space="preserve">cette exigence a été vérifiée concrètement en cours de projet, pas seulement énoncée — voir le cas de diagnostic détaillé en section 8.3, où un temps de chargement de 4,9 s a été ramené à 0,17 s.</w:t>
      </w:r>
    </w:p>
    <w:p>
      <w:pPr>
        <w:pStyle w:val="Heading2"/>
        <w:spacing w:after="180" w:before="360"/>
      </w:pPr>
      <w:r>
        <w:rPr>
          <w:b/>
          <w:bCs/>
          <w:color w:val="2563EB"/>
          <w:sz w:val="26"/>
          <w:szCs w:val="26"/>
        </w:rPr>
        <w:t xml:space="preserve">2.5 Modules fonctionnels du projet</w:t>
      </w:r>
    </w:p>
    <w:p>
      <w:pPr>
        <w:spacing w:after="200" w:line="300"/>
        <w:jc w:val="both"/>
      </w:pPr>
      <w:r>
        <w:rPr>
          <w:sz w:val="22"/>
          <w:szCs w:val="22"/>
        </w:rPr>
        <w:t xml:space="preserve">La plateforme est découpée en 11 modules fonctionnels, chacun correspondant à un ensemble cohérent de besoins et, dans l’architecture MVC, à un ou plusieurs contrôleurs et services dédiés.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726"/>
        <w:gridCol w:w="2449"/>
        <w:gridCol w:w="5897"/>
      </w:tblGrid>
      <w:tr>
        <w:trPr>
          <w:tblHeader/>
        </w:trPr>
        <w:tc>
          <w:tcPr>
            <w:tcW w:type="dxa" w:w="726"/>
            <w:shd w:fill="1F3A5F" w:val="clear"/>
            <w:tcMar>
              <w:top w:type="dxa" w:w="100"/>
              <w:left w:type="dxa" w:w="120"/>
              <w:bottom w:type="dxa" w:w="100"/>
              <w:right w:type="dxa" w:w="120"/>
            </w:tcMar>
            <w:vAlign w:val="center"/>
          </w:tcPr>
          <w:p>
            <w:r>
              <w:rPr>
                <w:b/>
                <w:bCs/>
                <w:color w:val="FFFFFF"/>
                <w:sz w:val="20"/>
                <w:szCs w:val="20"/>
              </w:rPr>
              <w:t xml:space="preserve">#</w:t>
            </w:r>
          </w:p>
        </w:tc>
        <w:tc>
          <w:tcPr>
            <w:tcW w:type="dxa" w:w="2449"/>
            <w:shd w:fill="1F3A5F" w:val="clear"/>
            <w:tcMar>
              <w:top w:type="dxa" w:w="100"/>
              <w:left w:type="dxa" w:w="120"/>
              <w:bottom w:type="dxa" w:w="100"/>
              <w:right w:type="dxa" w:w="120"/>
            </w:tcMar>
            <w:vAlign w:val="center"/>
          </w:tcPr>
          <w:p>
            <w:r>
              <w:rPr>
                <w:b/>
                <w:bCs/>
                <w:color w:val="FFFFFF"/>
                <w:sz w:val="20"/>
                <w:szCs w:val="20"/>
              </w:rPr>
              <w:t xml:space="preserve">Module</w:t>
            </w:r>
          </w:p>
        </w:tc>
        <w:tc>
          <w:tcPr>
            <w:tcW w:type="dxa" w:w="5897"/>
            <w:shd w:fill="1F3A5F" w:val="clear"/>
            <w:tcMar>
              <w:top w:type="dxa" w:w="100"/>
              <w:left w:type="dxa" w:w="120"/>
              <w:bottom w:type="dxa" w:w="100"/>
              <w:right w:type="dxa" w:w="120"/>
            </w:tcMar>
            <w:vAlign w:val="center"/>
          </w:tcPr>
          <w:p>
            <w:r>
              <w:rPr>
                <w:b/>
                <w:bCs/>
                <w:color w:val="FFFFFF"/>
                <w:sz w:val="20"/>
                <w:szCs w:val="20"/>
              </w:rPr>
              <w:t xml:space="preserve">Description</w:t>
            </w:r>
          </w:p>
        </w:tc>
      </w:tr>
      <w:tr>
        <w:tc>
          <w:tcPr>
            <w:tcW w:type="dxa" w:w="726"/>
            <w:shd w:fill="FFFFFF" w:val="clear"/>
            <w:tcMar>
              <w:top w:type="dxa" w:w="90"/>
              <w:left w:type="dxa" w:w="120"/>
              <w:bottom w:type="dxa" w:w="90"/>
              <w:right w:type="dxa" w:w="120"/>
            </w:tcMar>
          </w:tcPr>
          <w:p>
            <w:pPr>
              <w:spacing w:after="0"/>
            </w:pPr>
            <w:r>
              <w:rPr>
                <w:sz w:val="20"/>
                <w:szCs w:val="20"/>
              </w:rPr>
              <w:t xml:space="preserve">M1</w:t>
            </w:r>
          </w:p>
        </w:tc>
        <w:tc>
          <w:tcPr>
            <w:tcW w:type="dxa" w:w="2449"/>
            <w:shd w:fill="FFFFFF" w:val="clear"/>
            <w:tcMar>
              <w:top w:type="dxa" w:w="90"/>
              <w:left w:type="dxa" w:w="120"/>
              <w:bottom w:type="dxa" w:w="90"/>
              <w:right w:type="dxa" w:w="120"/>
            </w:tcMar>
          </w:tcPr>
          <w:p>
            <w:pPr>
              <w:spacing w:after="0"/>
            </w:pPr>
            <w:r>
              <w:rPr>
                <w:sz w:val="20"/>
                <w:szCs w:val="20"/>
              </w:rPr>
              <w:t xml:space="preserve">Authentification &amp; utilisateurs</w:t>
            </w:r>
          </w:p>
        </w:tc>
        <w:tc>
          <w:tcPr>
            <w:tcW w:type="dxa" w:w="5897"/>
            <w:shd w:fill="FFFFFF" w:val="clear"/>
            <w:tcMar>
              <w:top w:type="dxa" w:w="90"/>
              <w:left w:type="dxa" w:w="120"/>
              <w:bottom w:type="dxa" w:w="90"/>
              <w:right w:type="dxa" w:w="120"/>
            </w:tcMar>
          </w:tcPr>
          <w:p>
            <w:pPr>
              <w:spacing w:after="0"/>
            </w:pPr>
            <w:r>
              <w:rPr>
                <w:sz w:val="20"/>
                <w:szCs w:val="20"/>
              </w:rPr>
              <w:t xml:space="preserve">Inscription, connexion, gestion des rôles (Étudiant, Entreprise, Enseignant, Administrateur), profils</w:t>
            </w:r>
          </w:p>
        </w:tc>
      </w:tr>
      <w:tr>
        <w:tc>
          <w:tcPr>
            <w:tcW w:type="dxa" w:w="726"/>
            <w:shd w:fill="F4F7FB" w:val="clear"/>
            <w:tcMar>
              <w:top w:type="dxa" w:w="90"/>
              <w:left w:type="dxa" w:w="120"/>
              <w:bottom w:type="dxa" w:w="90"/>
              <w:right w:type="dxa" w:w="120"/>
            </w:tcMar>
          </w:tcPr>
          <w:p>
            <w:pPr>
              <w:spacing w:after="0"/>
            </w:pPr>
            <w:r>
              <w:rPr>
                <w:sz w:val="20"/>
                <w:szCs w:val="20"/>
              </w:rPr>
              <w:t xml:space="preserve">M2</w:t>
            </w:r>
          </w:p>
        </w:tc>
        <w:tc>
          <w:tcPr>
            <w:tcW w:type="dxa" w:w="2449"/>
            <w:shd w:fill="F4F7FB" w:val="clear"/>
            <w:tcMar>
              <w:top w:type="dxa" w:w="90"/>
              <w:left w:type="dxa" w:w="120"/>
              <w:bottom w:type="dxa" w:w="90"/>
              <w:right w:type="dxa" w:w="120"/>
            </w:tcMar>
          </w:tcPr>
          <w:p>
            <w:pPr>
              <w:spacing w:after="0"/>
            </w:pPr>
            <w:r>
              <w:rPr>
                <w:sz w:val="20"/>
                <w:szCs w:val="20"/>
              </w:rPr>
              <w:t xml:space="preserve">Gestion des offres de stage</w:t>
            </w:r>
          </w:p>
        </w:tc>
        <w:tc>
          <w:tcPr>
            <w:tcW w:type="dxa" w:w="5897"/>
            <w:shd w:fill="F4F7FB" w:val="clear"/>
            <w:tcMar>
              <w:top w:type="dxa" w:w="90"/>
              <w:left w:type="dxa" w:w="120"/>
              <w:bottom w:type="dxa" w:w="90"/>
              <w:right w:type="dxa" w:w="120"/>
            </w:tcMar>
          </w:tcPr>
          <w:p>
            <w:pPr>
              <w:spacing w:after="0"/>
            </w:pPr>
            <w:r>
              <w:rPr>
                <w:sz w:val="20"/>
                <w:szCs w:val="20"/>
              </w:rPr>
              <w:t xml:space="preserve">Création, modification, publication, clôture et recherche/filtrage des offres</w:t>
            </w:r>
          </w:p>
        </w:tc>
      </w:tr>
      <w:tr>
        <w:tc>
          <w:tcPr>
            <w:tcW w:type="dxa" w:w="726"/>
            <w:shd w:fill="FFFFFF" w:val="clear"/>
            <w:tcMar>
              <w:top w:type="dxa" w:w="90"/>
              <w:left w:type="dxa" w:w="120"/>
              <w:bottom w:type="dxa" w:w="90"/>
              <w:right w:type="dxa" w:w="120"/>
            </w:tcMar>
          </w:tcPr>
          <w:p>
            <w:pPr>
              <w:spacing w:after="0"/>
            </w:pPr>
            <w:r>
              <w:rPr>
                <w:sz w:val="20"/>
                <w:szCs w:val="20"/>
              </w:rPr>
              <w:t xml:space="preserve">M3</w:t>
            </w:r>
          </w:p>
        </w:tc>
        <w:tc>
          <w:tcPr>
            <w:tcW w:type="dxa" w:w="2449"/>
            <w:shd w:fill="FFFFFF" w:val="clear"/>
            <w:tcMar>
              <w:top w:type="dxa" w:w="90"/>
              <w:left w:type="dxa" w:w="120"/>
              <w:bottom w:type="dxa" w:w="90"/>
              <w:right w:type="dxa" w:w="120"/>
            </w:tcMar>
          </w:tcPr>
          <w:p>
            <w:pPr>
              <w:spacing w:after="0"/>
            </w:pPr>
            <w:r>
              <w:rPr>
                <w:sz w:val="20"/>
                <w:szCs w:val="20"/>
              </w:rPr>
              <w:t xml:space="preserve">Gestion des candidatures</w:t>
            </w:r>
          </w:p>
        </w:tc>
        <w:tc>
          <w:tcPr>
            <w:tcW w:type="dxa" w:w="5897"/>
            <w:shd w:fill="FFFFFF" w:val="clear"/>
            <w:tcMar>
              <w:top w:type="dxa" w:w="90"/>
              <w:left w:type="dxa" w:w="120"/>
              <w:bottom w:type="dxa" w:w="90"/>
              <w:right w:type="dxa" w:w="120"/>
            </w:tcMar>
          </w:tcPr>
          <w:p>
            <w:pPr>
              <w:spacing w:after="0"/>
            </w:pPr>
            <w:r>
              <w:rPr>
                <w:sz w:val="20"/>
                <w:szCs w:val="20"/>
              </w:rPr>
              <w:t xml:space="preserve">Dépôt de candidature, présélection, sélection, suivi du statut</w:t>
            </w:r>
          </w:p>
        </w:tc>
      </w:tr>
      <w:tr>
        <w:tc>
          <w:tcPr>
            <w:tcW w:type="dxa" w:w="726"/>
            <w:shd w:fill="F4F7FB" w:val="clear"/>
            <w:tcMar>
              <w:top w:type="dxa" w:w="90"/>
              <w:left w:type="dxa" w:w="120"/>
              <w:bottom w:type="dxa" w:w="90"/>
              <w:right w:type="dxa" w:w="120"/>
            </w:tcMar>
          </w:tcPr>
          <w:p>
            <w:pPr>
              <w:spacing w:after="0"/>
            </w:pPr>
            <w:r>
              <w:rPr>
                <w:sz w:val="20"/>
                <w:szCs w:val="20"/>
              </w:rPr>
              <w:t xml:space="preserve">M4</w:t>
            </w:r>
          </w:p>
        </w:tc>
        <w:tc>
          <w:tcPr>
            <w:tcW w:type="dxa" w:w="2449"/>
            <w:shd w:fill="F4F7FB" w:val="clear"/>
            <w:tcMar>
              <w:top w:type="dxa" w:w="90"/>
              <w:left w:type="dxa" w:w="120"/>
              <w:bottom w:type="dxa" w:w="90"/>
              <w:right w:type="dxa" w:w="120"/>
            </w:tcMar>
          </w:tcPr>
          <w:p>
            <w:pPr>
              <w:spacing w:after="0"/>
            </w:pPr>
            <w:r>
              <w:rPr>
                <w:sz w:val="20"/>
                <w:szCs w:val="20"/>
              </w:rPr>
              <w:t xml:space="preserve">Conventions de stage</w:t>
            </w:r>
          </w:p>
        </w:tc>
        <w:tc>
          <w:tcPr>
            <w:tcW w:type="dxa" w:w="5897"/>
            <w:shd w:fill="F4F7FB" w:val="clear"/>
            <w:tcMar>
              <w:top w:type="dxa" w:w="90"/>
              <w:left w:type="dxa" w:w="120"/>
              <w:bottom w:type="dxa" w:w="90"/>
              <w:right w:type="dxa" w:w="120"/>
            </w:tcMar>
          </w:tcPr>
          <w:p>
            <w:pPr>
              <w:spacing w:after="0"/>
            </w:pPr>
            <w:r>
              <w:rPr>
                <w:sz w:val="20"/>
                <w:szCs w:val="20"/>
              </w:rPr>
              <w:t xml:space="preserve">Génération automatique, validation académique et administrative</w:t>
            </w:r>
          </w:p>
        </w:tc>
      </w:tr>
      <w:tr>
        <w:tc>
          <w:tcPr>
            <w:tcW w:type="dxa" w:w="726"/>
            <w:shd w:fill="FFFFFF" w:val="clear"/>
            <w:tcMar>
              <w:top w:type="dxa" w:w="90"/>
              <w:left w:type="dxa" w:w="120"/>
              <w:bottom w:type="dxa" w:w="90"/>
              <w:right w:type="dxa" w:w="120"/>
            </w:tcMar>
          </w:tcPr>
          <w:p>
            <w:pPr>
              <w:spacing w:after="0"/>
            </w:pPr>
            <w:r>
              <w:rPr>
                <w:sz w:val="20"/>
                <w:szCs w:val="20"/>
              </w:rPr>
              <w:t xml:space="preserve">M5</w:t>
            </w:r>
          </w:p>
        </w:tc>
        <w:tc>
          <w:tcPr>
            <w:tcW w:type="dxa" w:w="2449"/>
            <w:shd w:fill="FFFFFF" w:val="clear"/>
            <w:tcMar>
              <w:top w:type="dxa" w:w="90"/>
              <w:left w:type="dxa" w:w="120"/>
              <w:bottom w:type="dxa" w:w="90"/>
              <w:right w:type="dxa" w:w="120"/>
            </w:tcMar>
          </w:tcPr>
          <w:p>
            <w:pPr>
              <w:spacing w:after="0"/>
            </w:pPr>
            <w:r>
              <w:rPr>
                <w:sz w:val="20"/>
                <w:szCs w:val="20"/>
              </w:rPr>
              <w:t xml:space="preserve">Suivi du stage</w:t>
            </w:r>
          </w:p>
        </w:tc>
        <w:tc>
          <w:tcPr>
            <w:tcW w:type="dxa" w:w="5897"/>
            <w:shd w:fill="FFFFFF" w:val="clear"/>
            <w:tcMar>
              <w:top w:type="dxa" w:w="90"/>
              <w:left w:type="dxa" w:w="120"/>
              <w:bottom w:type="dxa" w:w="90"/>
              <w:right w:type="dxa" w:w="120"/>
            </w:tcMar>
          </w:tcPr>
          <w:p>
            <w:pPr>
              <w:spacing w:after="0"/>
            </w:pPr>
            <w:r>
              <w:rPr>
                <w:sz w:val="20"/>
                <w:szCs w:val="20"/>
              </w:rPr>
              <w:t xml:space="preserve">Dépôt de rapports et livrables, suivi des jalons</w:t>
            </w:r>
          </w:p>
        </w:tc>
      </w:tr>
      <w:tr>
        <w:tc>
          <w:tcPr>
            <w:tcW w:type="dxa" w:w="726"/>
            <w:shd w:fill="F4F7FB" w:val="clear"/>
            <w:tcMar>
              <w:top w:type="dxa" w:w="90"/>
              <w:left w:type="dxa" w:w="120"/>
              <w:bottom w:type="dxa" w:w="90"/>
              <w:right w:type="dxa" w:w="120"/>
            </w:tcMar>
          </w:tcPr>
          <w:p>
            <w:pPr>
              <w:spacing w:after="0"/>
            </w:pPr>
            <w:r>
              <w:rPr>
                <w:sz w:val="20"/>
                <w:szCs w:val="20"/>
              </w:rPr>
              <w:t xml:space="preserve">M6</w:t>
            </w:r>
          </w:p>
        </w:tc>
        <w:tc>
          <w:tcPr>
            <w:tcW w:type="dxa" w:w="2449"/>
            <w:shd w:fill="F4F7FB" w:val="clear"/>
            <w:tcMar>
              <w:top w:type="dxa" w:w="90"/>
              <w:left w:type="dxa" w:w="120"/>
              <w:bottom w:type="dxa" w:w="90"/>
              <w:right w:type="dxa" w:w="120"/>
            </w:tcMar>
          </w:tcPr>
          <w:p>
            <w:pPr>
              <w:spacing w:after="0"/>
            </w:pPr>
            <w:r>
              <w:rPr>
                <w:sz w:val="20"/>
                <w:szCs w:val="20"/>
              </w:rPr>
              <w:t xml:space="preserve">Suivi pédagogique assisté par IA</w:t>
            </w:r>
          </w:p>
        </w:tc>
        <w:tc>
          <w:tcPr>
            <w:tcW w:type="dxa" w:w="5897"/>
            <w:shd w:fill="F4F7FB" w:val="clear"/>
            <w:tcMar>
              <w:top w:type="dxa" w:w="90"/>
              <w:left w:type="dxa" w:w="120"/>
              <w:bottom w:type="dxa" w:w="90"/>
              <w:right w:type="dxa" w:w="120"/>
            </w:tcMar>
          </w:tcPr>
          <w:p>
            <w:pPr>
              <w:spacing w:after="0"/>
            </w:pPr>
            <w:r>
              <w:rPr>
                <w:sz w:val="20"/>
                <w:szCs w:val="20"/>
              </w:rPr>
              <w:t xml:space="preserve">8 fonctionnalités IA concrètes (détail section 6.2) : analyse de rapports, détection de risque, recommandations, matching, chatbot, synthèse, pré-sélection, pertinence conventions</w:t>
            </w:r>
          </w:p>
        </w:tc>
      </w:tr>
      <w:tr>
        <w:tc>
          <w:tcPr>
            <w:tcW w:type="dxa" w:w="726"/>
            <w:shd w:fill="FFFFFF" w:val="clear"/>
            <w:tcMar>
              <w:top w:type="dxa" w:w="90"/>
              <w:left w:type="dxa" w:w="120"/>
              <w:bottom w:type="dxa" w:w="90"/>
              <w:right w:type="dxa" w:w="120"/>
            </w:tcMar>
          </w:tcPr>
          <w:p>
            <w:pPr>
              <w:spacing w:after="0"/>
            </w:pPr>
            <w:r>
              <w:rPr>
                <w:sz w:val="20"/>
                <w:szCs w:val="20"/>
              </w:rPr>
              <w:t xml:space="preserve">M7</w:t>
            </w:r>
          </w:p>
        </w:tc>
        <w:tc>
          <w:tcPr>
            <w:tcW w:type="dxa" w:w="2449"/>
            <w:shd w:fill="FFFFFF" w:val="clear"/>
            <w:tcMar>
              <w:top w:type="dxa" w:w="90"/>
              <w:left w:type="dxa" w:w="120"/>
              <w:bottom w:type="dxa" w:w="90"/>
              <w:right w:type="dxa" w:w="120"/>
            </w:tcMar>
          </w:tcPr>
          <w:p>
            <w:pPr>
              <w:spacing w:after="0"/>
            </w:pPr>
            <w:r>
              <w:rPr>
                <w:sz w:val="20"/>
                <w:szCs w:val="20"/>
              </w:rPr>
              <w:t xml:space="preserve">Messagerie &amp; notifications</w:t>
            </w:r>
          </w:p>
        </w:tc>
        <w:tc>
          <w:tcPr>
            <w:tcW w:type="dxa" w:w="5897"/>
            <w:shd w:fill="FFFFFF" w:val="clear"/>
            <w:tcMar>
              <w:top w:type="dxa" w:w="90"/>
              <w:left w:type="dxa" w:w="120"/>
              <w:bottom w:type="dxa" w:w="90"/>
              <w:right w:type="dxa" w:w="120"/>
            </w:tcMar>
          </w:tcPr>
          <w:p>
            <w:pPr>
              <w:spacing w:after="0"/>
            </w:pPr>
            <w:r>
              <w:rPr>
                <w:sz w:val="20"/>
                <w:szCs w:val="20"/>
              </w:rPr>
              <w:t xml:space="preserve">Échanges internes, alertes automatiques en temps réel</w:t>
            </w:r>
          </w:p>
        </w:tc>
      </w:tr>
      <w:tr>
        <w:tc>
          <w:tcPr>
            <w:tcW w:type="dxa" w:w="726"/>
            <w:shd w:fill="F4F7FB" w:val="clear"/>
            <w:tcMar>
              <w:top w:type="dxa" w:w="90"/>
              <w:left w:type="dxa" w:w="120"/>
              <w:bottom w:type="dxa" w:w="90"/>
              <w:right w:type="dxa" w:w="120"/>
            </w:tcMar>
          </w:tcPr>
          <w:p>
            <w:pPr>
              <w:spacing w:after="0"/>
            </w:pPr>
            <w:r>
              <w:rPr>
                <w:sz w:val="20"/>
                <w:szCs w:val="20"/>
              </w:rPr>
              <w:t xml:space="preserve">M8</w:t>
            </w:r>
          </w:p>
        </w:tc>
        <w:tc>
          <w:tcPr>
            <w:tcW w:type="dxa" w:w="2449"/>
            <w:shd w:fill="F4F7FB" w:val="clear"/>
            <w:tcMar>
              <w:top w:type="dxa" w:w="90"/>
              <w:left w:type="dxa" w:w="120"/>
              <w:bottom w:type="dxa" w:w="90"/>
              <w:right w:type="dxa" w:w="120"/>
            </w:tcMar>
          </w:tcPr>
          <w:p>
            <w:pPr>
              <w:spacing w:after="0"/>
            </w:pPr>
            <w:r>
              <w:rPr>
                <w:sz w:val="20"/>
                <w:szCs w:val="20"/>
              </w:rPr>
              <w:t xml:space="preserve">Soutenances</w:t>
            </w:r>
          </w:p>
        </w:tc>
        <w:tc>
          <w:tcPr>
            <w:tcW w:type="dxa" w:w="5897"/>
            <w:shd w:fill="F4F7FB" w:val="clear"/>
            <w:tcMar>
              <w:top w:type="dxa" w:w="90"/>
              <w:left w:type="dxa" w:w="120"/>
              <w:bottom w:type="dxa" w:w="90"/>
              <w:right w:type="dxa" w:w="120"/>
            </w:tcMar>
          </w:tcPr>
          <w:p>
            <w:pPr>
              <w:spacing w:after="0"/>
            </w:pPr>
            <w:r>
              <w:rPr>
                <w:sz w:val="20"/>
                <w:szCs w:val="20"/>
              </w:rPr>
              <w:t xml:space="preserve">Planification (date, jury, salle ou lien visio)</w:t>
            </w:r>
          </w:p>
        </w:tc>
      </w:tr>
      <w:tr>
        <w:tc>
          <w:tcPr>
            <w:tcW w:type="dxa" w:w="726"/>
            <w:shd w:fill="FFFFFF" w:val="clear"/>
            <w:tcMar>
              <w:top w:type="dxa" w:w="90"/>
              <w:left w:type="dxa" w:w="120"/>
              <w:bottom w:type="dxa" w:w="90"/>
              <w:right w:type="dxa" w:w="120"/>
            </w:tcMar>
          </w:tcPr>
          <w:p>
            <w:pPr>
              <w:spacing w:after="0"/>
            </w:pPr>
            <w:r>
              <w:rPr>
                <w:sz w:val="20"/>
                <w:szCs w:val="20"/>
              </w:rPr>
              <w:t xml:space="preserve">M9</w:t>
            </w:r>
          </w:p>
        </w:tc>
        <w:tc>
          <w:tcPr>
            <w:tcW w:type="dxa" w:w="2449"/>
            <w:shd w:fill="FFFFFF" w:val="clear"/>
            <w:tcMar>
              <w:top w:type="dxa" w:w="90"/>
              <w:left w:type="dxa" w:w="120"/>
              <w:bottom w:type="dxa" w:w="90"/>
              <w:right w:type="dxa" w:w="120"/>
            </w:tcMar>
          </w:tcPr>
          <w:p>
            <w:pPr>
              <w:spacing w:after="0"/>
            </w:pPr>
            <w:r>
              <w:rPr>
                <w:sz w:val="20"/>
                <w:szCs w:val="20"/>
              </w:rPr>
              <w:t xml:space="preserve">Évaluation &amp; attestations</w:t>
            </w:r>
          </w:p>
        </w:tc>
        <w:tc>
          <w:tcPr>
            <w:tcW w:type="dxa" w:w="5897"/>
            <w:shd w:fill="FFFFFF" w:val="clear"/>
            <w:tcMar>
              <w:top w:type="dxa" w:w="90"/>
              <w:left w:type="dxa" w:w="120"/>
              <w:bottom w:type="dxa" w:w="90"/>
              <w:right w:type="dxa" w:w="120"/>
            </w:tcMar>
          </w:tcPr>
          <w:p>
            <w:pPr>
              <w:spacing w:after="0"/>
            </w:pPr>
            <w:r>
              <w:rPr>
                <w:sz w:val="20"/>
                <w:szCs w:val="20"/>
              </w:rPr>
              <w:t xml:space="preserve">Grille de critères, note finale, génération automatique de l’attestation PDF</w:t>
            </w:r>
          </w:p>
        </w:tc>
      </w:tr>
      <w:tr>
        <w:tc>
          <w:tcPr>
            <w:tcW w:type="dxa" w:w="726"/>
            <w:shd w:fill="F4F7FB" w:val="clear"/>
            <w:tcMar>
              <w:top w:type="dxa" w:w="90"/>
              <w:left w:type="dxa" w:w="120"/>
              <w:bottom w:type="dxa" w:w="90"/>
              <w:right w:type="dxa" w:w="120"/>
            </w:tcMar>
          </w:tcPr>
          <w:p>
            <w:pPr>
              <w:spacing w:after="0"/>
            </w:pPr>
            <w:r>
              <w:rPr>
                <w:sz w:val="20"/>
                <w:szCs w:val="20"/>
              </w:rPr>
              <w:t xml:space="preserve">M10</w:t>
            </w:r>
          </w:p>
        </w:tc>
        <w:tc>
          <w:tcPr>
            <w:tcW w:type="dxa" w:w="2449"/>
            <w:shd w:fill="F4F7FB" w:val="clear"/>
            <w:tcMar>
              <w:top w:type="dxa" w:w="90"/>
              <w:left w:type="dxa" w:w="120"/>
              <w:bottom w:type="dxa" w:w="90"/>
              <w:right w:type="dxa" w:w="120"/>
            </w:tcMar>
          </w:tcPr>
          <w:p>
            <w:pPr>
              <w:spacing w:after="0"/>
            </w:pPr>
            <w:r>
              <w:rPr>
                <w:sz w:val="20"/>
                <w:szCs w:val="20"/>
              </w:rPr>
              <w:t xml:space="preserve">Tableaux de bord &amp; statistiques</w:t>
            </w:r>
          </w:p>
        </w:tc>
        <w:tc>
          <w:tcPr>
            <w:tcW w:type="dxa" w:w="5897"/>
            <w:shd w:fill="F4F7FB" w:val="clear"/>
            <w:tcMar>
              <w:top w:type="dxa" w:w="90"/>
              <w:left w:type="dxa" w:w="120"/>
              <w:bottom w:type="dxa" w:w="90"/>
              <w:right w:type="dxa" w:w="120"/>
            </w:tcMar>
          </w:tcPr>
          <w:p>
            <w:pPr>
              <w:spacing w:after="0"/>
            </w:pPr>
            <w:r>
              <w:rPr>
                <w:sz w:val="20"/>
                <w:szCs w:val="20"/>
              </w:rPr>
              <w:t xml:space="preserve">Indicateurs par rôle (candidatures, stages, placements, risques)</w:t>
            </w:r>
          </w:p>
        </w:tc>
      </w:tr>
      <w:tr>
        <w:tc>
          <w:tcPr>
            <w:tcW w:type="dxa" w:w="726"/>
            <w:shd w:fill="FFFFFF" w:val="clear"/>
            <w:tcMar>
              <w:top w:type="dxa" w:w="90"/>
              <w:left w:type="dxa" w:w="120"/>
              <w:bottom w:type="dxa" w:w="90"/>
              <w:right w:type="dxa" w:w="120"/>
            </w:tcMar>
          </w:tcPr>
          <w:p>
            <w:pPr>
              <w:spacing w:after="0"/>
            </w:pPr>
            <w:r>
              <w:rPr>
                <w:sz w:val="20"/>
                <w:szCs w:val="20"/>
              </w:rPr>
              <w:t xml:space="preserve">M11</w:t>
            </w:r>
          </w:p>
        </w:tc>
        <w:tc>
          <w:tcPr>
            <w:tcW w:type="dxa" w:w="2449"/>
            <w:shd w:fill="FFFFFF" w:val="clear"/>
            <w:tcMar>
              <w:top w:type="dxa" w:w="90"/>
              <w:left w:type="dxa" w:w="120"/>
              <w:bottom w:type="dxa" w:w="90"/>
              <w:right w:type="dxa" w:w="120"/>
            </w:tcMar>
          </w:tcPr>
          <w:p>
            <w:pPr>
              <w:spacing w:after="0"/>
            </w:pPr>
            <w:r>
              <w:rPr>
                <w:sz w:val="20"/>
                <w:szCs w:val="20"/>
              </w:rPr>
              <w:t xml:space="preserve">Administration &amp; sécurité</w:t>
            </w:r>
          </w:p>
        </w:tc>
        <w:tc>
          <w:tcPr>
            <w:tcW w:type="dxa" w:w="5897"/>
            <w:shd w:fill="FFFFFF" w:val="clear"/>
            <w:tcMar>
              <w:top w:type="dxa" w:w="90"/>
              <w:left w:type="dxa" w:w="120"/>
              <w:bottom w:type="dxa" w:w="90"/>
              <w:right w:type="dxa" w:w="120"/>
            </w:tcMar>
          </w:tcPr>
          <w:p>
            <w:pPr>
              <w:spacing w:after="0"/>
            </w:pPr>
            <w:r>
              <w:rPr>
                <w:sz w:val="20"/>
                <w:szCs w:val="20"/>
              </w:rPr>
              <w:t xml:space="preserve">Gestion des comptes, journalisation des actions</w:t>
            </w:r>
          </w:p>
        </w:tc>
      </w:tr>
    </w:tbl>
    <w:p>
      <w:r>
        <w:br w:type="page"/>
      </w:r>
    </w:p>
    <w:p>
      <w:pPr>
        <w:pStyle w:val="Heading1"/>
        <w:pBdr>
          <w:bottom w:val="single" w:color="1F3A5F" w:sz="12" w:space="4"/>
        </w:pBdr>
        <w:spacing w:after="240" w:before="480"/>
      </w:pPr>
      <w:r>
        <w:rPr>
          <w:b/>
          <w:bCs/>
          <w:color w:val="1F3A5F"/>
          <w:sz w:val="32"/>
          <w:szCs w:val="32"/>
        </w:rPr>
        <w:t xml:space="preserve">3. Conception du système (UML)</w:t>
      </w:r>
    </w:p>
    <w:p>
      <w:pPr>
        <w:pStyle w:val="Heading2"/>
        <w:spacing w:after="180" w:before="360"/>
      </w:pPr>
      <w:r>
        <w:rPr>
          <w:b/>
          <w:bCs/>
          <w:color w:val="2563EB"/>
          <w:sz w:val="26"/>
          <w:szCs w:val="26"/>
        </w:rPr>
        <w:t xml:space="preserve">3.1 Diagramme de cas d’utilisation</w:t>
      </w:r>
    </w:p>
    <w:p>
      <w:pPr>
        <w:spacing w:after="200" w:line="300"/>
        <w:jc w:val="both"/>
      </w:pPr>
      <w:r>
        <w:rPr>
          <w:sz w:val="22"/>
          <w:szCs w:val="22"/>
        </w:rPr>
        <w:t xml:space="preserve">Le diagramme ci-dessous synthétise l’ensemble des interactions entre les différents acteurs et le système. L’assistant IA est modélisé comme un acteur système : il agit de façon autonome (analyse, détection, génération de recommandations) en réaction aux événements du système.</w:t>
      </w:r>
    </w:p>
    <w:p>
      <w:pPr>
        <w:spacing w:after="100" w:before="200"/>
        <w:jc w:val="center"/>
      </w:pPr>
      <w:r>
        <w:drawing>
          <wp:inline distT="0" distB="0" distL="0" distR="0">
            <wp:extent cx="3914775" cy="619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914775" cy="6191250"/>
                    </a:xfrm>
                    <a:prstGeom prst="rect">
                      <a:avLst/>
                    </a:prstGeom>
                  </pic:spPr>
                </pic:pic>
              </a:graphicData>
            </a:graphic>
          </wp:inline>
        </w:drawing>
      </w:r>
    </w:p>
    <w:p>
      <w:pPr>
        <w:spacing w:after="300"/>
        <w:jc w:val="center"/>
      </w:pPr>
      <w:r>
        <w:rPr>
          <w:i/>
          <w:iCs/>
          <w:color w:val="555555"/>
          <w:sz w:val="20"/>
          <w:szCs w:val="20"/>
        </w:rPr>
        <w:t xml:space="preserve">Figure 1 — Diagramme de cas d’utilisation global de la plateforme</w:t>
      </w:r>
    </w:p>
    <w:p>
      <w:pPr>
        <w:pStyle w:val="Heading2"/>
        <w:spacing w:after="180" w:before="360"/>
      </w:pPr>
      <w:r>
        <w:rPr>
          <w:b/>
          <w:bCs/>
          <w:color w:val="2563EB"/>
          <w:sz w:val="26"/>
          <w:szCs w:val="26"/>
        </w:rPr>
        <w:t xml:space="preserve">3.2 Description textuelle des cas d’utilisation clés</w:t>
      </w:r>
    </w:p>
    <w:p>
      <w:pPr>
        <w:pStyle w:val="Heading3"/>
        <w:spacing w:after="140" w:before="280"/>
      </w:pPr>
      <w:r>
        <w:rPr>
          <w:b/>
          <w:bCs/>
          <w:color w:val="1F3A5F"/>
          <w:sz w:val="23"/>
          <w:szCs w:val="23"/>
        </w:rPr>
        <w:t xml:space="preserve">UC — Postuler à une offre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6804"/>
      </w:tblGrid>
      <w:tr>
        <w:trPr>
          <w:tblHeader/>
        </w:trPr>
        <w:tc>
          <w:tcPr>
            <w:tcW w:type="dxa" w:w="2268"/>
            <w:shd w:fill="1F3A5F" w:val="clear"/>
            <w:tcMar>
              <w:top w:type="dxa" w:w="100"/>
              <w:left w:type="dxa" w:w="120"/>
              <w:bottom w:type="dxa" w:w="100"/>
              <w:right w:type="dxa" w:w="120"/>
            </w:tcMar>
            <w:vAlign w:val="center"/>
          </w:tcPr>
          <w:p>
            <w:r>
              <w:rPr>
                <w:b/>
                <w:bCs/>
                <w:color w:val="FFFFFF"/>
                <w:sz w:val="20"/>
                <w:szCs w:val="20"/>
              </w:rPr>
              <w:t xml:space="preserve"/>
            </w:r>
          </w:p>
        </w:tc>
        <w:tc>
          <w:tcPr>
            <w:tcW w:type="dxa" w:w="6804"/>
            <w:shd w:fill="1F3A5F" w:val="clear"/>
            <w:tcMar>
              <w:top w:type="dxa" w:w="100"/>
              <w:left w:type="dxa" w:w="120"/>
              <w:bottom w:type="dxa" w:w="100"/>
              <w:right w:type="dxa" w:w="120"/>
            </w:tcMar>
            <w:vAlign w:val="center"/>
          </w:tcPr>
          <w:p>
            <w:r>
              <w:rPr>
                <w:b/>
                <w:bCs/>
                <w:color w:val="FFFFFF"/>
                <w:sz w:val="20"/>
                <w:szCs w:val="20"/>
              </w:rPr>
              <w:t xml:space="preserve"/>
            </w:r>
          </w:p>
        </w:tc>
      </w:tr>
      <w:tr>
        <w:tc>
          <w:tcPr>
            <w:tcW w:type="dxa" w:w="2268"/>
            <w:shd w:fill="FFFFFF" w:val="clear"/>
            <w:tcMar>
              <w:top w:type="dxa" w:w="90"/>
              <w:left w:type="dxa" w:w="120"/>
              <w:bottom w:type="dxa" w:w="90"/>
              <w:right w:type="dxa" w:w="120"/>
            </w:tcMar>
          </w:tcPr>
          <w:p>
            <w:pPr>
              <w:spacing w:after="0"/>
            </w:pPr>
            <w:r>
              <w:rPr>
                <w:sz w:val="20"/>
                <w:szCs w:val="20"/>
              </w:rPr>
              <w:t xml:space="preserve">Acteur principal</w:t>
            </w:r>
          </w:p>
        </w:tc>
        <w:tc>
          <w:tcPr>
            <w:tcW w:type="dxa" w:w="6804"/>
            <w:shd w:fill="FFFFFF" w:val="clear"/>
            <w:tcMar>
              <w:top w:type="dxa" w:w="90"/>
              <w:left w:type="dxa" w:w="120"/>
              <w:bottom w:type="dxa" w:w="90"/>
              <w:right w:type="dxa" w:w="120"/>
            </w:tcMar>
          </w:tcPr>
          <w:p>
            <w:pPr>
              <w:spacing w:after="0"/>
            </w:pPr>
            <w:r>
              <w:rPr>
                <w:sz w:val="20"/>
                <w:szCs w:val="20"/>
              </w:rPr>
              <w:t xml:space="preserve">Étudiant</w:t>
            </w:r>
          </w:p>
        </w:tc>
      </w:tr>
      <w:tr>
        <w:tc>
          <w:tcPr>
            <w:tcW w:type="dxa" w:w="2268"/>
            <w:shd w:fill="F4F7FB" w:val="clear"/>
            <w:tcMar>
              <w:top w:type="dxa" w:w="90"/>
              <w:left w:type="dxa" w:w="120"/>
              <w:bottom w:type="dxa" w:w="90"/>
              <w:right w:type="dxa" w:w="120"/>
            </w:tcMar>
          </w:tcPr>
          <w:p>
            <w:pPr>
              <w:spacing w:after="0"/>
            </w:pPr>
            <w:r>
              <w:rPr>
                <w:sz w:val="20"/>
                <w:szCs w:val="20"/>
              </w:rPr>
              <w:t xml:space="preserve">Pré-condition</w:t>
            </w:r>
          </w:p>
        </w:tc>
        <w:tc>
          <w:tcPr>
            <w:tcW w:type="dxa" w:w="6804"/>
            <w:shd w:fill="F4F7FB" w:val="clear"/>
            <w:tcMar>
              <w:top w:type="dxa" w:w="90"/>
              <w:left w:type="dxa" w:w="120"/>
              <w:bottom w:type="dxa" w:w="90"/>
              <w:right w:type="dxa" w:w="120"/>
            </w:tcMar>
          </w:tcPr>
          <w:p>
            <w:pPr>
              <w:spacing w:after="0"/>
            </w:pPr>
            <w:r>
              <w:rPr>
                <w:sz w:val="20"/>
                <w:szCs w:val="20"/>
              </w:rPr>
              <w:t xml:space="preserve">L’étudiant est authentifié ; l’offre est publiée et ouverte</w:t>
            </w:r>
          </w:p>
        </w:tc>
      </w:tr>
      <w:tr>
        <w:tc>
          <w:tcPr>
            <w:tcW w:type="dxa" w:w="2268"/>
            <w:shd w:fill="FFFFFF" w:val="clear"/>
            <w:tcMar>
              <w:top w:type="dxa" w:w="90"/>
              <w:left w:type="dxa" w:w="120"/>
              <w:bottom w:type="dxa" w:w="90"/>
              <w:right w:type="dxa" w:w="120"/>
            </w:tcMar>
          </w:tcPr>
          <w:p>
            <w:pPr>
              <w:spacing w:after="0"/>
            </w:pPr>
            <w:r>
              <w:rPr>
                <w:sz w:val="20"/>
                <w:szCs w:val="20"/>
              </w:rPr>
              <w:t xml:space="preserve">Scénario nominal</w:t>
            </w:r>
          </w:p>
        </w:tc>
        <w:tc>
          <w:tcPr>
            <w:tcW w:type="dxa" w:w="6804"/>
            <w:shd w:fill="FFFFFF" w:val="clear"/>
            <w:tcMar>
              <w:top w:type="dxa" w:w="90"/>
              <w:left w:type="dxa" w:w="120"/>
              <w:bottom w:type="dxa" w:w="90"/>
              <w:right w:type="dxa" w:w="120"/>
            </w:tcMar>
          </w:tcPr>
          <w:p>
            <w:pPr>
              <w:spacing w:after="60"/>
            </w:pPr>
            <w:r>
              <w:rPr>
                <w:sz w:val="20"/>
                <w:szCs w:val="20"/>
              </w:rPr>
              <w:t xml:space="preserve">1. L’étudiant consulte le détail d’une offre.</w:t>
            </w:r>
          </w:p>
          <w:p>
            <w:pPr>
              <w:spacing w:after="60"/>
            </w:pPr>
            <w:r>
              <w:rPr>
                <w:sz w:val="20"/>
                <w:szCs w:val="20"/>
              </w:rPr>
              <w:t xml:space="preserve">2. Il joint son CV et une lettre de motivation.</w:t>
            </w:r>
          </w:p>
          <w:p>
            <w:pPr>
              <w:spacing w:after="60"/>
            </w:pPr>
            <w:r>
              <w:rPr>
                <w:sz w:val="20"/>
                <w:szCs w:val="20"/>
              </w:rPr>
              <w:t xml:space="preserve">3. Le système vérifie l’éligibilité et enregistre la candidature.</w:t>
            </w:r>
          </w:p>
          <w:p>
            <w:pPr>
              <w:spacing w:after="0"/>
            </w:pPr>
            <w:r>
              <w:rPr>
                <w:sz w:val="20"/>
                <w:szCs w:val="20"/>
              </w:rPr>
              <w:t xml:space="preserve">4. Une notification est envoyée à l’entreprise concernée.</w:t>
            </w:r>
          </w:p>
        </w:tc>
      </w:tr>
      <w:tr>
        <w:tc>
          <w:tcPr>
            <w:tcW w:type="dxa" w:w="2268"/>
            <w:shd w:fill="F4F7FB" w:val="clear"/>
            <w:tcMar>
              <w:top w:type="dxa" w:w="90"/>
              <w:left w:type="dxa" w:w="120"/>
              <w:bottom w:type="dxa" w:w="90"/>
              <w:right w:type="dxa" w:w="120"/>
            </w:tcMar>
          </w:tcPr>
          <w:p>
            <w:pPr>
              <w:spacing w:after="0"/>
            </w:pPr>
            <w:r>
              <w:rPr>
                <w:sz w:val="20"/>
                <w:szCs w:val="20"/>
              </w:rPr>
              <w:t xml:space="preserve">Post-condition</w:t>
            </w:r>
          </w:p>
        </w:tc>
        <w:tc>
          <w:tcPr>
            <w:tcW w:type="dxa" w:w="6804"/>
            <w:shd w:fill="F4F7FB" w:val="clear"/>
            <w:tcMar>
              <w:top w:type="dxa" w:w="90"/>
              <w:left w:type="dxa" w:w="120"/>
              <w:bottom w:type="dxa" w:w="90"/>
              <w:right w:type="dxa" w:w="120"/>
            </w:tcMar>
          </w:tcPr>
          <w:p>
            <w:pPr>
              <w:spacing w:after="0"/>
            </w:pPr>
            <w:r>
              <w:rPr>
                <w:sz w:val="20"/>
                <w:szCs w:val="20"/>
              </w:rPr>
              <w:t xml:space="preserve">La candidature est créée avec le statut « en attente »</w:t>
            </w:r>
          </w:p>
        </w:tc>
      </w:tr>
      <w:tr>
        <w:tc>
          <w:tcPr>
            <w:tcW w:type="dxa" w:w="2268"/>
            <w:shd w:fill="FFFFFF" w:val="clear"/>
            <w:tcMar>
              <w:top w:type="dxa" w:w="90"/>
              <w:left w:type="dxa" w:w="120"/>
              <w:bottom w:type="dxa" w:w="90"/>
              <w:right w:type="dxa" w:w="120"/>
            </w:tcMar>
          </w:tcPr>
          <w:p>
            <w:pPr>
              <w:spacing w:after="0"/>
            </w:pPr>
            <w:r>
              <w:rPr>
                <w:sz w:val="20"/>
                <w:szCs w:val="20"/>
              </w:rPr>
              <w:t xml:space="preserve">Exceptions</w:t>
            </w:r>
          </w:p>
        </w:tc>
        <w:tc>
          <w:tcPr>
            <w:tcW w:type="dxa" w:w="6804"/>
            <w:shd w:fill="FFFFFF" w:val="clear"/>
            <w:tcMar>
              <w:top w:type="dxa" w:w="90"/>
              <w:left w:type="dxa" w:w="120"/>
              <w:bottom w:type="dxa" w:w="90"/>
              <w:right w:type="dxa" w:w="120"/>
            </w:tcMar>
          </w:tcPr>
          <w:p>
            <w:pPr>
              <w:spacing w:after="0"/>
            </w:pPr>
            <w:r>
              <w:rPr>
                <w:sz w:val="20"/>
                <w:szCs w:val="20"/>
              </w:rPr>
              <w:t xml:space="preserve">Offre déjà clôturée ; document CV manquant ou invalide</w:t>
            </w:r>
          </w:p>
        </w:tc>
      </w:tr>
    </w:tbl>
    <w:p>
      <w:pPr>
        <w:pStyle w:val="Heading3"/>
        <w:spacing w:after="140" w:before="280"/>
      </w:pPr>
      <w:r>
        <w:rPr>
          <w:b/>
          <w:bCs/>
          <w:color w:val="1F3A5F"/>
          <w:sz w:val="23"/>
          <w:szCs w:val="23"/>
        </w:rPr>
        <w:t xml:space="preserve">UC — Détecter un risque de décrochage (Assistant IA)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6804"/>
      </w:tblGrid>
      <w:tr>
        <w:trPr>
          <w:tblHeader/>
        </w:trPr>
        <w:tc>
          <w:tcPr>
            <w:tcW w:type="dxa" w:w="2268"/>
            <w:shd w:fill="1F3A5F" w:val="clear"/>
            <w:tcMar>
              <w:top w:type="dxa" w:w="100"/>
              <w:left w:type="dxa" w:w="120"/>
              <w:bottom w:type="dxa" w:w="100"/>
              <w:right w:type="dxa" w:w="120"/>
            </w:tcMar>
            <w:vAlign w:val="center"/>
          </w:tcPr>
          <w:p>
            <w:r>
              <w:rPr>
                <w:b/>
                <w:bCs/>
                <w:color w:val="FFFFFF"/>
                <w:sz w:val="20"/>
                <w:szCs w:val="20"/>
              </w:rPr>
              <w:t xml:space="preserve"/>
            </w:r>
          </w:p>
        </w:tc>
        <w:tc>
          <w:tcPr>
            <w:tcW w:type="dxa" w:w="6804"/>
            <w:shd w:fill="1F3A5F" w:val="clear"/>
            <w:tcMar>
              <w:top w:type="dxa" w:w="100"/>
              <w:left w:type="dxa" w:w="120"/>
              <w:bottom w:type="dxa" w:w="100"/>
              <w:right w:type="dxa" w:w="120"/>
            </w:tcMar>
            <w:vAlign w:val="center"/>
          </w:tcPr>
          <w:p>
            <w:r>
              <w:rPr>
                <w:b/>
                <w:bCs/>
                <w:color w:val="FFFFFF"/>
                <w:sz w:val="20"/>
                <w:szCs w:val="20"/>
              </w:rPr>
              <w:t xml:space="preserve"/>
            </w:r>
          </w:p>
        </w:tc>
      </w:tr>
      <w:tr>
        <w:tc>
          <w:tcPr>
            <w:tcW w:type="dxa" w:w="2268"/>
            <w:shd w:fill="FFFFFF" w:val="clear"/>
            <w:tcMar>
              <w:top w:type="dxa" w:w="90"/>
              <w:left w:type="dxa" w:w="120"/>
              <w:bottom w:type="dxa" w:w="90"/>
              <w:right w:type="dxa" w:w="120"/>
            </w:tcMar>
          </w:tcPr>
          <w:p>
            <w:pPr>
              <w:spacing w:after="0"/>
            </w:pPr>
            <w:r>
              <w:rPr>
                <w:sz w:val="20"/>
                <w:szCs w:val="20"/>
              </w:rPr>
              <w:t xml:space="preserve">Acteur principal</w:t>
            </w:r>
          </w:p>
        </w:tc>
        <w:tc>
          <w:tcPr>
            <w:tcW w:type="dxa" w:w="6804"/>
            <w:shd w:fill="FFFFFF" w:val="clear"/>
            <w:tcMar>
              <w:top w:type="dxa" w:w="90"/>
              <w:left w:type="dxa" w:w="120"/>
              <w:bottom w:type="dxa" w:w="90"/>
              <w:right w:type="dxa" w:w="120"/>
            </w:tcMar>
          </w:tcPr>
          <w:p>
            <w:pPr>
              <w:spacing w:after="0"/>
            </w:pPr>
            <w:r>
              <w:rPr>
                <w:sz w:val="20"/>
                <w:szCs w:val="20"/>
              </w:rPr>
              <w:t xml:space="preserve">Assistant IA (déclenché après chaque dépôt de rapport)</w:t>
            </w:r>
          </w:p>
        </w:tc>
      </w:tr>
      <w:tr>
        <w:tc>
          <w:tcPr>
            <w:tcW w:type="dxa" w:w="2268"/>
            <w:shd w:fill="F4F7FB" w:val="clear"/>
            <w:tcMar>
              <w:top w:type="dxa" w:w="90"/>
              <w:left w:type="dxa" w:w="120"/>
              <w:bottom w:type="dxa" w:w="90"/>
              <w:right w:type="dxa" w:w="120"/>
            </w:tcMar>
          </w:tcPr>
          <w:p>
            <w:pPr>
              <w:spacing w:after="0"/>
            </w:pPr>
            <w:r>
              <w:rPr>
                <w:sz w:val="20"/>
                <w:szCs w:val="20"/>
              </w:rPr>
              <w:t xml:space="preserve">Pré-condition</w:t>
            </w:r>
          </w:p>
        </w:tc>
        <w:tc>
          <w:tcPr>
            <w:tcW w:type="dxa" w:w="6804"/>
            <w:shd w:fill="F4F7FB" w:val="clear"/>
            <w:tcMar>
              <w:top w:type="dxa" w:w="90"/>
              <w:left w:type="dxa" w:w="120"/>
              <w:bottom w:type="dxa" w:w="90"/>
              <w:right w:type="dxa" w:w="120"/>
            </w:tcMar>
          </w:tcPr>
          <w:p>
            <w:pPr>
              <w:spacing w:after="0"/>
            </w:pPr>
            <w:r>
              <w:rPr>
                <w:sz w:val="20"/>
                <w:szCs w:val="20"/>
              </w:rPr>
              <w:t xml:space="preserve">Un stage est en cours ; un rapport récent existe</w:t>
            </w:r>
          </w:p>
        </w:tc>
      </w:tr>
      <w:tr>
        <w:tc>
          <w:tcPr>
            <w:tcW w:type="dxa" w:w="2268"/>
            <w:shd w:fill="FFFFFF" w:val="clear"/>
            <w:tcMar>
              <w:top w:type="dxa" w:w="90"/>
              <w:left w:type="dxa" w:w="120"/>
              <w:bottom w:type="dxa" w:w="90"/>
              <w:right w:type="dxa" w:w="120"/>
            </w:tcMar>
          </w:tcPr>
          <w:p>
            <w:pPr>
              <w:spacing w:after="0"/>
            </w:pPr>
            <w:r>
              <w:rPr>
                <w:sz w:val="20"/>
                <w:szCs w:val="20"/>
              </w:rPr>
              <w:t xml:space="preserve">Scénario nominal</w:t>
            </w:r>
          </w:p>
        </w:tc>
        <w:tc>
          <w:tcPr>
            <w:tcW w:type="dxa" w:w="6804"/>
            <w:shd w:fill="FFFFFF" w:val="clear"/>
            <w:tcMar>
              <w:top w:type="dxa" w:w="90"/>
              <w:left w:type="dxa" w:w="120"/>
              <w:bottom w:type="dxa" w:w="90"/>
              <w:right w:type="dxa" w:w="120"/>
            </w:tcMar>
          </w:tcPr>
          <w:p>
            <w:pPr>
              <w:spacing w:after="60"/>
            </w:pPr>
            <w:r>
              <w:rPr>
                <w:sz w:val="20"/>
                <w:szCs w:val="20"/>
              </w:rPr>
              <w:t xml:space="preserve">1. Le service IA analyse le contenu textuel du rapport (ton, mots-clés).</w:t>
            </w:r>
          </w:p>
          <w:p>
            <w:pPr>
              <w:spacing w:after="60"/>
            </w:pPr>
            <w:r>
              <w:rPr>
                <w:sz w:val="20"/>
                <w:szCs w:val="20"/>
              </w:rPr>
              <w:t xml:space="preserve">2. Il calcule un indicateur de risque (faible / moyen / élevé).</w:t>
            </w:r>
          </w:p>
          <w:p>
            <w:pPr>
              <w:spacing w:after="60"/>
            </w:pPr>
            <w:r>
              <w:rPr>
                <w:sz w:val="20"/>
                <w:szCs w:val="20"/>
              </w:rPr>
              <w:t xml:space="preserve">3. Si le risque est moyen ou élevé, une alerte est envoyée à l’enseignant référent.</w:t>
            </w:r>
          </w:p>
          <w:p>
            <w:pPr>
              <w:spacing w:after="0"/>
            </w:pPr>
            <w:r>
              <w:rPr>
                <w:sz w:val="20"/>
                <w:szCs w:val="20"/>
              </w:rPr>
              <w:t xml:space="preserve">4. Une recommandation est adressée à l’étudiant.</w:t>
            </w:r>
          </w:p>
        </w:tc>
      </w:tr>
      <w:tr>
        <w:tc>
          <w:tcPr>
            <w:tcW w:type="dxa" w:w="2268"/>
            <w:shd w:fill="F4F7FB" w:val="clear"/>
            <w:tcMar>
              <w:top w:type="dxa" w:w="90"/>
              <w:left w:type="dxa" w:w="120"/>
              <w:bottom w:type="dxa" w:w="90"/>
              <w:right w:type="dxa" w:w="120"/>
            </w:tcMar>
          </w:tcPr>
          <w:p>
            <w:pPr>
              <w:spacing w:after="0"/>
            </w:pPr>
            <w:r>
              <w:rPr>
                <w:sz w:val="20"/>
                <w:szCs w:val="20"/>
              </w:rPr>
              <w:t xml:space="preserve">Post-condition</w:t>
            </w:r>
          </w:p>
        </w:tc>
        <w:tc>
          <w:tcPr>
            <w:tcW w:type="dxa" w:w="6804"/>
            <w:shd w:fill="F4F7FB" w:val="clear"/>
            <w:tcMar>
              <w:top w:type="dxa" w:w="90"/>
              <w:left w:type="dxa" w:w="120"/>
              <w:bottom w:type="dxa" w:w="90"/>
              <w:right w:type="dxa" w:w="120"/>
            </w:tcMar>
          </w:tcPr>
          <w:p>
            <w:pPr>
              <w:spacing w:after="0"/>
            </w:pPr>
            <w:r>
              <w:rPr>
                <w:sz w:val="20"/>
                <w:szCs w:val="20"/>
              </w:rPr>
              <w:t xml:space="preserve">Une entrée « RecommandationIA » est enregistrée et liée au stage</w:t>
            </w:r>
          </w:p>
        </w:tc>
      </w:tr>
    </w:tbl>
    <w:p>
      <w:pPr>
        <w:pStyle w:val="Heading3"/>
        <w:spacing w:after="140" w:before="280"/>
      </w:pPr>
      <w:r>
        <w:rPr>
          <w:b/>
          <w:bCs/>
          <w:color w:val="1F3A5F"/>
          <w:sz w:val="23"/>
          <w:szCs w:val="23"/>
        </w:rPr>
        <w:t xml:space="preserve">UC — Évaluer le stage / Générer l’attestation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6804"/>
      </w:tblGrid>
      <w:tr>
        <w:trPr>
          <w:tblHeader/>
        </w:trPr>
        <w:tc>
          <w:tcPr>
            <w:tcW w:type="dxa" w:w="2268"/>
            <w:shd w:fill="1F3A5F" w:val="clear"/>
            <w:tcMar>
              <w:top w:type="dxa" w:w="100"/>
              <w:left w:type="dxa" w:w="120"/>
              <w:bottom w:type="dxa" w:w="100"/>
              <w:right w:type="dxa" w:w="120"/>
            </w:tcMar>
            <w:vAlign w:val="center"/>
          </w:tcPr>
          <w:p>
            <w:r>
              <w:rPr>
                <w:b/>
                <w:bCs/>
                <w:color w:val="FFFFFF"/>
                <w:sz w:val="20"/>
                <w:szCs w:val="20"/>
              </w:rPr>
              <w:t xml:space="preserve"/>
            </w:r>
          </w:p>
        </w:tc>
        <w:tc>
          <w:tcPr>
            <w:tcW w:type="dxa" w:w="6804"/>
            <w:shd w:fill="1F3A5F" w:val="clear"/>
            <w:tcMar>
              <w:top w:type="dxa" w:w="100"/>
              <w:left w:type="dxa" w:w="120"/>
              <w:bottom w:type="dxa" w:w="100"/>
              <w:right w:type="dxa" w:w="120"/>
            </w:tcMar>
            <w:vAlign w:val="center"/>
          </w:tcPr>
          <w:p>
            <w:r>
              <w:rPr>
                <w:b/>
                <w:bCs/>
                <w:color w:val="FFFFFF"/>
                <w:sz w:val="20"/>
                <w:szCs w:val="20"/>
              </w:rPr>
              <w:t xml:space="preserve"/>
            </w:r>
          </w:p>
        </w:tc>
      </w:tr>
      <w:tr>
        <w:tc>
          <w:tcPr>
            <w:tcW w:type="dxa" w:w="2268"/>
            <w:shd w:fill="FFFFFF" w:val="clear"/>
            <w:tcMar>
              <w:top w:type="dxa" w:w="90"/>
              <w:left w:type="dxa" w:w="120"/>
              <w:bottom w:type="dxa" w:w="90"/>
              <w:right w:type="dxa" w:w="120"/>
            </w:tcMar>
          </w:tcPr>
          <w:p>
            <w:pPr>
              <w:spacing w:after="0"/>
            </w:pPr>
            <w:r>
              <w:rPr>
                <w:sz w:val="20"/>
                <w:szCs w:val="20"/>
              </w:rPr>
              <w:t xml:space="preserve">Acteurs principaux</w:t>
            </w:r>
          </w:p>
        </w:tc>
        <w:tc>
          <w:tcPr>
            <w:tcW w:type="dxa" w:w="6804"/>
            <w:shd w:fill="FFFFFF" w:val="clear"/>
            <w:tcMar>
              <w:top w:type="dxa" w:w="90"/>
              <w:left w:type="dxa" w:w="120"/>
              <w:bottom w:type="dxa" w:w="90"/>
              <w:right w:type="dxa" w:w="120"/>
            </w:tcMar>
          </w:tcPr>
          <w:p>
            <w:pPr>
              <w:spacing w:after="0"/>
            </w:pPr>
            <w:r>
              <w:rPr>
                <w:sz w:val="20"/>
                <w:szCs w:val="20"/>
              </w:rPr>
              <w:t xml:space="preserve">Enseignant, Entreprise</w:t>
            </w:r>
          </w:p>
        </w:tc>
      </w:tr>
      <w:tr>
        <w:tc>
          <w:tcPr>
            <w:tcW w:type="dxa" w:w="2268"/>
            <w:shd w:fill="F4F7FB" w:val="clear"/>
            <w:tcMar>
              <w:top w:type="dxa" w:w="90"/>
              <w:left w:type="dxa" w:w="120"/>
              <w:bottom w:type="dxa" w:w="90"/>
              <w:right w:type="dxa" w:w="120"/>
            </w:tcMar>
          </w:tcPr>
          <w:p>
            <w:pPr>
              <w:spacing w:after="0"/>
            </w:pPr>
            <w:r>
              <w:rPr>
                <w:sz w:val="20"/>
                <w:szCs w:val="20"/>
              </w:rPr>
              <w:t xml:space="preserve">Pré-condition</w:t>
            </w:r>
          </w:p>
        </w:tc>
        <w:tc>
          <w:tcPr>
            <w:tcW w:type="dxa" w:w="6804"/>
            <w:shd w:fill="F4F7FB" w:val="clear"/>
            <w:tcMar>
              <w:top w:type="dxa" w:w="90"/>
              <w:left w:type="dxa" w:w="120"/>
              <w:bottom w:type="dxa" w:w="90"/>
              <w:right w:type="dxa" w:w="120"/>
            </w:tcMar>
          </w:tcPr>
          <w:p>
            <w:pPr>
              <w:spacing w:after="0"/>
            </w:pPr>
            <w:r>
              <w:rPr>
                <w:sz w:val="20"/>
                <w:szCs w:val="20"/>
              </w:rPr>
              <w:t xml:space="preserve">La soutenance a eu lieu</w:t>
            </w:r>
          </w:p>
        </w:tc>
      </w:tr>
      <w:tr>
        <w:tc>
          <w:tcPr>
            <w:tcW w:type="dxa" w:w="2268"/>
            <w:shd w:fill="FFFFFF" w:val="clear"/>
            <w:tcMar>
              <w:top w:type="dxa" w:w="90"/>
              <w:left w:type="dxa" w:w="120"/>
              <w:bottom w:type="dxa" w:w="90"/>
              <w:right w:type="dxa" w:w="120"/>
            </w:tcMar>
          </w:tcPr>
          <w:p>
            <w:pPr>
              <w:spacing w:after="0"/>
            </w:pPr>
            <w:r>
              <w:rPr>
                <w:sz w:val="20"/>
                <w:szCs w:val="20"/>
              </w:rPr>
              <w:t xml:space="preserve">Scénario nominal</w:t>
            </w:r>
          </w:p>
        </w:tc>
        <w:tc>
          <w:tcPr>
            <w:tcW w:type="dxa" w:w="6804"/>
            <w:shd w:fill="FFFFFF" w:val="clear"/>
            <w:tcMar>
              <w:top w:type="dxa" w:w="90"/>
              <w:left w:type="dxa" w:w="120"/>
              <w:bottom w:type="dxa" w:w="90"/>
              <w:right w:type="dxa" w:w="120"/>
            </w:tcMar>
          </w:tcPr>
          <w:p>
            <w:pPr>
              <w:spacing w:after="60"/>
            </w:pPr>
            <w:r>
              <w:rPr>
                <w:sz w:val="20"/>
                <w:szCs w:val="20"/>
              </w:rPr>
              <w:t xml:space="preserve">1. Chaque évaluateur renseigne une grille de critères.</w:t>
            </w:r>
          </w:p>
          <w:p>
            <w:pPr>
              <w:spacing w:after="60"/>
            </w:pPr>
            <w:r>
              <w:rPr>
                <w:sz w:val="20"/>
                <w:szCs w:val="20"/>
              </w:rPr>
              <w:t xml:space="preserve">2. Le système calcule la note finale pondérée.</w:t>
            </w:r>
          </w:p>
          <w:p>
            <w:pPr>
              <w:spacing w:after="0"/>
            </w:pPr>
            <w:r>
              <w:rPr>
                <w:sz w:val="20"/>
                <w:szCs w:val="20"/>
              </w:rPr>
              <w:t xml:space="preserve">3. Une fois la validation administrative effectuée, l’attestation de stage est générée automatiquement.</w:t>
            </w:r>
          </w:p>
        </w:tc>
      </w:tr>
    </w:tbl>
    <w:p>
      <w:r>
        <w:br w:type="page"/>
      </w:r>
    </w:p>
    <w:p>
      <w:pPr>
        <w:pStyle w:val="Heading2"/>
        <w:spacing w:after="180" w:before="360"/>
      </w:pPr>
      <w:r>
        <w:rPr>
          <w:b/>
          <w:bCs/>
          <w:color w:val="2563EB"/>
          <w:sz w:val="26"/>
          <w:szCs w:val="26"/>
        </w:rPr>
        <w:t xml:space="preserve">3.3 Diagramme de classes</w:t>
      </w:r>
    </w:p>
    <w:p>
      <w:pPr>
        <w:spacing w:after="200" w:line="300"/>
        <w:jc w:val="both"/>
      </w:pPr>
      <w:r>
        <w:rPr>
          <w:sz w:val="22"/>
          <w:szCs w:val="22"/>
        </w:rPr>
        <w:t xml:space="preserve">Le diagramme de classes ci-après représente la structure du Modèle de l’application. La classe abstraite Utilisateur factorise les attributs communs et est spécialisée par héritage en Etudiant, Enseignant, Entreprise et Administrateur. Les entités métier (Offre, Candidature, Stage, Rapport, Soutenance...) portent le cœur du processus, tandis que RecommandationIA matérialise la sortie du module d’intelligence artificielle.</w:t>
      </w:r>
    </w:p>
    <w:p>
      <w:pPr>
        <w:spacing w:after="100" w:before="200"/>
        <w:jc w:val="center"/>
      </w:pPr>
      <w:r>
        <w:drawing>
          <wp:inline distT="0" distB="0" distL="0" distR="0">
            <wp:extent cx="4572000" cy="53054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5305425"/>
                    </a:xfrm>
                    <a:prstGeom prst="rect">
                      <a:avLst/>
                    </a:prstGeom>
                  </pic:spPr>
                </pic:pic>
              </a:graphicData>
            </a:graphic>
          </wp:inline>
        </w:drawing>
      </w:r>
    </w:p>
    <w:p>
      <w:pPr>
        <w:spacing w:after="300"/>
        <w:jc w:val="center"/>
      </w:pPr>
      <w:r>
        <w:rPr>
          <w:i/>
          <w:iCs/>
          <w:color w:val="555555"/>
          <w:sz w:val="20"/>
          <w:szCs w:val="20"/>
        </w:rPr>
        <w:t xml:space="preserve">Figure 2 — Diagramme de classes du domaine</w:t>
      </w:r>
    </w:p>
    <w:p>
      <w:pPr>
        <w:pStyle w:val="Heading2"/>
        <w:spacing w:after="180" w:before="360"/>
      </w:pPr>
      <w:r>
        <w:rPr>
          <w:b/>
          <w:bCs/>
          <w:color w:val="2563EB"/>
          <w:sz w:val="26"/>
          <w:szCs w:val="26"/>
        </w:rPr>
        <w:t xml:space="preserve">3.4 Modèle conceptuel de données (MCD)</w:t>
      </w:r>
    </w:p>
    <w:p>
      <w:pPr>
        <w:spacing w:after="200" w:line="300"/>
        <w:jc w:val="both"/>
      </w:pPr>
      <w:r>
        <w:rPr>
          <w:sz w:val="22"/>
          <w:szCs w:val="22"/>
        </w:rPr>
        <w:t xml:space="preserve">Le MCD ci-dessous traduit le diagramme de classes en entités et associations porteuses de cardinalités, en vue de la conception de la base de données relationnelle (implémentée avec PostgreSQL).</w:t>
      </w:r>
    </w:p>
    <w:p>
      <w:pPr>
        <w:spacing w:after="100" w:before="200"/>
        <w:jc w:val="center"/>
      </w:pPr>
      <w:r>
        <w:drawing>
          <wp:inline distT="0" distB="0" distL="0" distR="0">
            <wp:extent cx="5334000" cy="11334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133475"/>
                    </a:xfrm>
                    <a:prstGeom prst="rect">
                      <a:avLst/>
                    </a:prstGeom>
                  </pic:spPr>
                </pic:pic>
              </a:graphicData>
            </a:graphic>
          </wp:inline>
        </w:drawing>
      </w:r>
    </w:p>
    <w:p>
      <w:pPr>
        <w:spacing w:after="300"/>
        <w:jc w:val="center"/>
      </w:pPr>
      <w:r>
        <w:rPr>
          <w:i/>
          <w:iCs/>
          <w:color w:val="555555"/>
          <w:sz w:val="20"/>
          <w:szCs w:val="20"/>
        </w:rPr>
        <w:t xml:space="preserve">Figure 3 — Modèle conceptuel de données (notation Merise)</w:t>
      </w:r>
    </w:p>
    <w:p>
      <w:r>
        <w:br w:type="page"/>
      </w:r>
    </w:p>
    <w:p>
      <w:pPr>
        <w:pStyle w:val="Heading2"/>
        <w:spacing w:after="180" w:before="360"/>
      </w:pPr>
      <w:r>
        <w:rPr>
          <w:b/>
          <w:bCs/>
          <w:color w:val="2563EB"/>
          <w:sz w:val="26"/>
          <w:szCs w:val="26"/>
        </w:rPr>
        <w:t xml:space="preserve">3.5 Diagrammes de séquence</w:t>
      </w:r>
    </w:p>
    <w:p>
      <w:pPr>
        <w:spacing w:after="200" w:line="300"/>
        <w:jc w:val="both"/>
      </w:pPr>
      <w:r>
        <w:rPr>
          <w:sz w:val="22"/>
          <w:szCs w:val="22"/>
        </w:rPr>
        <w:t xml:space="preserve">Les deux scénarios suivants illustrent les échanges entre les couches Vue, Contrôleur et Modèle de l’architecture MVC, ainsi que l’intervention du Service IA dans le second cas.</w:t>
      </w:r>
    </w:p>
    <w:p>
      <w:pPr>
        <w:spacing w:after="100" w:before="200"/>
        <w:jc w:val="center"/>
      </w:pPr>
      <w:r>
        <w:drawing>
          <wp:inline distT="0" distB="0" distL="0" distR="0">
            <wp:extent cx="5334000" cy="35909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590925"/>
                    </a:xfrm>
                    <a:prstGeom prst="rect">
                      <a:avLst/>
                    </a:prstGeom>
                  </pic:spPr>
                </pic:pic>
              </a:graphicData>
            </a:graphic>
          </wp:inline>
        </w:drawing>
      </w:r>
    </w:p>
    <w:p>
      <w:pPr>
        <w:spacing w:after="300"/>
        <w:jc w:val="center"/>
      </w:pPr>
      <w:r>
        <w:rPr>
          <w:i/>
          <w:iCs/>
          <w:color w:val="555555"/>
          <w:sz w:val="20"/>
          <w:szCs w:val="20"/>
        </w:rPr>
        <w:t xml:space="preserve">Figure 4 — Séquence : candidature à une offre de stage</w:t>
      </w:r>
    </w:p>
    <w:p>
      <w:pPr>
        <w:spacing w:after="100" w:before="200"/>
        <w:jc w:val="center"/>
      </w:pPr>
      <w:r>
        <w:drawing>
          <wp:inline distT="0" distB="0" distL="0" distR="0">
            <wp:extent cx="5334000" cy="32480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248025"/>
                    </a:xfrm>
                    <a:prstGeom prst="rect">
                      <a:avLst/>
                    </a:prstGeom>
                  </pic:spPr>
                </pic:pic>
              </a:graphicData>
            </a:graphic>
          </wp:inline>
        </w:drawing>
      </w:r>
    </w:p>
    <w:p>
      <w:pPr>
        <w:spacing w:after="300"/>
        <w:jc w:val="center"/>
      </w:pPr>
      <w:r>
        <w:rPr>
          <w:i/>
          <w:iCs/>
          <w:color w:val="555555"/>
          <w:sz w:val="20"/>
          <w:szCs w:val="20"/>
        </w:rPr>
        <w:t xml:space="preserve">Figure 5 — Séquence : suivi pédagogique assisté par IA</w:t>
      </w:r>
    </w:p>
    <w:p>
      <w:pPr>
        <w:pStyle w:val="Heading2"/>
        <w:spacing w:after="180" w:before="360"/>
      </w:pPr>
      <w:r>
        <w:rPr>
          <w:b/>
          <w:bCs/>
          <w:color w:val="2563EB"/>
          <w:sz w:val="26"/>
          <w:szCs w:val="26"/>
        </w:rPr>
        <w:t xml:space="preserve">3.6 Diagramme d’activité (processus global)</w:t>
      </w:r>
    </w:p>
    <w:p>
      <w:pPr>
        <w:spacing w:after="200" w:line="300"/>
        <w:jc w:val="both"/>
      </w:pPr>
      <w:r>
        <w:rPr>
          <w:sz w:val="22"/>
          <w:szCs w:val="22"/>
        </w:rPr>
        <w:t xml:space="preserve">Ce diagramme représente le déroulement complet du processus, de la publication de l’offre jusqu’à la délivrance de l’attestation, en mettant en évidence la boucle de suivi enrichie par l’analyse IA.</w:t>
      </w:r>
    </w:p>
    <w:p>
      <w:pPr>
        <w:spacing w:after="100" w:before="200"/>
        <w:jc w:val="center"/>
      </w:pPr>
      <w:r>
        <w:drawing>
          <wp:inline distT="0" distB="0" distL="0" distR="0">
            <wp:extent cx="1447800" cy="66675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47800" cy="6667500"/>
                    </a:xfrm>
                    <a:prstGeom prst="rect">
                      <a:avLst/>
                    </a:prstGeom>
                  </pic:spPr>
                </pic:pic>
              </a:graphicData>
            </a:graphic>
          </wp:inline>
        </w:drawing>
      </w:r>
    </w:p>
    <w:p>
      <w:pPr>
        <w:spacing w:after="300"/>
        <w:jc w:val="center"/>
      </w:pPr>
      <w:r>
        <w:rPr>
          <w:i/>
          <w:iCs/>
          <w:color w:val="555555"/>
          <w:sz w:val="20"/>
          <w:szCs w:val="20"/>
        </w:rPr>
        <w:t xml:space="preserve">Figure 6 — Diagramme d’activité du processus global « de l’offre à la soutenance »</w:t>
      </w:r>
    </w:p>
    <w:p>
      <w:r>
        <w:br w:type="page"/>
      </w:r>
    </w:p>
    <w:p>
      <w:pPr>
        <w:pStyle w:val="Heading1"/>
        <w:pBdr>
          <w:bottom w:val="single" w:color="1F3A5F" w:sz="12" w:space="4"/>
        </w:pBdr>
        <w:spacing w:after="240" w:before="480"/>
      </w:pPr>
      <w:r>
        <w:rPr>
          <w:b/>
          <w:bCs/>
          <w:color w:val="1F3A5F"/>
          <w:sz w:val="32"/>
          <w:szCs w:val="32"/>
        </w:rPr>
        <w:t xml:space="preserve">4. Maquettes de l’interface utilisateur</w:t>
      </w:r>
    </w:p>
    <w:p>
      <w:pPr>
        <w:spacing w:after="200" w:line="300"/>
        <w:jc w:val="both"/>
      </w:pPr>
      <w:r>
        <w:rPr>
          <w:sz w:val="22"/>
          <w:szCs w:val="22"/>
        </w:rPr>
        <w:t xml:space="preserve">Contrairement à une maquette prévisionnelle, les captures ci-dessous proviennent de l’application réellement en fonctionnement (backend Spring Boot + frontend React connectés à la base PostgreSQL de production), avec des comptes de test réels.</w:t>
      </w:r>
    </w:p>
    <w:p>
      <w:pPr>
        <w:pStyle w:val="Heading2"/>
        <w:spacing w:after="180" w:before="360"/>
      </w:pPr>
      <w:r>
        <w:rPr>
          <w:b/>
          <w:bCs/>
          <w:color w:val="2563EB"/>
          <w:sz w:val="26"/>
          <w:szCs w:val="26"/>
        </w:rPr>
        <w:t xml:space="preserve">4.1 Espace Étudiant — Tableau de bord</w:t>
      </w:r>
    </w:p>
    <w:p>
      <w:pPr>
        <w:spacing w:after="200" w:line="300"/>
        <w:jc w:val="both"/>
      </w:pPr>
      <w:r>
        <w:rPr>
          <w:sz w:val="22"/>
          <w:szCs w:val="22"/>
        </w:rPr>
        <w:t xml:space="preserve">L’étudiant retrouve en un coup d’œil ses candidatures, l’avancement de son stage et les conseils générés par l’assistant IA.</w:t>
      </w:r>
    </w:p>
    <w:p>
      <w:pPr>
        <w:spacing w:after="100" w:before="200"/>
        <w:jc w:val="center"/>
      </w:pPr>
      <w:r>
        <w:drawing>
          <wp:inline distT="0" distB="0" distL="0" distR="0">
            <wp:extent cx="5334000" cy="33337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33750"/>
                    </a:xfrm>
                    <a:prstGeom prst="rect">
                      <a:avLst/>
                    </a:prstGeom>
                  </pic:spPr>
                </pic:pic>
              </a:graphicData>
            </a:graphic>
          </wp:inline>
        </w:drawing>
      </w:r>
    </w:p>
    <w:p>
      <w:pPr>
        <w:spacing w:after="300"/>
        <w:jc w:val="center"/>
      </w:pPr>
      <w:r>
        <w:rPr>
          <w:i/>
          <w:iCs/>
          <w:color w:val="555555"/>
          <w:sz w:val="20"/>
          <w:szCs w:val="20"/>
        </w:rPr>
        <w:t xml:space="preserve">Figure 7 — Espace Étudiant, tableau de bord (candidatures, stage en cours, dernier conseil IA)</w:t>
      </w:r>
    </w:p>
    <w:p>
      <w:pPr>
        <w:pStyle w:val="Heading2"/>
        <w:spacing w:after="180" w:before="360"/>
      </w:pPr>
      <w:r>
        <w:rPr>
          <w:b/>
          <w:bCs/>
          <w:color w:val="2563EB"/>
          <w:sz w:val="26"/>
          <w:szCs w:val="26"/>
        </w:rPr>
        <w:t xml:space="preserve">4.2 Espace Entreprise — Offres &amp; candidatures</w:t>
      </w:r>
    </w:p>
    <w:p>
      <w:pPr>
        <w:spacing w:after="200" w:line="300"/>
        <w:jc w:val="both"/>
      </w:pPr>
      <w:r>
        <w:rPr>
          <w:sz w:val="22"/>
          <w:szCs w:val="22"/>
        </w:rPr>
        <w:t xml:space="preserve">L’entreprise gère ses offres publiées et consulte les candidatures reçues.</w:t>
      </w:r>
    </w:p>
    <w:p>
      <w:pPr>
        <w:spacing w:after="100" w:before="200"/>
        <w:jc w:val="center"/>
      </w:pPr>
      <w:r>
        <w:drawing>
          <wp:inline distT="0" distB="0" distL="0" distR="0">
            <wp:extent cx="5334000" cy="33337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333750"/>
                    </a:xfrm>
                    <a:prstGeom prst="rect">
                      <a:avLst/>
                    </a:prstGeom>
                  </pic:spPr>
                </pic:pic>
              </a:graphicData>
            </a:graphic>
          </wp:inline>
        </w:drawing>
      </w:r>
    </w:p>
    <w:p>
      <w:pPr>
        <w:spacing w:after="300"/>
        <w:jc w:val="center"/>
      </w:pPr>
      <w:r>
        <w:rPr>
          <w:i/>
          <w:iCs/>
          <w:color w:val="555555"/>
          <w:sz w:val="20"/>
          <w:szCs w:val="20"/>
        </w:rPr>
        <w:t xml:space="preserve">Figure 8 — Espace Entreprise, offres les plus demandées et candidatures à traiter</w:t>
      </w:r>
    </w:p>
    <w:p>
      <w:pPr>
        <w:pStyle w:val="Heading2"/>
        <w:spacing w:after="180" w:before="360"/>
      </w:pPr>
      <w:r>
        <w:rPr>
          <w:b/>
          <w:bCs/>
          <w:color w:val="2563EB"/>
          <w:sz w:val="26"/>
          <w:szCs w:val="26"/>
        </w:rPr>
        <w:t xml:space="preserve">4.3 Espace Enseignant — Suivi pédagogique assisté par IA</w:t>
      </w:r>
    </w:p>
    <w:p>
      <w:pPr>
        <w:spacing w:after="200" w:line="300"/>
        <w:jc w:val="both"/>
      </w:pPr>
      <w:r>
        <w:rPr>
          <w:sz w:val="22"/>
          <w:szCs w:val="22"/>
        </w:rPr>
        <w:t xml:space="preserve">L’enseignant visualise l’ensemble de ses étudiants encadrés avec un indicateur de risque calculé par l’IA, classé par niveau.</w:t>
      </w:r>
    </w:p>
    <w:p>
      <w:pPr>
        <w:spacing w:after="100" w:before="200"/>
        <w:jc w:val="center"/>
      </w:pPr>
      <w:r>
        <w:drawing>
          <wp:inline distT="0" distB="0" distL="0" distR="0">
            <wp:extent cx="5334000" cy="33337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333750"/>
                    </a:xfrm>
                    <a:prstGeom prst="rect">
                      <a:avLst/>
                    </a:prstGeom>
                  </pic:spPr>
                </pic:pic>
              </a:graphicData>
            </a:graphic>
          </wp:inline>
        </w:drawing>
      </w:r>
    </w:p>
    <w:p>
      <w:pPr>
        <w:spacing w:after="300"/>
        <w:jc w:val="center"/>
      </w:pPr>
      <w:r>
        <w:rPr>
          <w:i/>
          <w:iCs/>
          <w:color w:val="555555"/>
          <w:sz w:val="20"/>
          <w:szCs w:val="20"/>
        </w:rPr>
        <w:t xml:space="preserve">Figure 9 — Espace Enseignant, étudiants suivis et alertes IA récentes</w:t>
      </w:r>
    </w:p>
    <w:p>
      <w:pPr>
        <w:pStyle w:val="Heading2"/>
        <w:spacing w:after="180" w:before="360"/>
      </w:pPr>
      <w:r>
        <w:rPr>
          <w:b/>
          <w:bCs/>
          <w:color w:val="2563EB"/>
          <w:sz w:val="26"/>
          <w:szCs w:val="26"/>
        </w:rPr>
        <w:t xml:space="preserve">4.4 Espace Administrateur — Statistiques globales</w:t>
      </w:r>
    </w:p>
    <w:p>
      <w:pPr>
        <w:spacing w:after="200" w:line="300"/>
        <w:jc w:val="both"/>
      </w:pPr>
      <w:r>
        <w:rPr>
          <w:sz w:val="22"/>
          <w:szCs w:val="22"/>
        </w:rPr>
        <w:t xml:space="preserve">L’administrateur dispose d’une vue d’ensemble de la campagne de stages : offres actives, candidatures, étudiants placés, entreprises partenaires.</w:t>
      </w:r>
    </w:p>
    <w:p>
      <w:pPr>
        <w:spacing w:after="100" w:before="200"/>
        <w:jc w:val="center"/>
      </w:pPr>
      <w:r>
        <w:drawing>
          <wp:inline distT="0" distB="0" distL="0" distR="0">
            <wp:extent cx="5334000" cy="33337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333750"/>
                    </a:xfrm>
                    <a:prstGeom prst="rect">
                      <a:avLst/>
                    </a:prstGeom>
                  </pic:spPr>
                </pic:pic>
              </a:graphicData>
            </a:graphic>
          </wp:inline>
        </w:drawing>
      </w:r>
    </w:p>
    <w:p>
      <w:pPr>
        <w:spacing w:after="300"/>
        <w:jc w:val="center"/>
      </w:pPr>
      <w:r>
        <w:rPr>
          <w:i/>
          <w:iCs/>
          <w:color w:val="555555"/>
          <w:sz w:val="20"/>
          <w:szCs w:val="20"/>
        </w:rPr>
        <w:t xml:space="preserve">Figure 10 — Espace Administrateur, vue d’ensemble de la plateforme</w:t>
      </w:r>
    </w:p>
    <w:p>
      <w:r>
        <w:br w:type="page"/>
      </w:r>
    </w:p>
    <w:p>
      <w:pPr>
        <w:pStyle w:val="Heading1"/>
        <w:pBdr>
          <w:bottom w:val="single" w:color="1F3A5F" w:sz="12" w:space="4"/>
        </w:pBdr>
        <w:spacing w:after="240" w:before="480"/>
      </w:pPr>
      <w:r>
        <w:rPr>
          <w:b/>
          <w:bCs/>
          <w:color w:val="1F3A5F"/>
          <w:sz w:val="32"/>
          <w:szCs w:val="32"/>
        </w:rPr>
        <w:t xml:space="preserve">5. Architecture technique — Modèle MVC</w:t>
      </w:r>
    </w:p>
    <w:p>
      <w:pPr>
        <w:pStyle w:val="Heading2"/>
        <w:spacing w:after="180" w:before="360"/>
      </w:pPr>
      <w:r>
        <w:rPr>
          <w:b/>
          <w:bCs/>
          <w:color w:val="2563EB"/>
          <w:sz w:val="26"/>
          <w:szCs w:val="26"/>
        </w:rPr>
        <w:t xml:space="preserve">5.1 Principe de l’architecture MVC</w:t>
      </w:r>
    </w:p>
    <w:p>
      <w:pPr>
        <w:spacing w:after="200" w:line="300"/>
        <w:jc w:val="both"/>
      </w:pPr>
      <w:r>
        <w:rPr>
          <w:sz w:val="22"/>
          <w:szCs w:val="22"/>
        </w:rPr>
        <w:t xml:space="preserve">Le patron d’architecture MVC (Modèle – Vue – Contrôleur) a été retenu pour structurer l’application en trois responsabilités clairement séparées : le Modèle représente les données et la logique métier (entités JPA, règles de gestion) ; la Vue gère l’affichage, adaptée à chaque profil d’utilisateur ; le Contrôleur reçoit les requêtes, orchestre les traitements en sollicitant le Modèle et les services, puis renvoie la réponse.</w:t>
      </w:r>
    </w:p>
    <w:p>
      <w:pPr>
        <w:pStyle w:val="Heading2"/>
        <w:spacing w:after="180" w:before="360"/>
      </w:pPr>
      <w:r>
        <w:rPr>
          <w:b/>
          <w:bCs/>
          <w:color w:val="2563EB"/>
          <w:sz w:val="26"/>
          <w:szCs w:val="26"/>
        </w:rPr>
        <w:t xml:space="preserve">5.2 Schéma d’architecture retenu</w:t>
      </w:r>
    </w:p>
    <w:p>
      <w:pPr>
        <w:spacing w:after="200" w:line="300"/>
        <w:jc w:val="both"/>
      </w:pPr>
      <w:r>
        <w:rPr>
          <w:sz w:val="22"/>
          <w:szCs w:val="22"/>
        </w:rPr>
        <w:t xml:space="preserve">L’architecture ajoute au triptyque MVC classique une couche Services, qui isole la logique d’intelligence artificielle et les traitements métier complexes (matching, analyse de rapports, détection de risques) du Contrôleur. Ce découpage a été respecté strictement pendant l’implémentation : aucun appel direct à l’API Groq n’existe en dehors de la classe LlmService.</w:t>
      </w:r>
    </w:p>
    <w:p>
      <w:pPr>
        <w:spacing w:after="100" w:before="200"/>
        <w:jc w:val="center"/>
      </w:pPr>
      <w:r>
        <w:drawing>
          <wp:inline distT="0" distB="0" distL="0" distR="0">
            <wp:extent cx="5334000" cy="21145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114550"/>
                    </a:xfrm>
                    <a:prstGeom prst="rect">
                      <a:avLst/>
                    </a:prstGeom>
                  </pic:spPr>
                </pic:pic>
              </a:graphicData>
            </a:graphic>
          </wp:inline>
        </w:drawing>
      </w:r>
    </w:p>
    <w:p>
      <w:pPr>
        <w:spacing w:after="300"/>
        <w:jc w:val="center"/>
      </w:pPr>
      <w:r>
        <w:rPr>
          <w:i/>
          <w:iCs/>
          <w:color w:val="555555"/>
          <w:sz w:val="20"/>
          <w:szCs w:val="20"/>
        </w:rPr>
        <w:t xml:space="preserve">Figure 11 — Architecture logicielle en couches (MVC étendu), telle qu’implémentée</w:t>
      </w:r>
    </w:p>
    <w:p>
      <w:pPr>
        <w:pStyle w:val="Heading2"/>
        <w:spacing w:after="180" w:before="360"/>
      </w:pPr>
      <w:r>
        <w:rPr>
          <w:b/>
          <w:bCs/>
          <w:color w:val="2563EB"/>
          <w:sz w:val="26"/>
          <w:szCs w:val="26"/>
        </w:rPr>
        <w:t xml:space="preserve">5.3 Description des couches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52"/>
        <w:gridCol w:w="3084"/>
        <w:gridCol w:w="4536"/>
      </w:tblGrid>
      <w:tr>
        <w:trPr>
          <w:tblHeader/>
        </w:trPr>
        <w:tc>
          <w:tcPr>
            <w:tcW w:type="dxa" w:w="1452"/>
            <w:shd w:fill="1F3A5F" w:val="clear"/>
            <w:tcMar>
              <w:top w:type="dxa" w:w="100"/>
              <w:left w:type="dxa" w:w="120"/>
              <w:bottom w:type="dxa" w:w="100"/>
              <w:right w:type="dxa" w:w="120"/>
            </w:tcMar>
            <w:vAlign w:val="center"/>
          </w:tcPr>
          <w:p>
            <w:r>
              <w:rPr>
                <w:b/>
                <w:bCs/>
                <w:color w:val="FFFFFF"/>
                <w:sz w:val="20"/>
                <w:szCs w:val="20"/>
              </w:rPr>
              <w:t xml:space="preserve">Couche</w:t>
            </w:r>
          </w:p>
        </w:tc>
        <w:tc>
          <w:tcPr>
            <w:tcW w:type="dxa" w:w="3084"/>
            <w:shd w:fill="1F3A5F" w:val="clear"/>
            <w:tcMar>
              <w:top w:type="dxa" w:w="100"/>
              <w:left w:type="dxa" w:w="120"/>
              <w:bottom w:type="dxa" w:w="100"/>
              <w:right w:type="dxa" w:w="120"/>
            </w:tcMar>
            <w:vAlign w:val="center"/>
          </w:tcPr>
          <w:p>
            <w:r>
              <w:rPr>
                <w:b/>
                <w:bCs/>
                <w:color w:val="FFFFFF"/>
                <w:sz w:val="20"/>
                <w:szCs w:val="20"/>
              </w:rPr>
              <w:t xml:space="preserve">Rôle</w:t>
            </w:r>
          </w:p>
        </w:tc>
        <w:tc>
          <w:tcPr>
            <w:tcW w:type="dxa" w:w="4536"/>
            <w:shd w:fill="1F3A5F" w:val="clear"/>
            <w:tcMar>
              <w:top w:type="dxa" w:w="100"/>
              <w:left w:type="dxa" w:w="120"/>
              <w:bottom w:type="dxa" w:w="100"/>
              <w:right w:type="dxa" w:w="120"/>
            </w:tcMar>
            <w:vAlign w:val="center"/>
          </w:tcPr>
          <w:p>
            <w:r>
              <w:rPr>
                <w:b/>
                <w:bCs/>
                <w:color w:val="FFFFFF"/>
                <w:sz w:val="20"/>
                <w:szCs w:val="20"/>
              </w:rPr>
              <w:t xml:space="preserve">Composants réels du projet</w:t>
            </w:r>
          </w:p>
        </w:tc>
      </w:tr>
      <w:tr>
        <w:tc>
          <w:tcPr>
            <w:tcW w:type="dxa" w:w="1452"/>
            <w:shd w:fill="FFFFFF" w:val="clear"/>
            <w:tcMar>
              <w:top w:type="dxa" w:w="90"/>
              <w:left w:type="dxa" w:w="120"/>
              <w:bottom w:type="dxa" w:w="90"/>
              <w:right w:type="dxa" w:w="120"/>
            </w:tcMar>
          </w:tcPr>
          <w:p>
            <w:pPr>
              <w:spacing w:after="0"/>
            </w:pPr>
            <w:r>
              <w:rPr>
                <w:sz w:val="20"/>
                <w:szCs w:val="20"/>
              </w:rPr>
              <w:t xml:space="preserve">Vue</w:t>
            </w:r>
          </w:p>
        </w:tc>
        <w:tc>
          <w:tcPr>
            <w:tcW w:type="dxa" w:w="3084"/>
            <w:shd w:fill="FFFFFF" w:val="clear"/>
            <w:tcMar>
              <w:top w:type="dxa" w:w="90"/>
              <w:left w:type="dxa" w:w="120"/>
              <w:bottom w:type="dxa" w:w="90"/>
              <w:right w:type="dxa" w:w="120"/>
            </w:tcMar>
          </w:tcPr>
          <w:p>
            <w:pPr>
              <w:spacing w:after="0"/>
            </w:pPr>
            <w:r>
              <w:rPr>
                <w:sz w:val="20"/>
                <w:szCs w:val="20"/>
              </w:rPr>
              <w:t xml:space="preserve">Rendu des interfaces selon le rôle</w:t>
            </w:r>
          </w:p>
        </w:tc>
        <w:tc>
          <w:tcPr>
            <w:tcW w:type="dxa" w:w="4536"/>
            <w:shd w:fill="FFFFFF" w:val="clear"/>
            <w:tcMar>
              <w:top w:type="dxa" w:w="90"/>
              <w:left w:type="dxa" w:w="120"/>
              <w:bottom w:type="dxa" w:w="90"/>
              <w:right w:type="dxa" w:w="120"/>
            </w:tcMar>
          </w:tcPr>
          <w:p>
            <w:pPr>
              <w:spacing w:after="0"/>
            </w:pPr>
            <w:r>
              <w:rPr>
                <w:sz w:val="20"/>
                <w:szCs w:val="20"/>
              </w:rPr>
              <w:t xml:space="preserve">Pages React par rôle : /app/etudiant, /app/entreprise, /app/enseignant, /app/admin</w:t>
            </w:r>
          </w:p>
        </w:tc>
      </w:tr>
      <w:tr>
        <w:tc>
          <w:tcPr>
            <w:tcW w:type="dxa" w:w="1452"/>
            <w:shd w:fill="F4F7FB" w:val="clear"/>
            <w:tcMar>
              <w:top w:type="dxa" w:w="90"/>
              <w:left w:type="dxa" w:w="120"/>
              <w:bottom w:type="dxa" w:w="90"/>
              <w:right w:type="dxa" w:w="120"/>
            </w:tcMar>
          </w:tcPr>
          <w:p>
            <w:pPr>
              <w:spacing w:after="0"/>
            </w:pPr>
            <w:r>
              <w:rPr>
                <w:sz w:val="20"/>
                <w:szCs w:val="20"/>
              </w:rPr>
              <w:t xml:space="preserve">Contrôleur</w:t>
            </w:r>
          </w:p>
        </w:tc>
        <w:tc>
          <w:tcPr>
            <w:tcW w:type="dxa" w:w="3084"/>
            <w:shd w:fill="F4F7FB" w:val="clear"/>
            <w:tcMar>
              <w:top w:type="dxa" w:w="90"/>
              <w:left w:type="dxa" w:w="120"/>
              <w:bottom w:type="dxa" w:w="90"/>
              <w:right w:type="dxa" w:w="120"/>
            </w:tcMar>
          </w:tcPr>
          <w:p>
            <w:pPr>
              <w:spacing w:after="0"/>
            </w:pPr>
            <w:r>
              <w:rPr>
                <w:sz w:val="20"/>
                <w:szCs w:val="20"/>
              </w:rPr>
              <w:t xml:space="preserve">Réception des requêtes HTTP, validation, orchestration</w:t>
            </w:r>
          </w:p>
        </w:tc>
        <w:tc>
          <w:tcPr>
            <w:tcW w:type="dxa" w:w="4536"/>
            <w:shd w:fill="F4F7FB" w:val="clear"/>
            <w:tcMar>
              <w:top w:type="dxa" w:w="90"/>
              <w:left w:type="dxa" w:w="120"/>
              <w:bottom w:type="dxa" w:w="90"/>
              <w:right w:type="dxa" w:w="120"/>
            </w:tcMar>
          </w:tcPr>
          <w:p>
            <w:pPr>
              <w:spacing w:after="0"/>
            </w:pPr>
            <w:r>
              <w:rPr>
                <w:sz w:val="20"/>
                <w:szCs w:val="20"/>
              </w:rPr>
              <w:t xml:space="preserve">AuthController, OffreController, CandidatureController, StageController, SoutenanceController, ConventionController, ChatbotController, RecommandationIAController</w:t>
            </w:r>
          </w:p>
        </w:tc>
      </w:tr>
      <w:tr>
        <w:tc>
          <w:tcPr>
            <w:tcW w:type="dxa" w:w="1452"/>
            <w:shd w:fill="FFFFFF" w:val="clear"/>
            <w:tcMar>
              <w:top w:type="dxa" w:w="90"/>
              <w:left w:type="dxa" w:w="120"/>
              <w:bottom w:type="dxa" w:w="90"/>
              <w:right w:type="dxa" w:w="120"/>
            </w:tcMar>
          </w:tcPr>
          <w:p>
            <w:pPr>
              <w:spacing w:after="0"/>
            </w:pPr>
            <w:r>
              <w:rPr>
                <w:sz w:val="20"/>
                <w:szCs w:val="20"/>
              </w:rPr>
              <w:t xml:space="preserve">Services</w:t>
            </w:r>
          </w:p>
        </w:tc>
        <w:tc>
          <w:tcPr>
            <w:tcW w:type="dxa" w:w="3084"/>
            <w:shd w:fill="FFFFFF" w:val="clear"/>
            <w:tcMar>
              <w:top w:type="dxa" w:w="90"/>
              <w:left w:type="dxa" w:w="120"/>
              <w:bottom w:type="dxa" w:w="90"/>
              <w:right w:type="dxa" w:w="120"/>
            </w:tcMar>
          </w:tcPr>
          <w:p>
            <w:pPr>
              <w:spacing w:after="0"/>
            </w:pPr>
            <w:r>
              <w:rPr>
                <w:sz w:val="20"/>
                <w:szCs w:val="20"/>
              </w:rPr>
              <w:t xml:space="preserve">Logique métier et intelligence artificielle</w:t>
            </w:r>
          </w:p>
        </w:tc>
        <w:tc>
          <w:tcPr>
            <w:tcW w:type="dxa" w:w="4536"/>
            <w:shd w:fill="FFFFFF" w:val="clear"/>
            <w:tcMar>
              <w:top w:type="dxa" w:w="90"/>
              <w:left w:type="dxa" w:w="120"/>
              <w:bottom w:type="dxa" w:w="90"/>
              <w:right w:type="dxa" w:w="120"/>
            </w:tcMar>
          </w:tcPr>
          <w:p>
            <w:pPr>
              <w:spacing w:after="0"/>
            </w:pPr>
            <w:r>
              <w:rPr>
                <w:sz w:val="20"/>
                <w:szCs w:val="20"/>
              </w:rPr>
              <w:t xml:space="preserve">LlmService (point d’accès unique à l’IA), ChatbotService, MatchingService, AnalyseRapportService, SyntheseParcoursService, PreselectionService, ConventionMatchingService, EvaluationAnalysisService</w:t>
            </w:r>
          </w:p>
        </w:tc>
      </w:tr>
      <w:tr>
        <w:tc>
          <w:tcPr>
            <w:tcW w:type="dxa" w:w="1452"/>
            <w:shd w:fill="F4F7FB" w:val="clear"/>
            <w:tcMar>
              <w:top w:type="dxa" w:w="90"/>
              <w:left w:type="dxa" w:w="120"/>
              <w:bottom w:type="dxa" w:w="90"/>
              <w:right w:type="dxa" w:w="120"/>
            </w:tcMar>
          </w:tcPr>
          <w:p>
            <w:pPr>
              <w:spacing w:after="0"/>
            </w:pPr>
            <w:r>
              <w:rPr>
                <w:sz w:val="20"/>
                <w:szCs w:val="20"/>
              </w:rPr>
              <w:t xml:space="preserve">Modèle</w:t>
            </w:r>
          </w:p>
        </w:tc>
        <w:tc>
          <w:tcPr>
            <w:tcW w:type="dxa" w:w="3084"/>
            <w:shd w:fill="F4F7FB" w:val="clear"/>
            <w:tcMar>
              <w:top w:type="dxa" w:w="90"/>
              <w:left w:type="dxa" w:w="120"/>
              <w:bottom w:type="dxa" w:w="90"/>
              <w:right w:type="dxa" w:w="120"/>
            </w:tcMar>
          </w:tcPr>
          <w:p>
            <w:pPr>
              <w:spacing w:after="0"/>
            </w:pPr>
            <w:r>
              <w:rPr>
                <w:sz w:val="20"/>
                <w:szCs w:val="20"/>
              </w:rPr>
              <w:t xml:space="preserve">Représentation des données et règles de gestion</w:t>
            </w:r>
          </w:p>
        </w:tc>
        <w:tc>
          <w:tcPr>
            <w:tcW w:type="dxa" w:w="4536"/>
            <w:shd w:fill="F4F7FB" w:val="clear"/>
            <w:tcMar>
              <w:top w:type="dxa" w:w="90"/>
              <w:left w:type="dxa" w:w="120"/>
              <w:bottom w:type="dxa" w:w="90"/>
              <w:right w:type="dxa" w:w="120"/>
            </w:tcMar>
          </w:tcPr>
          <w:p>
            <w:pPr>
              <w:spacing w:after="0"/>
            </w:pPr>
            <w:r>
              <w:rPr>
                <w:sz w:val="20"/>
                <w:szCs w:val="20"/>
              </w:rPr>
              <w:t xml:space="preserve">Entités JPA (Etudiant, Offre, Stage, Candidature...), Spring Data JPA / Hibernate 7.4.5</w:t>
            </w:r>
          </w:p>
        </w:tc>
      </w:tr>
      <w:tr>
        <w:tc>
          <w:tcPr>
            <w:tcW w:type="dxa" w:w="1452"/>
            <w:shd w:fill="FFFFFF" w:val="clear"/>
            <w:tcMar>
              <w:top w:type="dxa" w:w="90"/>
              <w:left w:type="dxa" w:w="120"/>
              <w:bottom w:type="dxa" w:w="90"/>
              <w:right w:type="dxa" w:w="120"/>
            </w:tcMar>
          </w:tcPr>
          <w:p>
            <w:pPr>
              <w:spacing w:after="0"/>
            </w:pPr>
            <w:r>
              <w:rPr>
                <w:sz w:val="20"/>
                <w:szCs w:val="20"/>
              </w:rPr>
              <w:t xml:space="preserve">Persistance</w:t>
            </w:r>
          </w:p>
        </w:tc>
        <w:tc>
          <w:tcPr>
            <w:tcW w:type="dxa" w:w="3084"/>
            <w:shd w:fill="FFFFFF" w:val="clear"/>
            <w:tcMar>
              <w:top w:type="dxa" w:w="90"/>
              <w:left w:type="dxa" w:w="120"/>
              <w:bottom w:type="dxa" w:w="90"/>
              <w:right w:type="dxa" w:w="120"/>
            </w:tcMar>
          </w:tcPr>
          <w:p>
            <w:pPr>
              <w:spacing w:after="0"/>
            </w:pPr>
            <w:r>
              <w:rPr>
                <w:sz w:val="20"/>
                <w:szCs w:val="20"/>
              </w:rPr>
              <w:t xml:space="preserve">Stockage durable des données et fichiers</w:t>
            </w:r>
          </w:p>
        </w:tc>
        <w:tc>
          <w:tcPr>
            <w:tcW w:type="dxa" w:w="4536"/>
            <w:shd w:fill="FFFFFF" w:val="clear"/>
            <w:tcMar>
              <w:top w:type="dxa" w:w="90"/>
              <w:left w:type="dxa" w:w="120"/>
              <w:bottom w:type="dxa" w:w="90"/>
              <w:right w:type="dxa" w:w="120"/>
            </w:tcMar>
          </w:tcPr>
          <w:p>
            <w:pPr>
              <w:spacing w:after="0"/>
            </w:pPr>
            <w:r>
              <w:rPr>
                <w:sz w:val="20"/>
                <w:szCs w:val="20"/>
              </w:rPr>
              <w:t xml:space="preserve">PostgreSQL (hébergé sur Neon), stockage de fichiers sur disque (CV, rapports)</w:t>
            </w:r>
          </w:p>
        </w:tc>
      </w:tr>
      <w:tr>
        <w:tc>
          <w:tcPr>
            <w:tcW w:type="dxa" w:w="1452"/>
            <w:shd w:fill="F4F7FB" w:val="clear"/>
            <w:tcMar>
              <w:top w:type="dxa" w:w="90"/>
              <w:left w:type="dxa" w:w="120"/>
              <w:bottom w:type="dxa" w:w="90"/>
              <w:right w:type="dxa" w:w="120"/>
            </w:tcMar>
          </w:tcPr>
          <w:p>
            <w:pPr>
              <w:spacing w:after="0"/>
            </w:pPr>
            <w:r>
              <w:rPr>
                <w:sz w:val="20"/>
                <w:szCs w:val="20"/>
              </w:rPr>
              <w:t xml:space="preserve">Services externes</w:t>
            </w:r>
          </w:p>
        </w:tc>
        <w:tc>
          <w:tcPr>
            <w:tcW w:type="dxa" w:w="3084"/>
            <w:shd w:fill="F4F7FB" w:val="clear"/>
            <w:tcMar>
              <w:top w:type="dxa" w:w="90"/>
              <w:left w:type="dxa" w:w="120"/>
              <w:bottom w:type="dxa" w:w="90"/>
              <w:right w:type="dxa" w:w="120"/>
            </w:tcMar>
          </w:tcPr>
          <w:p>
            <w:pPr>
              <w:spacing w:after="0"/>
            </w:pPr>
            <w:r>
              <w:rPr>
                <w:sz w:val="20"/>
                <w:szCs w:val="20"/>
              </w:rPr>
              <w:t xml:space="preserve">Fonctions transverses déléguées</w:t>
            </w:r>
          </w:p>
        </w:tc>
        <w:tc>
          <w:tcPr>
            <w:tcW w:type="dxa" w:w="4536"/>
            <w:shd w:fill="F4F7FB" w:val="clear"/>
            <w:tcMar>
              <w:top w:type="dxa" w:w="90"/>
              <w:left w:type="dxa" w:w="120"/>
              <w:bottom w:type="dxa" w:w="90"/>
              <w:right w:type="dxa" w:w="120"/>
            </w:tcMar>
          </w:tcPr>
          <w:p>
            <w:pPr>
              <w:spacing w:after="0"/>
            </w:pPr>
            <w:r>
              <w:rPr>
                <w:sz w:val="20"/>
                <w:szCs w:val="20"/>
              </w:rPr>
              <w:t xml:space="preserve">API Groq (modèle openai/gpt-oss-120b)</w:t>
            </w:r>
          </w:p>
        </w:tc>
      </w:tr>
    </w:tbl>
    <w:p>
      <w:pPr>
        <w:pStyle w:val="Heading2"/>
        <w:spacing w:after="180" w:before="360"/>
      </w:pPr>
      <w:r>
        <w:rPr>
          <w:b/>
          <w:bCs/>
          <w:color w:val="2563EB"/>
          <w:sz w:val="26"/>
          <w:szCs w:val="26"/>
        </w:rPr>
        <w:t xml:space="preserve">5.4 Choix technologiques (implémentation finale)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633"/>
        <w:gridCol w:w="3447"/>
        <w:gridCol w:w="3992"/>
      </w:tblGrid>
      <w:tr>
        <w:trPr>
          <w:tblHeader/>
        </w:trPr>
        <w:tc>
          <w:tcPr>
            <w:tcW w:type="dxa" w:w="1633"/>
            <w:shd w:fill="1F3A5F" w:val="clear"/>
            <w:tcMar>
              <w:top w:type="dxa" w:w="100"/>
              <w:left w:type="dxa" w:w="120"/>
              <w:bottom w:type="dxa" w:w="100"/>
              <w:right w:type="dxa" w:w="120"/>
            </w:tcMar>
            <w:vAlign w:val="center"/>
          </w:tcPr>
          <w:p>
            <w:r>
              <w:rPr>
                <w:b/>
                <w:bCs/>
                <w:color w:val="FFFFFF"/>
                <w:sz w:val="20"/>
                <w:szCs w:val="20"/>
              </w:rPr>
              <w:t xml:space="preserve">Composant</w:t>
            </w:r>
          </w:p>
        </w:tc>
        <w:tc>
          <w:tcPr>
            <w:tcW w:type="dxa" w:w="3447"/>
            <w:shd w:fill="1F3A5F" w:val="clear"/>
            <w:tcMar>
              <w:top w:type="dxa" w:w="100"/>
              <w:left w:type="dxa" w:w="120"/>
              <w:bottom w:type="dxa" w:w="100"/>
              <w:right w:type="dxa" w:w="120"/>
            </w:tcMar>
            <w:vAlign w:val="center"/>
          </w:tcPr>
          <w:p>
            <w:r>
              <w:rPr>
                <w:b/>
                <w:bCs/>
                <w:color w:val="FFFFFF"/>
                <w:sz w:val="20"/>
                <w:szCs w:val="20"/>
              </w:rPr>
              <w:t xml:space="preserve">Technologie retenue</w:t>
            </w:r>
          </w:p>
        </w:tc>
        <w:tc>
          <w:tcPr>
            <w:tcW w:type="dxa" w:w="3992"/>
            <w:shd w:fill="1F3A5F" w:val="clear"/>
            <w:tcMar>
              <w:top w:type="dxa" w:w="100"/>
              <w:left w:type="dxa" w:w="120"/>
              <w:bottom w:type="dxa" w:w="100"/>
              <w:right w:type="dxa" w:w="120"/>
            </w:tcMar>
            <w:vAlign w:val="center"/>
          </w:tcPr>
          <w:p>
            <w:r>
              <w:rPr>
                <w:b/>
                <w:bCs/>
                <w:color w:val="FFFFFF"/>
                <w:sz w:val="20"/>
                <w:szCs w:val="20"/>
              </w:rPr>
              <w:t xml:space="preserve">Justification</w:t>
            </w:r>
          </w:p>
        </w:tc>
      </w:tr>
      <w:tr>
        <w:tc>
          <w:tcPr>
            <w:tcW w:type="dxa" w:w="1633"/>
            <w:shd w:fill="FFFFFF" w:val="clear"/>
            <w:tcMar>
              <w:top w:type="dxa" w:w="90"/>
              <w:left w:type="dxa" w:w="120"/>
              <w:bottom w:type="dxa" w:w="90"/>
              <w:right w:type="dxa" w:w="120"/>
            </w:tcMar>
          </w:tcPr>
          <w:p>
            <w:pPr>
              <w:spacing w:after="0"/>
            </w:pPr>
            <w:r>
              <w:rPr>
                <w:sz w:val="20"/>
                <w:szCs w:val="20"/>
              </w:rPr>
              <w:t xml:space="preserve">Frontend</w:t>
            </w:r>
          </w:p>
        </w:tc>
        <w:tc>
          <w:tcPr>
            <w:tcW w:type="dxa" w:w="3447"/>
            <w:shd w:fill="FFFFFF" w:val="clear"/>
            <w:tcMar>
              <w:top w:type="dxa" w:w="90"/>
              <w:left w:type="dxa" w:w="120"/>
              <w:bottom w:type="dxa" w:w="90"/>
              <w:right w:type="dxa" w:w="120"/>
            </w:tcMar>
          </w:tcPr>
          <w:p>
            <w:pPr>
              <w:spacing w:after="0"/>
            </w:pPr>
            <w:r>
              <w:rPr>
                <w:sz w:val="20"/>
                <w:szCs w:val="20"/>
              </w:rPr>
              <w:t xml:space="preserve">React 18 + TypeScript + Vite + Tailwind CSS + React Router</w:t>
            </w:r>
          </w:p>
        </w:tc>
        <w:tc>
          <w:tcPr>
            <w:tcW w:type="dxa" w:w="3992"/>
            <w:shd w:fill="FFFFFF" w:val="clear"/>
            <w:tcMar>
              <w:top w:type="dxa" w:w="90"/>
              <w:left w:type="dxa" w:w="120"/>
              <w:bottom w:type="dxa" w:w="90"/>
              <w:right w:type="dxa" w:w="120"/>
            </w:tcMar>
          </w:tcPr>
          <w:p>
            <w:pPr>
              <w:spacing w:after="0"/>
            </w:pPr>
            <w:r>
              <w:rPr>
                <w:sz w:val="20"/>
                <w:szCs w:val="20"/>
              </w:rPr>
              <w:t xml:space="preserve">SPA réactive, typée, adaptée à 4 profils utilisateurs distincts</w:t>
            </w:r>
          </w:p>
        </w:tc>
      </w:tr>
      <w:tr>
        <w:tc>
          <w:tcPr>
            <w:tcW w:type="dxa" w:w="1633"/>
            <w:shd w:fill="F4F7FB" w:val="clear"/>
            <w:tcMar>
              <w:top w:type="dxa" w:w="90"/>
              <w:left w:type="dxa" w:w="120"/>
              <w:bottom w:type="dxa" w:w="90"/>
              <w:right w:type="dxa" w:w="120"/>
            </w:tcMar>
          </w:tcPr>
          <w:p>
            <w:pPr>
              <w:spacing w:after="0"/>
            </w:pPr>
            <w:r>
              <w:rPr>
                <w:sz w:val="20"/>
                <w:szCs w:val="20"/>
              </w:rPr>
              <w:t xml:space="preserve">Backend</w:t>
            </w:r>
          </w:p>
        </w:tc>
        <w:tc>
          <w:tcPr>
            <w:tcW w:type="dxa" w:w="3447"/>
            <w:shd w:fill="F4F7FB" w:val="clear"/>
            <w:tcMar>
              <w:top w:type="dxa" w:w="90"/>
              <w:left w:type="dxa" w:w="120"/>
              <w:bottom w:type="dxa" w:w="90"/>
              <w:right w:type="dxa" w:w="120"/>
            </w:tcMar>
          </w:tcPr>
          <w:p>
            <w:pPr>
              <w:spacing w:after="0"/>
            </w:pPr>
            <w:r>
              <w:rPr>
                <w:sz w:val="20"/>
                <w:szCs w:val="20"/>
              </w:rPr>
              <w:t xml:space="preserve">Spring Boot 4.1.1 (Java 17) + Spring Data JPA</w:t>
            </w:r>
          </w:p>
        </w:tc>
        <w:tc>
          <w:tcPr>
            <w:tcW w:type="dxa" w:w="3992"/>
            <w:shd w:fill="F4F7FB" w:val="clear"/>
            <w:tcMar>
              <w:top w:type="dxa" w:w="90"/>
              <w:left w:type="dxa" w:w="120"/>
              <w:bottom w:type="dxa" w:w="90"/>
              <w:right w:type="dxa" w:w="120"/>
            </w:tcMar>
          </w:tcPr>
          <w:p>
            <w:pPr>
              <w:spacing w:after="0"/>
            </w:pPr>
            <w:r>
              <w:rPr>
                <w:sz w:val="20"/>
                <w:szCs w:val="20"/>
              </w:rPr>
              <w:t xml:space="preserve">Framework MVC mature, ORM intégré (Hibernate 7.4.5), écosystème riche</w:t>
            </w:r>
          </w:p>
        </w:tc>
      </w:tr>
      <w:tr>
        <w:tc>
          <w:tcPr>
            <w:tcW w:type="dxa" w:w="1633"/>
            <w:shd w:fill="FFFFFF" w:val="clear"/>
            <w:tcMar>
              <w:top w:type="dxa" w:w="90"/>
              <w:left w:type="dxa" w:w="120"/>
              <w:bottom w:type="dxa" w:w="90"/>
              <w:right w:type="dxa" w:w="120"/>
            </w:tcMar>
          </w:tcPr>
          <w:p>
            <w:pPr>
              <w:spacing w:after="0"/>
            </w:pPr>
            <w:r>
              <w:rPr>
                <w:sz w:val="20"/>
                <w:szCs w:val="20"/>
              </w:rPr>
              <w:t xml:space="preserve">Base de données</w:t>
            </w:r>
          </w:p>
        </w:tc>
        <w:tc>
          <w:tcPr>
            <w:tcW w:type="dxa" w:w="3447"/>
            <w:shd w:fill="FFFFFF" w:val="clear"/>
            <w:tcMar>
              <w:top w:type="dxa" w:w="90"/>
              <w:left w:type="dxa" w:w="120"/>
              <w:bottom w:type="dxa" w:w="90"/>
              <w:right w:type="dxa" w:w="120"/>
            </w:tcMar>
          </w:tcPr>
          <w:p>
            <w:pPr>
              <w:spacing w:after="0"/>
            </w:pPr>
            <w:r>
              <w:rPr>
                <w:sz w:val="20"/>
                <w:szCs w:val="20"/>
              </w:rPr>
              <w:t xml:space="preserve">PostgreSQL, hébergé sur Neon (serverless)</w:t>
            </w:r>
          </w:p>
        </w:tc>
        <w:tc>
          <w:tcPr>
            <w:tcW w:type="dxa" w:w="3992"/>
            <w:shd w:fill="FFFFFF" w:val="clear"/>
            <w:tcMar>
              <w:top w:type="dxa" w:w="90"/>
              <w:left w:type="dxa" w:w="120"/>
              <w:bottom w:type="dxa" w:w="90"/>
              <w:right w:type="dxa" w:w="120"/>
            </w:tcMar>
          </w:tcPr>
          <w:p>
            <w:pPr>
              <w:spacing w:after="0"/>
            </w:pPr>
            <w:r>
              <w:rPr>
                <w:sz w:val="20"/>
                <w:szCs w:val="20"/>
              </w:rPr>
              <w:t xml:space="preserve">Fiabilité, gestion des relations complexes, pas d’infrastructure à gérer</w:t>
            </w:r>
          </w:p>
        </w:tc>
      </w:tr>
      <w:tr>
        <w:tc>
          <w:tcPr>
            <w:tcW w:type="dxa" w:w="1633"/>
            <w:shd w:fill="F4F7FB" w:val="clear"/>
            <w:tcMar>
              <w:top w:type="dxa" w:w="90"/>
              <w:left w:type="dxa" w:w="120"/>
              <w:bottom w:type="dxa" w:w="90"/>
              <w:right w:type="dxa" w:w="120"/>
            </w:tcMar>
          </w:tcPr>
          <w:p>
            <w:pPr>
              <w:spacing w:after="0"/>
            </w:pPr>
            <w:r>
              <w:rPr>
                <w:sz w:val="20"/>
                <w:szCs w:val="20"/>
              </w:rPr>
              <w:t xml:space="preserve">Module IA</w:t>
            </w:r>
          </w:p>
        </w:tc>
        <w:tc>
          <w:tcPr>
            <w:tcW w:type="dxa" w:w="3447"/>
            <w:shd w:fill="F4F7FB" w:val="clear"/>
            <w:tcMar>
              <w:top w:type="dxa" w:w="90"/>
              <w:left w:type="dxa" w:w="120"/>
              <w:bottom w:type="dxa" w:w="90"/>
              <w:right w:type="dxa" w:w="120"/>
            </w:tcMar>
          </w:tcPr>
          <w:p>
            <w:pPr>
              <w:spacing w:after="0"/>
            </w:pPr>
            <w:r>
              <w:rPr>
                <w:sz w:val="20"/>
                <w:szCs w:val="20"/>
              </w:rPr>
              <w:t xml:space="preserve">API Groq — modèle openai/gpt-oss-120b</w:t>
            </w:r>
          </w:p>
        </w:tc>
        <w:tc>
          <w:tcPr>
            <w:tcW w:type="dxa" w:w="3992"/>
            <w:shd w:fill="F4F7FB" w:val="clear"/>
            <w:tcMar>
              <w:top w:type="dxa" w:w="90"/>
              <w:left w:type="dxa" w:w="120"/>
              <w:bottom w:type="dxa" w:w="90"/>
              <w:right w:type="dxa" w:w="120"/>
            </w:tcMar>
          </w:tcPr>
          <w:p>
            <w:pPr>
              <w:spacing w:after="0"/>
            </w:pPr>
            <w:r>
              <w:rPr>
                <w:sz w:val="20"/>
                <w:szCs w:val="20"/>
              </w:rPr>
              <w:t xml:space="preserve">Tier gratuit sans carte bancaire ; voir justification détaillée en section 7</w:t>
            </w:r>
          </w:p>
        </w:tc>
      </w:tr>
      <w:tr>
        <w:tc>
          <w:tcPr>
            <w:tcW w:type="dxa" w:w="1633"/>
            <w:shd w:fill="FFFFFF" w:val="clear"/>
            <w:tcMar>
              <w:top w:type="dxa" w:w="90"/>
              <w:left w:type="dxa" w:w="120"/>
              <w:bottom w:type="dxa" w:w="90"/>
              <w:right w:type="dxa" w:w="120"/>
            </w:tcMar>
          </w:tcPr>
          <w:p>
            <w:pPr>
              <w:spacing w:after="0"/>
            </w:pPr>
            <w:r>
              <w:rPr>
                <w:sz w:val="20"/>
                <w:szCs w:val="20"/>
              </w:rPr>
              <w:t xml:space="preserve">Traitement IA</w:t>
            </w:r>
          </w:p>
        </w:tc>
        <w:tc>
          <w:tcPr>
            <w:tcW w:type="dxa" w:w="3447"/>
            <w:shd w:fill="FFFFFF" w:val="clear"/>
            <w:tcMar>
              <w:top w:type="dxa" w:w="90"/>
              <w:left w:type="dxa" w:w="120"/>
              <w:bottom w:type="dxa" w:w="90"/>
              <w:right w:type="dxa" w:w="120"/>
            </w:tcMar>
          </w:tcPr>
          <w:p>
            <w:pPr>
              <w:spacing w:after="0"/>
            </w:pPr>
            <w:r>
              <w:rPr>
                <w:sz w:val="20"/>
                <w:szCs w:val="20"/>
              </w:rPr>
              <w:t xml:space="preserve">Appels synchrones depuis les Services</w:t>
            </w:r>
          </w:p>
        </w:tc>
        <w:tc>
          <w:tcPr>
            <w:tcW w:type="dxa" w:w="3992"/>
            <w:shd w:fill="FFFFFF" w:val="clear"/>
            <w:tcMar>
              <w:top w:type="dxa" w:w="90"/>
              <w:left w:type="dxa" w:w="120"/>
              <w:bottom w:type="dxa" w:w="90"/>
              <w:right w:type="dxa" w:w="120"/>
            </w:tcMar>
          </w:tcPr>
          <w:p>
            <w:pPr>
              <w:spacing w:after="0"/>
            </w:pPr>
            <w:r>
              <w:rPr>
                <w:sz w:val="20"/>
                <w:szCs w:val="20"/>
              </w:rPr>
              <w:t xml:space="preserve">Pas de file d’attente implémentée (limite assumée, voir section 9.2)</w:t>
            </w:r>
          </w:p>
        </w:tc>
      </w:tr>
      <w:tr>
        <w:tc>
          <w:tcPr>
            <w:tcW w:type="dxa" w:w="1633"/>
            <w:shd w:fill="F4F7FB" w:val="clear"/>
            <w:tcMar>
              <w:top w:type="dxa" w:w="90"/>
              <w:left w:type="dxa" w:w="120"/>
              <w:bottom w:type="dxa" w:w="90"/>
              <w:right w:type="dxa" w:w="120"/>
            </w:tcMar>
          </w:tcPr>
          <w:p>
            <w:pPr>
              <w:spacing w:after="0"/>
            </w:pPr>
            <w:r>
              <w:rPr>
                <w:sz w:val="20"/>
                <w:szCs w:val="20"/>
              </w:rPr>
              <w:t xml:space="preserve">Authentification</w:t>
            </w:r>
          </w:p>
        </w:tc>
        <w:tc>
          <w:tcPr>
            <w:tcW w:type="dxa" w:w="3447"/>
            <w:shd w:fill="F4F7FB" w:val="clear"/>
            <w:tcMar>
              <w:top w:type="dxa" w:w="90"/>
              <w:left w:type="dxa" w:w="120"/>
              <w:bottom w:type="dxa" w:w="90"/>
              <w:right w:type="dxa" w:w="120"/>
            </w:tcMar>
          </w:tcPr>
          <w:p>
            <w:pPr>
              <w:spacing w:after="0"/>
            </w:pPr>
            <w:r>
              <w:rPr>
                <w:sz w:val="20"/>
                <w:szCs w:val="20"/>
              </w:rPr>
              <w:t xml:space="preserve">JWT + gestion de rôles (RBAC Spring Security 7.1.1)</w:t>
            </w:r>
          </w:p>
        </w:tc>
        <w:tc>
          <w:tcPr>
            <w:tcW w:type="dxa" w:w="3992"/>
            <w:shd w:fill="F4F7FB" w:val="clear"/>
            <w:tcMar>
              <w:top w:type="dxa" w:w="90"/>
              <w:left w:type="dxa" w:w="120"/>
              <w:bottom w:type="dxa" w:w="90"/>
              <w:right w:type="dxa" w:w="120"/>
            </w:tcMar>
          </w:tcPr>
          <w:p>
            <w:pPr>
              <w:spacing w:after="0"/>
            </w:pPr>
            <w:r>
              <w:rPr>
                <w:sz w:val="20"/>
                <w:szCs w:val="20"/>
              </w:rPr>
              <w:t xml:space="preserve">Sécurité et séparation fine des permissions par acteur</w:t>
            </w:r>
          </w:p>
        </w:tc>
      </w:tr>
      <w:tr>
        <w:tc>
          <w:tcPr>
            <w:tcW w:type="dxa" w:w="1633"/>
            <w:shd w:fill="FFFFFF" w:val="clear"/>
            <w:tcMar>
              <w:top w:type="dxa" w:w="90"/>
              <w:left w:type="dxa" w:w="120"/>
              <w:bottom w:type="dxa" w:w="90"/>
              <w:right w:type="dxa" w:w="120"/>
            </w:tcMar>
          </w:tcPr>
          <w:p>
            <w:pPr>
              <w:spacing w:after="0"/>
            </w:pPr>
            <w:r>
              <w:rPr>
                <w:sz w:val="20"/>
                <w:szCs w:val="20"/>
              </w:rPr>
              <w:t xml:space="preserve">Hébergement</w:t>
            </w:r>
          </w:p>
        </w:tc>
        <w:tc>
          <w:tcPr>
            <w:tcW w:type="dxa" w:w="3447"/>
            <w:shd w:fill="FFFFFF" w:val="clear"/>
            <w:tcMar>
              <w:top w:type="dxa" w:w="90"/>
              <w:left w:type="dxa" w:w="120"/>
              <w:bottom w:type="dxa" w:w="90"/>
              <w:right w:type="dxa" w:w="120"/>
            </w:tcMar>
          </w:tcPr>
          <w:p>
            <w:pPr>
              <w:spacing w:after="0"/>
            </w:pPr>
            <w:r>
              <w:rPr>
                <w:sz w:val="20"/>
                <w:szCs w:val="20"/>
              </w:rPr>
              <w:t xml:space="preserve">Développement local (démonstration) ; base Neon en ligne</w:t>
            </w:r>
          </w:p>
        </w:tc>
        <w:tc>
          <w:tcPr>
            <w:tcW w:type="dxa" w:w="3992"/>
            <w:shd w:fill="FFFFFF" w:val="clear"/>
            <w:tcMar>
              <w:top w:type="dxa" w:w="90"/>
              <w:left w:type="dxa" w:w="120"/>
              <w:bottom w:type="dxa" w:w="90"/>
              <w:right w:type="dxa" w:w="120"/>
            </w:tcMar>
          </w:tcPr>
          <w:p>
            <w:pPr>
              <w:spacing w:after="0"/>
            </w:pPr>
            <w:r>
              <w:rPr>
                <w:sz w:val="20"/>
                <w:szCs w:val="20"/>
              </w:rPr>
              <w:t xml:space="preserve">Déploiement cloud possible sans changement de code</w:t>
            </w:r>
          </w:p>
        </w:tc>
      </w:tr>
    </w:tbl>
    <w:p>
      <w:pPr>
        <w:pStyle w:val="Heading2"/>
        <w:spacing w:after="180" w:before="360"/>
      </w:pPr>
      <w:r>
        <w:rPr>
          <w:b/>
          <w:bCs/>
          <w:color w:val="2563EB"/>
          <w:sz w:val="26"/>
          <w:szCs w:val="26"/>
        </w:rPr>
        <w:t xml:space="preserve">5.5 Diagramme de déploiement</w:t>
      </w:r>
    </w:p>
    <w:p>
      <w:pPr>
        <w:spacing w:after="200" w:line="300"/>
        <w:jc w:val="both"/>
      </w:pPr>
      <w:r>
        <w:rPr>
          <w:b/>
          <w:bCs/>
          <w:sz w:val="22"/>
          <w:szCs w:val="22"/>
        </w:rPr>
        <w:t xml:space="preserve">Architecture cible : </w:t>
      </w:r>
      <w:r>
        <w:rPr>
          <w:sz w:val="22"/>
          <w:szCs w:val="22"/>
        </w:rPr>
        <w:t xml:space="preserve">le diagramme ci-dessous illustre une architecture de déploiement cible, qui isole le service IA et introduit un traitement asynchrone pour ne jamais bloquer l’interface. </w:t>
      </w:r>
      <w:r>
        <w:rPr>
          <w:b/>
          <w:bCs/>
          <w:color w:val="B42318"/>
          <w:sz w:val="22"/>
          <w:szCs w:val="22"/>
        </w:rPr>
        <w:t xml:space="preserve">État actuel : </w:t>
      </w:r>
      <w:r>
        <w:rPr>
          <w:sz w:val="22"/>
          <w:szCs w:val="22"/>
        </w:rPr>
        <w:t xml:space="preserve">cette séparation en microservice et la file d’attente (Redis/RabbitMQ) ne sont pas encore implémentées — les appels à Groq sont aujourd’hui synchrones depuis les Services, ce qui reste acceptable aux volumes actuels mais constitue l’axe d’évolution prioritaire identifié en section 9.2 et 12.</w:t>
      </w:r>
    </w:p>
    <w:p>
      <w:pPr>
        <w:spacing w:after="100" w:before="200"/>
        <w:jc w:val="center"/>
      </w:pPr>
      <w:r>
        <w:drawing>
          <wp:inline distT="0" distB="0" distL="0" distR="0">
            <wp:extent cx="5334000" cy="13525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1352550"/>
                    </a:xfrm>
                    <a:prstGeom prst="rect">
                      <a:avLst/>
                    </a:prstGeom>
                  </pic:spPr>
                </pic:pic>
              </a:graphicData>
            </a:graphic>
          </wp:inline>
        </w:drawing>
      </w:r>
    </w:p>
    <w:p>
      <w:pPr>
        <w:spacing w:after="300"/>
        <w:jc w:val="center"/>
      </w:pPr>
      <w:r>
        <w:rPr>
          <w:i/>
          <w:iCs/>
          <w:color w:val="555555"/>
          <w:sz w:val="20"/>
          <w:szCs w:val="20"/>
        </w:rPr>
        <w:t xml:space="preserve">Figure 12 — Diagramme de déploiement (architecture cible)</w:t>
      </w:r>
    </w:p>
    <w:p>
      <w:r>
        <w:br w:type="page"/>
      </w:r>
    </w:p>
    <w:p>
      <w:pPr>
        <w:pStyle w:val="Heading1"/>
        <w:pBdr>
          <w:bottom w:val="single" w:color="1F3A5F" w:sz="12" w:space="4"/>
        </w:pBdr>
        <w:spacing w:after="240" w:before="480"/>
      </w:pPr>
      <w:r>
        <w:rPr>
          <w:b/>
          <w:bCs/>
          <w:color w:val="1F3A5F"/>
          <w:sz w:val="32"/>
          <w:szCs w:val="32"/>
        </w:rPr>
        <w:t xml:space="preserve">6. Le module de suivi pédagogique assisté par IA — réalisation</w:t>
      </w:r>
    </w:p>
    <w:p>
      <w:pPr>
        <w:pStyle w:val="Heading2"/>
        <w:spacing w:after="180" w:before="360"/>
      </w:pPr>
      <w:r>
        <w:rPr>
          <w:b/>
          <w:bCs/>
          <w:color w:val="2563EB"/>
          <w:sz w:val="26"/>
          <w:szCs w:val="26"/>
        </w:rPr>
        <w:t xml:space="preserve">6.1 Objectifs pédagogiques</w:t>
      </w:r>
    </w:p>
    <w:p>
      <w:pPr>
        <w:spacing w:after="200" w:line="300"/>
        <w:jc w:val="both"/>
      </w:pPr>
      <w:r>
        <w:rPr>
          <w:sz w:val="22"/>
          <w:szCs w:val="22"/>
        </w:rPr>
        <w:t xml:space="preserve">L’objectif du module IA n’est pas de se substituer à l’enseignant, mais de lui fournir des signaux d’alerte précoces et de proposer à l’étudiant un accompagnement personnalisé et disponible en continu, en complément du suivi humain.</w:t>
      </w:r>
    </w:p>
    <w:p>
      <w:pPr>
        <w:pStyle w:val="Heading2"/>
        <w:spacing w:after="180" w:before="360"/>
      </w:pPr>
      <w:r>
        <w:rPr>
          <w:b/>
          <w:bCs/>
          <w:color w:val="2563EB"/>
          <w:sz w:val="26"/>
          <w:szCs w:val="26"/>
        </w:rPr>
        <w:t xml:space="preserve">6.2 Fonctionnalités IA réellement implémentées</w:t>
      </w:r>
    </w:p>
    <w:p>
      <w:pPr>
        <w:spacing w:after="200" w:line="300"/>
        <w:jc w:val="both"/>
      </w:pPr>
      <w:r>
        <w:rPr>
          <w:sz w:val="22"/>
          <w:szCs w:val="22"/>
        </w:rPr>
        <w:t xml:space="preserve">Le projet intègre 8 fonctionnalités IA distinctes, chacune portée par un service Spring dédié, toutes appuyées sur le même point d’accès centralisé (LlmService) vers l’API Groq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544"/>
        <w:gridCol w:w="2177"/>
        <w:gridCol w:w="2177"/>
        <w:gridCol w:w="4173"/>
      </w:tblGrid>
      <w:tr>
        <w:trPr>
          <w:tblHeader/>
        </w:trPr>
        <w:tc>
          <w:tcPr>
            <w:tcW w:type="dxa" w:w="544"/>
            <w:shd w:fill="1F3A5F" w:val="clear"/>
            <w:tcMar>
              <w:top w:type="dxa" w:w="100"/>
              <w:left w:type="dxa" w:w="120"/>
              <w:bottom w:type="dxa" w:w="100"/>
              <w:right w:type="dxa" w:w="120"/>
            </w:tcMar>
            <w:vAlign w:val="center"/>
          </w:tcPr>
          <w:p>
            <w:r>
              <w:rPr>
                <w:b/>
                <w:bCs/>
                <w:color w:val="FFFFFF"/>
                <w:sz w:val="20"/>
                <w:szCs w:val="20"/>
              </w:rPr>
              <w:t xml:space="preserve">#</w:t>
            </w:r>
          </w:p>
        </w:tc>
        <w:tc>
          <w:tcPr>
            <w:tcW w:type="dxa" w:w="2177"/>
            <w:shd w:fill="1F3A5F" w:val="clear"/>
            <w:tcMar>
              <w:top w:type="dxa" w:w="100"/>
              <w:left w:type="dxa" w:w="120"/>
              <w:bottom w:type="dxa" w:w="100"/>
              <w:right w:type="dxa" w:w="120"/>
            </w:tcMar>
            <w:vAlign w:val="center"/>
          </w:tcPr>
          <w:p>
            <w:r>
              <w:rPr>
                <w:b/>
                <w:bCs/>
                <w:color w:val="FFFFFF"/>
                <w:sz w:val="20"/>
                <w:szCs w:val="20"/>
              </w:rPr>
              <w:t xml:space="preserve">Fonctionnalité</w:t>
            </w:r>
          </w:p>
        </w:tc>
        <w:tc>
          <w:tcPr>
            <w:tcW w:type="dxa" w:w="2177"/>
            <w:shd w:fill="1F3A5F" w:val="clear"/>
            <w:tcMar>
              <w:top w:type="dxa" w:w="100"/>
              <w:left w:type="dxa" w:w="120"/>
              <w:bottom w:type="dxa" w:w="100"/>
              <w:right w:type="dxa" w:w="120"/>
            </w:tcMar>
            <w:vAlign w:val="center"/>
          </w:tcPr>
          <w:p>
            <w:r>
              <w:rPr>
                <w:b/>
                <w:bCs/>
                <w:color w:val="FFFFFF"/>
                <w:sz w:val="20"/>
                <w:szCs w:val="20"/>
              </w:rPr>
              <w:t xml:space="preserve">Service</w:t>
            </w:r>
          </w:p>
        </w:tc>
        <w:tc>
          <w:tcPr>
            <w:tcW w:type="dxa" w:w="4173"/>
            <w:shd w:fill="1F3A5F" w:val="clear"/>
            <w:tcMar>
              <w:top w:type="dxa" w:w="100"/>
              <w:left w:type="dxa" w:w="120"/>
              <w:bottom w:type="dxa" w:w="100"/>
              <w:right w:type="dxa" w:w="120"/>
            </w:tcMar>
            <w:vAlign w:val="center"/>
          </w:tcPr>
          <w:p>
            <w:r>
              <w:rPr>
                <w:b/>
                <w:bCs/>
                <w:color w:val="FFFFFF"/>
                <w:sz w:val="20"/>
                <w:szCs w:val="20"/>
              </w:rPr>
              <w:t xml:space="preserve">Description</w:t>
            </w:r>
          </w:p>
        </w:tc>
      </w:tr>
      <w:tr>
        <w:tc>
          <w:tcPr>
            <w:tcW w:type="dxa" w:w="544"/>
            <w:shd w:fill="FFFFFF" w:val="clear"/>
            <w:tcMar>
              <w:top w:type="dxa" w:w="90"/>
              <w:left w:type="dxa" w:w="120"/>
              <w:bottom w:type="dxa" w:w="90"/>
              <w:right w:type="dxa" w:w="120"/>
            </w:tcMar>
          </w:tcPr>
          <w:p>
            <w:pPr>
              <w:spacing w:after="0"/>
            </w:pPr>
            <w:r>
              <w:rPr>
                <w:sz w:val="20"/>
                <w:szCs w:val="20"/>
              </w:rPr>
              <w:t xml:space="preserve">1</w:t>
            </w:r>
          </w:p>
        </w:tc>
        <w:tc>
          <w:tcPr>
            <w:tcW w:type="dxa" w:w="2177"/>
            <w:shd w:fill="FFFFFF" w:val="clear"/>
            <w:tcMar>
              <w:top w:type="dxa" w:w="90"/>
              <w:left w:type="dxa" w:w="120"/>
              <w:bottom w:type="dxa" w:w="90"/>
              <w:right w:type="dxa" w:w="120"/>
            </w:tcMar>
          </w:tcPr>
          <w:p>
            <w:pPr>
              <w:spacing w:after="0"/>
            </w:pPr>
            <w:r>
              <w:rPr>
                <w:sz w:val="20"/>
                <w:szCs w:val="20"/>
              </w:rPr>
              <w:t xml:space="preserve">Assistant conversationnel</w:t>
            </w:r>
          </w:p>
        </w:tc>
        <w:tc>
          <w:tcPr>
            <w:tcW w:type="dxa" w:w="2177"/>
            <w:shd w:fill="FFFFFF" w:val="clear"/>
            <w:tcMar>
              <w:top w:type="dxa" w:w="90"/>
              <w:left w:type="dxa" w:w="120"/>
              <w:bottom w:type="dxa" w:w="90"/>
              <w:right w:type="dxa" w:w="120"/>
            </w:tcMar>
          </w:tcPr>
          <w:p>
            <w:pPr>
              <w:spacing w:after="0"/>
            </w:pPr>
            <w:r>
              <w:rPr>
                <w:sz w:val="20"/>
                <w:szCs w:val="20"/>
              </w:rPr>
              <w:t xml:space="preserve">ChatbotService</w:t>
            </w:r>
          </w:p>
        </w:tc>
        <w:tc>
          <w:tcPr>
            <w:tcW w:type="dxa" w:w="4173"/>
            <w:shd w:fill="FFFFFF" w:val="clear"/>
            <w:tcMar>
              <w:top w:type="dxa" w:w="90"/>
              <w:left w:type="dxa" w:w="120"/>
              <w:bottom w:type="dxa" w:w="90"/>
              <w:right w:type="dxa" w:w="120"/>
            </w:tcMar>
          </w:tcPr>
          <w:p>
            <w:pPr>
              <w:spacing w:after="0"/>
            </w:pPr>
            <w:r>
              <w:rPr>
                <w:sz w:val="20"/>
                <w:szCs w:val="20"/>
              </w:rPr>
              <w:t xml:space="preserve">Chatbot contextuel par rôle, avec mémoire conversationnelle, répondant aux questions administratives (statut de candidature, procédure de convention...)</w:t>
            </w:r>
          </w:p>
        </w:tc>
      </w:tr>
      <w:tr>
        <w:tc>
          <w:tcPr>
            <w:tcW w:type="dxa" w:w="544"/>
            <w:shd w:fill="F4F7FB" w:val="clear"/>
            <w:tcMar>
              <w:top w:type="dxa" w:w="90"/>
              <w:left w:type="dxa" w:w="120"/>
              <w:bottom w:type="dxa" w:w="90"/>
              <w:right w:type="dxa" w:w="120"/>
            </w:tcMar>
          </w:tcPr>
          <w:p>
            <w:pPr>
              <w:spacing w:after="0"/>
            </w:pPr>
            <w:r>
              <w:rPr>
                <w:sz w:val="20"/>
                <w:szCs w:val="20"/>
              </w:rPr>
              <w:t xml:space="preserve">2</w:t>
            </w:r>
          </w:p>
        </w:tc>
        <w:tc>
          <w:tcPr>
            <w:tcW w:type="dxa" w:w="2177"/>
            <w:shd w:fill="F4F7FB" w:val="clear"/>
            <w:tcMar>
              <w:top w:type="dxa" w:w="90"/>
              <w:left w:type="dxa" w:w="120"/>
              <w:bottom w:type="dxa" w:w="90"/>
              <w:right w:type="dxa" w:w="120"/>
            </w:tcMar>
          </w:tcPr>
          <w:p>
            <w:pPr>
              <w:spacing w:after="0"/>
            </w:pPr>
            <w:r>
              <w:rPr>
                <w:sz w:val="20"/>
                <w:szCs w:val="20"/>
              </w:rPr>
              <w:t xml:space="preserve">Matching CV / offres</w:t>
            </w:r>
          </w:p>
        </w:tc>
        <w:tc>
          <w:tcPr>
            <w:tcW w:type="dxa" w:w="2177"/>
            <w:shd w:fill="F4F7FB" w:val="clear"/>
            <w:tcMar>
              <w:top w:type="dxa" w:w="90"/>
              <w:left w:type="dxa" w:w="120"/>
              <w:bottom w:type="dxa" w:w="90"/>
              <w:right w:type="dxa" w:w="120"/>
            </w:tcMar>
          </w:tcPr>
          <w:p>
            <w:pPr>
              <w:spacing w:after="0"/>
            </w:pPr>
            <w:r>
              <w:rPr>
                <w:sz w:val="20"/>
                <w:szCs w:val="20"/>
              </w:rPr>
              <w:t xml:space="preserve">MatchingService</w:t>
            </w:r>
          </w:p>
        </w:tc>
        <w:tc>
          <w:tcPr>
            <w:tcW w:type="dxa" w:w="4173"/>
            <w:shd w:fill="F4F7FB" w:val="clear"/>
            <w:tcMar>
              <w:top w:type="dxa" w:w="90"/>
              <w:left w:type="dxa" w:w="120"/>
              <w:bottom w:type="dxa" w:w="90"/>
              <w:right w:type="dxa" w:w="120"/>
            </w:tcMar>
          </w:tcPr>
          <w:p>
            <w:pPr>
              <w:spacing w:after="0"/>
            </w:pPr>
            <w:r>
              <w:rPr>
                <w:sz w:val="20"/>
                <w:szCs w:val="20"/>
              </w:rPr>
              <w:t xml:space="preserve">Score de compatibilité entre un étudiant et les offres publiées, basé sur le profil et les compétences</w:t>
            </w:r>
          </w:p>
        </w:tc>
      </w:tr>
      <w:tr>
        <w:tc>
          <w:tcPr>
            <w:tcW w:type="dxa" w:w="544"/>
            <w:shd w:fill="FFFFFF" w:val="clear"/>
            <w:tcMar>
              <w:top w:type="dxa" w:w="90"/>
              <w:left w:type="dxa" w:w="120"/>
              <w:bottom w:type="dxa" w:w="90"/>
              <w:right w:type="dxa" w:w="120"/>
            </w:tcMar>
          </w:tcPr>
          <w:p>
            <w:pPr>
              <w:spacing w:after="0"/>
            </w:pPr>
            <w:r>
              <w:rPr>
                <w:sz w:val="20"/>
                <w:szCs w:val="20"/>
              </w:rPr>
              <w:t xml:space="preserve">3</w:t>
            </w:r>
          </w:p>
        </w:tc>
        <w:tc>
          <w:tcPr>
            <w:tcW w:type="dxa" w:w="2177"/>
            <w:shd w:fill="FFFFFF" w:val="clear"/>
            <w:tcMar>
              <w:top w:type="dxa" w:w="90"/>
              <w:left w:type="dxa" w:w="120"/>
              <w:bottom w:type="dxa" w:w="90"/>
              <w:right w:type="dxa" w:w="120"/>
            </w:tcMar>
          </w:tcPr>
          <w:p>
            <w:pPr>
              <w:spacing w:after="0"/>
            </w:pPr>
            <w:r>
              <w:rPr>
                <w:sz w:val="20"/>
                <w:szCs w:val="20"/>
              </w:rPr>
              <w:t xml:space="preserve">Analyse des rapports</w:t>
            </w:r>
          </w:p>
        </w:tc>
        <w:tc>
          <w:tcPr>
            <w:tcW w:type="dxa" w:w="2177"/>
            <w:shd w:fill="FFFFFF" w:val="clear"/>
            <w:tcMar>
              <w:top w:type="dxa" w:w="90"/>
              <w:left w:type="dxa" w:w="120"/>
              <w:bottom w:type="dxa" w:w="90"/>
              <w:right w:type="dxa" w:w="120"/>
            </w:tcMar>
          </w:tcPr>
          <w:p>
            <w:pPr>
              <w:spacing w:after="0"/>
            </w:pPr>
            <w:r>
              <w:rPr>
                <w:sz w:val="20"/>
                <w:szCs w:val="20"/>
              </w:rPr>
              <w:t xml:space="preserve">AnalyseRapportService</w:t>
            </w:r>
          </w:p>
        </w:tc>
        <w:tc>
          <w:tcPr>
            <w:tcW w:type="dxa" w:w="4173"/>
            <w:shd w:fill="FFFFFF" w:val="clear"/>
            <w:tcMar>
              <w:top w:type="dxa" w:w="90"/>
              <w:left w:type="dxa" w:w="120"/>
              <w:bottom w:type="dxa" w:w="90"/>
              <w:right w:type="dxa" w:w="120"/>
            </w:tcMar>
          </w:tcPr>
          <w:p>
            <w:pPr>
              <w:spacing w:after="0"/>
            </w:pPr>
            <w:r>
              <w:rPr>
                <w:sz w:val="20"/>
                <w:szCs w:val="20"/>
              </w:rPr>
              <w:t xml:space="preserve">Résumé automatique, extraction des points bloquants, analyse du ton, score de risque de décrochage</w:t>
            </w:r>
          </w:p>
        </w:tc>
      </w:tr>
      <w:tr>
        <w:tc>
          <w:tcPr>
            <w:tcW w:type="dxa" w:w="544"/>
            <w:shd w:fill="F4F7FB" w:val="clear"/>
            <w:tcMar>
              <w:top w:type="dxa" w:w="90"/>
              <w:left w:type="dxa" w:w="120"/>
              <w:bottom w:type="dxa" w:w="90"/>
              <w:right w:type="dxa" w:w="120"/>
            </w:tcMar>
          </w:tcPr>
          <w:p>
            <w:pPr>
              <w:spacing w:after="0"/>
            </w:pPr>
            <w:r>
              <w:rPr>
                <w:sz w:val="20"/>
                <w:szCs w:val="20"/>
              </w:rPr>
              <w:t xml:space="preserve">4</w:t>
            </w:r>
          </w:p>
        </w:tc>
        <w:tc>
          <w:tcPr>
            <w:tcW w:type="dxa" w:w="2177"/>
            <w:shd w:fill="F4F7FB" w:val="clear"/>
            <w:tcMar>
              <w:top w:type="dxa" w:w="90"/>
              <w:left w:type="dxa" w:w="120"/>
              <w:bottom w:type="dxa" w:w="90"/>
              <w:right w:type="dxa" w:w="120"/>
            </w:tcMar>
          </w:tcPr>
          <w:p>
            <w:pPr>
              <w:spacing w:after="0"/>
            </w:pPr>
            <w:r>
              <w:rPr>
                <w:sz w:val="20"/>
                <w:szCs w:val="20"/>
              </w:rPr>
              <w:t xml:space="preserve">Synthèse de parcours</w:t>
            </w:r>
          </w:p>
        </w:tc>
        <w:tc>
          <w:tcPr>
            <w:tcW w:type="dxa" w:w="2177"/>
            <w:shd w:fill="F4F7FB" w:val="clear"/>
            <w:tcMar>
              <w:top w:type="dxa" w:w="90"/>
              <w:left w:type="dxa" w:w="120"/>
              <w:bottom w:type="dxa" w:w="90"/>
              <w:right w:type="dxa" w:w="120"/>
            </w:tcMar>
          </w:tcPr>
          <w:p>
            <w:pPr>
              <w:spacing w:after="0"/>
            </w:pPr>
            <w:r>
              <w:rPr>
                <w:sz w:val="20"/>
                <w:szCs w:val="20"/>
              </w:rPr>
              <w:t xml:space="preserve">SyntheseParcoursService</w:t>
            </w:r>
          </w:p>
        </w:tc>
        <w:tc>
          <w:tcPr>
            <w:tcW w:type="dxa" w:w="4173"/>
            <w:shd w:fill="F4F7FB" w:val="clear"/>
            <w:tcMar>
              <w:top w:type="dxa" w:w="90"/>
              <w:left w:type="dxa" w:w="120"/>
              <w:bottom w:type="dxa" w:w="90"/>
              <w:right w:type="dxa" w:w="120"/>
            </w:tcMar>
          </w:tcPr>
          <w:p>
            <w:pPr>
              <w:spacing w:after="0"/>
            </w:pPr>
            <w:r>
              <w:rPr>
                <w:sz w:val="20"/>
                <w:szCs w:val="20"/>
              </w:rPr>
              <w:t xml:space="preserve">Synthèse en 4 paragraphes du parcours d’un étudiant, pour préparer la soutenance</w:t>
            </w:r>
          </w:p>
        </w:tc>
      </w:tr>
      <w:tr>
        <w:tc>
          <w:tcPr>
            <w:tcW w:type="dxa" w:w="544"/>
            <w:shd w:fill="FFFFFF" w:val="clear"/>
            <w:tcMar>
              <w:top w:type="dxa" w:w="90"/>
              <w:left w:type="dxa" w:w="120"/>
              <w:bottom w:type="dxa" w:w="90"/>
              <w:right w:type="dxa" w:w="120"/>
            </w:tcMar>
          </w:tcPr>
          <w:p>
            <w:pPr>
              <w:spacing w:after="0"/>
            </w:pPr>
            <w:r>
              <w:rPr>
                <w:sz w:val="20"/>
                <w:szCs w:val="20"/>
              </w:rPr>
              <w:t xml:space="preserve">5</w:t>
            </w:r>
          </w:p>
        </w:tc>
        <w:tc>
          <w:tcPr>
            <w:tcW w:type="dxa" w:w="2177"/>
            <w:shd w:fill="FFFFFF" w:val="clear"/>
            <w:tcMar>
              <w:top w:type="dxa" w:w="90"/>
              <w:left w:type="dxa" w:w="120"/>
              <w:bottom w:type="dxa" w:w="90"/>
              <w:right w:type="dxa" w:w="120"/>
            </w:tcMar>
          </w:tcPr>
          <w:p>
            <w:pPr>
              <w:spacing w:after="0"/>
            </w:pPr>
            <w:r>
              <w:rPr>
                <w:sz w:val="20"/>
                <w:szCs w:val="20"/>
              </w:rPr>
              <w:t xml:space="preserve">Pré-sélection de candidatures</w:t>
            </w:r>
          </w:p>
        </w:tc>
        <w:tc>
          <w:tcPr>
            <w:tcW w:type="dxa" w:w="2177"/>
            <w:shd w:fill="FFFFFF" w:val="clear"/>
            <w:tcMar>
              <w:top w:type="dxa" w:w="90"/>
              <w:left w:type="dxa" w:w="120"/>
              <w:bottom w:type="dxa" w:w="90"/>
              <w:right w:type="dxa" w:w="120"/>
            </w:tcMar>
          </w:tcPr>
          <w:p>
            <w:pPr>
              <w:spacing w:after="0"/>
            </w:pPr>
            <w:r>
              <w:rPr>
                <w:sz w:val="20"/>
                <w:szCs w:val="20"/>
              </w:rPr>
              <w:t xml:space="preserve">PreselectionService</w:t>
            </w:r>
          </w:p>
        </w:tc>
        <w:tc>
          <w:tcPr>
            <w:tcW w:type="dxa" w:w="4173"/>
            <w:shd w:fill="FFFFFF" w:val="clear"/>
            <w:tcMar>
              <w:top w:type="dxa" w:w="90"/>
              <w:left w:type="dxa" w:w="120"/>
              <w:bottom w:type="dxa" w:w="90"/>
              <w:right w:type="dxa" w:w="120"/>
            </w:tcMar>
          </w:tcPr>
          <w:p>
            <w:pPr>
              <w:spacing w:after="0"/>
            </w:pPr>
            <w:r>
              <w:rPr>
                <w:sz w:val="20"/>
                <w:szCs w:val="20"/>
              </w:rPr>
              <w:t xml:space="preserve">Score et justification pour chaque candidature reçue sur une offre, à l’usage de l’entreprise</w:t>
            </w:r>
          </w:p>
        </w:tc>
      </w:tr>
      <w:tr>
        <w:tc>
          <w:tcPr>
            <w:tcW w:type="dxa" w:w="544"/>
            <w:shd w:fill="F4F7FB" w:val="clear"/>
            <w:tcMar>
              <w:top w:type="dxa" w:w="90"/>
              <w:left w:type="dxa" w:w="120"/>
              <w:bottom w:type="dxa" w:w="90"/>
              <w:right w:type="dxa" w:w="120"/>
            </w:tcMar>
          </w:tcPr>
          <w:p>
            <w:pPr>
              <w:spacing w:after="0"/>
            </w:pPr>
            <w:r>
              <w:rPr>
                <w:sz w:val="20"/>
                <w:szCs w:val="20"/>
              </w:rPr>
              <w:t xml:space="preserve">6</w:t>
            </w:r>
          </w:p>
        </w:tc>
        <w:tc>
          <w:tcPr>
            <w:tcW w:type="dxa" w:w="2177"/>
            <w:shd w:fill="F4F7FB" w:val="clear"/>
            <w:tcMar>
              <w:top w:type="dxa" w:w="90"/>
              <w:left w:type="dxa" w:w="120"/>
              <w:bottom w:type="dxa" w:w="90"/>
              <w:right w:type="dxa" w:w="120"/>
            </w:tcMar>
          </w:tcPr>
          <w:p>
            <w:pPr>
              <w:spacing w:after="0"/>
            </w:pPr>
            <w:r>
              <w:rPr>
                <w:sz w:val="20"/>
                <w:szCs w:val="20"/>
              </w:rPr>
              <w:t xml:space="preserve">Pertinence des conventions</w:t>
            </w:r>
          </w:p>
        </w:tc>
        <w:tc>
          <w:tcPr>
            <w:tcW w:type="dxa" w:w="2177"/>
            <w:shd w:fill="F4F7FB" w:val="clear"/>
            <w:tcMar>
              <w:top w:type="dxa" w:w="90"/>
              <w:left w:type="dxa" w:w="120"/>
              <w:bottom w:type="dxa" w:w="90"/>
              <w:right w:type="dxa" w:w="120"/>
            </w:tcMar>
          </w:tcPr>
          <w:p>
            <w:pPr>
              <w:spacing w:after="0"/>
            </w:pPr>
            <w:r>
              <w:rPr>
                <w:sz w:val="20"/>
                <w:szCs w:val="20"/>
              </w:rPr>
              <w:t xml:space="preserve">ConventionMatchingService</w:t>
            </w:r>
          </w:p>
        </w:tc>
        <w:tc>
          <w:tcPr>
            <w:tcW w:type="dxa" w:w="4173"/>
            <w:shd w:fill="F4F7FB" w:val="clear"/>
            <w:tcMar>
              <w:top w:type="dxa" w:w="90"/>
              <w:left w:type="dxa" w:w="120"/>
              <w:bottom w:type="dxa" w:w="90"/>
              <w:right w:type="dxa" w:w="120"/>
            </w:tcMar>
          </w:tcPr>
          <w:p>
            <w:pPr>
              <w:spacing w:after="0"/>
            </w:pPr>
            <w:r>
              <w:rPr>
                <w:sz w:val="20"/>
                <w:szCs w:val="20"/>
              </w:rPr>
              <w:t xml:space="preserve">Score de compatibilité entre une convention en attente et la spécialité d’un enseignant</w:t>
            </w:r>
          </w:p>
        </w:tc>
      </w:tr>
      <w:tr>
        <w:tc>
          <w:tcPr>
            <w:tcW w:type="dxa" w:w="544"/>
            <w:shd w:fill="FFFFFF" w:val="clear"/>
            <w:tcMar>
              <w:top w:type="dxa" w:w="90"/>
              <w:left w:type="dxa" w:w="120"/>
              <w:bottom w:type="dxa" w:w="90"/>
              <w:right w:type="dxa" w:w="120"/>
            </w:tcMar>
          </w:tcPr>
          <w:p>
            <w:pPr>
              <w:spacing w:after="0"/>
            </w:pPr>
            <w:r>
              <w:rPr>
                <w:sz w:val="20"/>
                <w:szCs w:val="20"/>
              </w:rPr>
              <w:t xml:space="preserve">7</w:t>
            </w:r>
          </w:p>
        </w:tc>
        <w:tc>
          <w:tcPr>
            <w:tcW w:type="dxa" w:w="2177"/>
            <w:shd w:fill="FFFFFF" w:val="clear"/>
            <w:tcMar>
              <w:top w:type="dxa" w:w="90"/>
              <w:left w:type="dxa" w:w="120"/>
              <w:bottom w:type="dxa" w:w="90"/>
              <w:right w:type="dxa" w:w="120"/>
            </w:tcMar>
          </w:tcPr>
          <w:p>
            <w:pPr>
              <w:spacing w:after="0"/>
            </w:pPr>
            <w:r>
              <w:rPr>
                <w:sz w:val="20"/>
                <w:szCs w:val="20"/>
              </w:rPr>
              <w:t xml:space="preserve">Détection d’écart d’évaluation</w:t>
            </w:r>
          </w:p>
        </w:tc>
        <w:tc>
          <w:tcPr>
            <w:tcW w:type="dxa" w:w="2177"/>
            <w:shd w:fill="FFFFFF" w:val="clear"/>
            <w:tcMar>
              <w:top w:type="dxa" w:w="90"/>
              <w:left w:type="dxa" w:w="120"/>
              <w:bottom w:type="dxa" w:w="90"/>
              <w:right w:type="dxa" w:w="120"/>
            </w:tcMar>
          </w:tcPr>
          <w:p>
            <w:pPr>
              <w:spacing w:after="0"/>
            </w:pPr>
            <w:r>
              <w:rPr>
                <w:sz w:val="20"/>
                <w:szCs w:val="20"/>
              </w:rPr>
              <w:t xml:space="preserve">EvaluationAnalysisService</w:t>
            </w:r>
          </w:p>
        </w:tc>
        <w:tc>
          <w:tcPr>
            <w:tcW w:type="dxa" w:w="4173"/>
            <w:shd w:fill="FFFFFF" w:val="clear"/>
            <w:tcMar>
              <w:top w:type="dxa" w:w="90"/>
              <w:left w:type="dxa" w:w="120"/>
              <w:bottom w:type="dxa" w:w="90"/>
              <w:right w:type="dxa" w:w="120"/>
            </w:tcMar>
          </w:tcPr>
          <w:p>
            <w:pPr>
              <w:spacing w:after="0"/>
            </w:pPr>
            <w:r>
              <w:rPr>
                <w:sz w:val="20"/>
                <w:szCs w:val="20"/>
              </w:rPr>
              <w:t xml:space="preserve">Détecte un écart anormal (&gt; 4 points) entre les notes enseignant et entreprise, et en explique la cause probable à l’administration</w:t>
            </w:r>
          </w:p>
        </w:tc>
      </w:tr>
      <w:tr>
        <w:tc>
          <w:tcPr>
            <w:tcW w:type="dxa" w:w="544"/>
            <w:shd w:fill="F4F7FB" w:val="clear"/>
            <w:tcMar>
              <w:top w:type="dxa" w:w="90"/>
              <w:left w:type="dxa" w:w="120"/>
              <w:bottom w:type="dxa" w:w="90"/>
              <w:right w:type="dxa" w:w="120"/>
            </w:tcMar>
          </w:tcPr>
          <w:p>
            <w:pPr>
              <w:spacing w:after="0"/>
            </w:pPr>
            <w:r>
              <w:rPr>
                <w:sz w:val="20"/>
                <w:szCs w:val="20"/>
              </w:rPr>
              <w:t xml:space="preserve">8</w:t>
            </w:r>
          </w:p>
        </w:tc>
        <w:tc>
          <w:tcPr>
            <w:tcW w:type="dxa" w:w="2177"/>
            <w:shd w:fill="F4F7FB" w:val="clear"/>
            <w:tcMar>
              <w:top w:type="dxa" w:w="90"/>
              <w:left w:type="dxa" w:w="120"/>
              <w:bottom w:type="dxa" w:w="90"/>
              <w:right w:type="dxa" w:w="120"/>
            </w:tcMar>
          </w:tcPr>
          <w:p>
            <w:pPr>
              <w:spacing w:after="0"/>
            </w:pPr>
            <w:r>
              <w:rPr>
                <w:sz w:val="20"/>
                <w:szCs w:val="20"/>
              </w:rPr>
              <w:t xml:space="preserve">Détection de risque de décrochage</w:t>
            </w:r>
          </w:p>
        </w:tc>
        <w:tc>
          <w:tcPr>
            <w:tcW w:type="dxa" w:w="2177"/>
            <w:shd w:fill="F4F7FB" w:val="clear"/>
            <w:tcMar>
              <w:top w:type="dxa" w:w="90"/>
              <w:left w:type="dxa" w:w="120"/>
              <w:bottom w:type="dxa" w:w="90"/>
              <w:right w:type="dxa" w:w="120"/>
            </w:tcMar>
          </w:tcPr>
          <w:p>
            <w:pPr>
              <w:spacing w:after="0"/>
            </w:pPr>
            <w:r>
              <w:rPr>
                <w:sz w:val="20"/>
                <w:szCs w:val="20"/>
              </w:rPr>
              <w:t xml:space="preserve">AnalyseRapportService (BF10/BF11)</w:t>
            </w:r>
          </w:p>
        </w:tc>
        <w:tc>
          <w:tcPr>
            <w:tcW w:type="dxa" w:w="4173"/>
            <w:shd w:fill="F4F7FB" w:val="clear"/>
            <w:tcMar>
              <w:top w:type="dxa" w:w="90"/>
              <w:left w:type="dxa" w:w="120"/>
              <w:bottom w:type="dxa" w:w="90"/>
              <w:right w:type="dxa" w:w="120"/>
            </w:tcMar>
          </w:tcPr>
          <w:p>
            <w:pPr>
              <w:spacing w:after="0"/>
            </w:pPr>
            <w:r>
              <w:rPr>
                <w:sz w:val="20"/>
                <w:szCs w:val="20"/>
              </w:rPr>
              <w:t xml:space="preserve">Alerte l’enseignant référent et formule une recommandation à l’étudiant</w:t>
            </w:r>
          </w:p>
        </w:tc>
      </w:tr>
    </w:tbl>
    <w:p>
      <w:pPr>
        <w:pStyle w:val="Heading2"/>
        <w:spacing w:after="180" w:before="360"/>
      </w:pPr>
      <w:r>
        <w:rPr>
          <w:b/>
          <w:bCs/>
          <w:color w:val="2563EB"/>
          <w:sz w:val="26"/>
          <w:szCs w:val="26"/>
        </w:rPr>
        <w:t xml:space="preserve">6.3 Intégration de l’IA dans l’architecture MVC</w:t>
      </w:r>
    </w:p>
    <w:p>
      <w:pPr>
        <w:spacing w:after="200" w:line="300"/>
        <w:jc w:val="both"/>
      </w:pPr>
      <w:r>
        <w:rPr>
          <w:sz w:val="22"/>
          <w:szCs w:val="22"/>
        </w:rPr>
        <w:t xml:space="preserve">Conformément au schéma de la section 5.2, le module IA est encapsulé dans une couche Services dédiée. Une règle de conception a été respectée strictement tout au long du développement : aucune classe du projet, hormis LlmService, n’appelle directement l’API Groq. Ce choix garantit que :</w:t>
      </w:r>
    </w:p>
    <w:p>
      <w:pPr>
        <w:pStyle w:val="ListParagraph"/>
        <w:numPr>
          <w:ilvl w:val="0"/>
          <w:numId w:val="2"/>
        </w:numPr>
        <w:spacing w:after="100"/>
      </w:pPr>
      <w:r>
        <w:rPr>
          <w:sz w:val="22"/>
          <w:szCs w:val="22"/>
        </w:rPr>
        <w:t xml:space="preserve">le Modèle et la base de données restent indépendants du fournisseur d’IA utilisé — ce principe a été concrètement validé lors de la migration de Gemini vers Groq (section 7), qui n’a nécessité aucune modification des entités ni des contrôleurs ;</w:t>
      </w:r>
    </w:p>
    <w:p>
      <w:pPr>
        <w:pStyle w:val="ListParagraph"/>
        <w:numPr>
          <w:ilvl w:val="0"/>
          <w:numId w:val="2"/>
        </w:numPr>
        <w:spacing w:after="100"/>
      </w:pPr>
      <w:r>
        <w:rPr>
          <w:sz w:val="22"/>
          <w:szCs w:val="22"/>
        </w:rPr>
        <w:t xml:space="preserve">la gestion des erreurs (quota dépassé, réponse invalide, service indisponible) est centralisée dans une seule classe et remontée de façon cohérente via IAServiceException ;</w:t>
      </w:r>
    </w:p>
    <w:p>
      <w:pPr>
        <w:pStyle w:val="ListParagraph"/>
        <w:numPr>
          <w:ilvl w:val="0"/>
          <w:numId w:val="2"/>
        </w:numPr>
        <w:spacing w:after="100"/>
      </w:pPr>
      <w:r>
        <w:rPr>
          <w:sz w:val="22"/>
          <w:szCs w:val="22"/>
        </w:rPr>
        <w:t xml:space="preserve">il est possible de remplacer ou faire évoluer le moteur IA sans modifier les Contrôleurs ni les Vues.</w:t>
      </w:r>
    </w:p>
    <w:p>
      <w:r>
        <w:br w:type="page"/>
      </w:r>
    </w:p>
    <w:p>
      <w:pPr>
        <w:pStyle w:val="Heading1"/>
        <w:pBdr>
          <w:bottom w:val="single" w:color="1F3A5F" w:sz="12" w:space="4"/>
        </w:pBdr>
        <w:spacing w:after="240" w:before="480"/>
      </w:pPr>
      <w:r>
        <w:rPr>
          <w:b/>
          <w:bCs/>
          <w:color w:val="1F3A5F"/>
          <w:sz w:val="32"/>
          <w:szCs w:val="32"/>
        </w:rPr>
        <w:t xml:space="preserve">7. Documentation des choix de modèles et interactions avec les LLM</w:t>
      </w:r>
    </w:p>
    <w:p>
      <w:pPr>
        <w:spacing w:after="200" w:line="300"/>
        <w:jc w:val="both"/>
      </w:pPr>
      <w:r>
        <w:rPr>
          <w:sz w:val="22"/>
          <w:szCs w:val="22"/>
        </w:rPr>
        <w:t xml:space="preserve">Cette section intègre la documentation individuelle des interactions avec les assistants IA (Claude Code pour le développement, Groq pour les fonctionnalités en production), demandée par la grille d’évaluation, directement dans le rapport final.</w:t>
      </w:r>
    </w:p>
    <w:p>
      <w:pPr>
        <w:pStyle w:val="Heading2"/>
        <w:spacing w:after="180" w:before="360"/>
      </w:pPr>
      <w:r>
        <w:rPr>
          <w:b/>
          <w:bCs/>
          <w:color w:val="2563EB"/>
          <w:sz w:val="26"/>
          <w:szCs w:val="26"/>
        </w:rPr>
        <w:t xml:space="preserve">7.1 Pourquoi Groq plutôt que Gemini</w:t>
      </w:r>
    </w:p>
    <w:p>
      <w:pPr>
        <w:spacing w:after="200" w:line="300"/>
        <w:jc w:val="both"/>
      </w:pPr>
      <w:r>
        <w:rPr>
          <w:sz w:val="22"/>
          <w:szCs w:val="22"/>
        </w:rPr>
        <w:t xml:space="preserve">Le projet a démarré avec l’API Gemini (Google AI Studio) pour le module IA. En cours de développement, des erreurs 429 (quota dépassé) sont apparues de façon répétée dès que plusieurs fonctionnalités IA étaient testées dans la même session — le tier gratuit de Gemini s’est révélé trop restrictif pour un usage de développement actif avec plusieurs modules IA simultanés.</w:t>
      </w:r>
    </w:p>
    <w:tbl>
      <w:tblPr>
        <w:tblW w:type="pct" w:w="5000"/>
        <w:tblBorders>
          <w:top w:val="single" w:color="1E7A34" w:sz="4"/>
          <w:left w:val="single" w:color="1E7A34" w:sz="24"/>
          <w:bottom w:val="single" w:color="1E7A34" w:sz="4"/>
          <w:right w:val="single" w:color="1E7A34" w:sz="4"/>
          <w:insideH w:val="single" w:color="auto" w:sz="4"/>
          <w:insideV w:val="single" w:color="auto" w:sz="4"/>
        </w:tblBorders>
      </w:tblPr>
      <w:tblGrid>
        <w:gridCol w:w="9638"/>
      </w:tblGrid>
      <w:tr>
        <w:tc>
          <w:tcPr>
            <w:shd w:fill="F2FAF4" w:val="clear"/>
            <w:tcMar>
              <w:top w:type="dxa" w:w="120"/>
              <w:left w:type="dxa" w:w="200"/>
              <w:bottom w:type="dxa" w:w="120"/>
              <w:right w:type="dxa" w:w="200"/>
            </w:tcMar>
          </w:tcPr>
          <w:p>
            <w:pPr>
              <w:spacing w:after="0"/>
            </w:pPr>
            <w:r>
              <w:rPr>
                <w:b/>
                <w:bCs/>
                <w:color w:val="1E7A34"/>
                <w:sz w:val="21"/>
                <w:szCs w:val="21"/>
              </w:rPr>
              <w:t xml:space="preserve">Décision : </w:t>
            </w:r>
            <w:r>
              <w:rPr>
                <w:sz w:val="21"/>
                <w:szCs w:val="21"/>
              </w:rPr>
              <w:t xml:space="preserve">migration complète vers Groq (tier gratuit, sans carte bancaire, limites de requêtes par minute nettement plus généreuses), effectuée sans changement d’architecture grâce à l’isolation du fournisseur IA dans LlmService (section 6.3).</w:t>
            </w:r>
          </w:p>
        </w:tc>
      </w:tr>
    </w:tbl>
    <w:p>
      <w:pPr>
        <w:pStyle w:val="Heading2"/>
        <w:spacing w:after="180" w:before="360"/>
      </w:pPr>
      <w:r>
        <w:rPr>
          <w:b/>
          <w:bCs/>
          <w:color w:val="2563EB"/>
          <w:sz w:val="26"/>
          <w:szCs w:val="26"/>
        </w:rPr>
        <w:t xml:space="preserve">7.2 Évolution du modèle Groq utilisé</w:t>
      </w:r>
    </w:p>
    <w:p>
      <w:pPr>
        <w:pStyle w:val="ListParagraph"/>
        <w:numPr>
          <w:ilvl w:val="0"/>
          <w:numId w:val="2"/>
        </w:numPr>
        <w:spacing w:after="100"/>
      </w:pPr>
      <w:r>
        <w:rPr>
          <w:b/>
          <w:bCs/>
          <w:sz w:val="22"/>
          <w:szCs w:val="22"/>
        </w:rPr>
        <w:t xml:space="preserve">Premier essai : </w:t>
      </w:r>
      <w:r>
        <w:rPr>
          <w:sz w:val="22"/>
          <w:szCs w:val="22"/>
        </w:rPr>
        <w:t xml:space="preserve">llama-3.3-70b-versatile — échec immédiat (erreur 404 model_not_found). Diagnostic : interrogation directe de GET /openai/v1/models pour obtenir le catalogue réel des modèles disponibles sur le compte, plutôt que de supposer un nom de modèle.</w:t>
      </w:r>
    </w:p>
    <w:p>
      <w:pPr>
        <w:pStyle w:val="ListParagraph"/>
        <w:numPr>
          <w:ilvl w:val="0"/>
          <w:numId w:val="2"/>
        </w:numPr>
        <w:spacing w:after="100"/>
      </w:pPr>
      <w:r>
        <w:rPr>
          <w:b/>
          <w:bCs/>
          <w:sz w:val="22"/>
          <w:szCs w:val="22"/>
        </w:rPr>
        <w:t xml:space="preserve">Modèle retenu : </w:t>
      </w:r>
      <w:r>
        <w:rPr>
          <w:sz w:val="22"/>
          <w:szCs w:val="22"/>
        </w:rPr>
        <w:t xml:space="preserve">openai/gpt-oss-120b — modèle de raisonnement (« reasoning model »). Un comportement spécifique a dû être identifié et corrigé : ce modèle consomme une partie de son budget de tokens pour un raisonnement interne avant de produire la réponse finale, ce qui tronquait parfois les réponses structurées (ex. tableau de scores JSON) même avec un max_tokens généreux.</w:t>
      </w:r>
    </w:p>
    <w:tbl>
      <w:tblPr>
        <w:tblW w:type="pct" w:w="5000"/>
        <w:tblBorders>
          <w:top w:val="single" w:color="1E7A34" w:sz="4"/>
          <w:left w:val="single" w:color="1E7A34" w:sz="24"/>
          <w:bottom w:val="single" w:color="1E7A34" w:sz="4"/>
          <w:right w:val="single" w:color="1E7A34" w:sz="4"/>
          <w:insideH w:val="single" w:color="auto" w:sz="4"/>
          <w:insideV w:val="single" w:color="auto" w:sz="4"/>
        </w:tblBorders>
      </w:tblPr>
      <w:tblGrid>
        <w:gridCol w:w="9638"/>
      </w:tblGrid>
      <w:tr>
        <w:tc>
          <w:tcPr>
            <w:shd w:fill="F2FAF4" w:val="clear"/>
            <w:tcMar>
              <w:top w:type="dxa" w:w="120"/>
              <w:left w:type="dxa" w:w="200"/>
              <w:bottom w:type="dxa" w:w="120"/>
              <w:right w:type="dxa" w:w="200"/>
            </w:tcMar>
          </w:tcPr>
          <w:p>
            <w:pPr>
              <w:spacing w:after="0"/>
            </w:pPr>
            <w:r>
              <w:rPr>
                <w:b/>
                <w:bCs/>
                <w:color w:val="1E7A34"/>
                <w:sz w:val="21"/>
                <w:szCs w:val="21"/>
              </w:rPr>
              <w:t xml:space="preserve">Correctif appliqué : </w:t>
            </w:r>
            <w:r>
              <w:rPr>
                <w:sz w:val="21"/>
                <w:szCs w:val="21"/>
              </w:rPr>
              <w:t xml:space="preserve">ajout du paramètre reasoning_effort="low" dans chaque requête à l’API Groq. Vérifié par un test direct en curl, en inspectant le champ usage.completion_tokens_details.reasoning_tokens de la réponse avant/après le changement.</w:t>
            </w:r>
          </w:p>
        </w:tc>
      </w:tr>
    </w:tbl>
    <w:p>
      <w:pPr>
        <w:pStyle w:val="Heading2"/>
        <w:spacing w:after="180" w:before="360"/>
      </w:pPr>
      <w:r>
        <w:rPr>
          <w:b/>
          <w:bCs/>
          <w:color w:val="2563EB"/>
          <w:sz w:val="26"/>
          <w:szCs w:val="26"/>
        </w:rPr>
        <w:t xml:space="preserve">7.3 Nature des interactions avec Claude Code pendant le développement</w:t>
      </w:r>
    </w:p>
    <w:p>
      <w:pPr>
        <w:spacing w:after="200" w:line="300"/>
        <w:jc w:val="both"/>
      </w:pPr>
      <w:r>
        <w:rPr>
          <w:sz w:val="22"/>
          <w:szCs w:val="22"/>
        </w:rPr>
        <w:t xml:space="preserve">Claude Code (Anthropic) a été utilisé tout au long du projet comme assistant de développement en binôme (pair-programming assisté), pour : l’implémentation des 8 fonctionnalités IA, la définition du schéma de base de données, le diagnostic méthodique de bugs de production (détaillé en section 8), et la génération de scénarios de test réalistes pour chaque module IA (fichier TESTS_IA.md du dépôt).</w:t>
      </w:r>
    </w:p>
    <w:p>
      <w:pPr>
        <w:spacing w:after="200" w:line="300"/>
        <w:jc w:val="both"/>
      </w:pPr>
      <w:r>
        <w:rPr>
          <w:sz w:val="22"/>
          <w:szCs w:val="22"/>
        </w:rPr>
        <w:t xml:space="preserve">La méthode de travail suivie, et demandée explicitement à l’assistant, a été systématiquement empirique : à chaque anomalie, une hypothèse était formulée puis vérifiée par une mesure concrète (requête SQL directe, appel curl, log serveur) avant d’appliquer un correctif — jamais de correctif appliqué sur une simple supposition. Cette méthode est illustrée en détail section 8.</w:t>
      </w:r>
    </w:p>
    <w:p>
      <w:pPr>
        <w:pStyle w:val="Heading2"/>
        <w:spacing w:after="180" w:before="360"/>
      </w:pPr>
      <w:r>
        <w:rPr>
          <w:b/>
          <w:bCs/>
          <w:color w:val="2563EB"/>
          <w:sz w:val="26"/>
          <w:szCs w:val="26"/>
        </w:rPr>
        <w:t xml:space="preserve">7.4 Exemple de prompt représentatif</w:t>
      </w:r>
    </w:p>
    <w:tbl>
      <w:tblPr>
        <w:tblW w:type="pct" w:w="5000"/>
        <w:tblBorders>
          <w:top w:val="single" w:color="2563EB" w:sz="4"/>
          <w:left w:val="single" w:color="2563EB" w:sz="24"/>
          <w:bottom w:val="single" w:color="2563EB" w:sz="4"/>
          <w:right w:val="single" w:color="2563EB" w:sz="4"/>
          <w:insideH w:val="single" w:color="auto" w:sz="4"/>
          <w:insideV w:val="single" w:color="auto" w:sz="4"/>
        </w:tblBorders>
      </w:tblPr>
      <w:tblGrid>
        <w:gridCol w:w="9638"/>
      </w:tblGrid>
      <w:tr>
        <w:tc>
          <w:tcPr>
            <w:shd w:fill="EAF1FB" w:val="clear"/>
            <w:tcMar>
              <w:top w:type="dxa" w:w="150"/>
              <w:left w:type="dxa" w:w="200"/>
              <w:bottom w:type="dxa" w:w="150"/>
              <w:right w:type="dxa" w:w="200"/>
            </w:tcMar>
          </w:tcPr>
          <w:p>
            <w:pPr>
              <w:spacing w:after="0"/>
            </w:pPr>
            <w:r>
              <w:rPr>
                <w:i/>
                <w:iCs/>
                <w:sz w:val="21"/>
                <w:szCs w:val="21"/>
              </w:rPr>
              <w:t xml:space="preserve">Prompt (reformulé, représentatif d’un échange réel) : « vérifie pourquoi il prend du temps pour le loading du tableau de bord lorsque je me connecte »</w:t>
            </w:r>
          </w:p>
        </w:tc>
      </w:tr>
    </w:tbl>
    <w:p>
      <w:pPr>
        <w:spacing w:after="200" w:line="300"/>
        <w:jc w:val="both"/>
      </w:pPr>
      <w:r>
        <w:rPr>
          <w:sz w:val="22"/>
          <w:szCs w:val="22"/>
        </w:rPr>
        <w:t xml:space="preserve">Ce prompt, volontairement non technique, a déclenché une investigation en plusieurs étapes documentée section 8.3 : mesure des temps de réponse par endpoint, comparaison de l’exécution SQL brute et de l’exécution via l’ORM, puis isolation de la cause racine réelle (un mauvais mapping de colonne), à l’opposé d’un correctif hâtif sur la première hypothèse plausible (une requête N+1, qui s’est révélée insuffisante à elle seule).</w:t>
      </w:r>
    </w:p>
    <w:p>
      <w:r>
        <w:br w:type="page"/>
      </w:r>
    </w:p>
    <w:p>
      <w:pPr>
        <w:pStyle w:val="Heading1"/>
        <w:pBdr>
          <w:bottom w:val="single" w:color="1F3A5F" w:sz="12" w:space="4"/>
        </w:pBdr>
        <w:spacing w:after="240" w:before="480"/>
      </w:pPr>
      <w:r>
        <w:rPr>
          <w:b/>
          <w:bCs/>
          <w:color w:val="1F3A5F"/>
          <w:sz w:val="32"/>
          <w:szCs w:val="32"/>
        </w:rPr>
        <w:t xml:space="preserve">8. Utilisation de l’IA pour la détection de bugs, les tests et le refactoring</w:t>
      </w:r>
    </w:p>
    <w:p>
      <w:pPr>
        <w:spacing w:after="200" w:line="300"/>
        <w:jc w:val="both"/>
      </w:pPr>
      <w:r>
        <w:rPr>
          <w:sz w:val="22"/>
          <w:szCs w:val="22"/>
        </w:rPr>
        <w:t xml:space="preserve">Cette section documente, avec preuves vérifiables (messages d’erreur exacts, mesures avant/après, identifiants de commit), la manière dont l’assistant IA a été utilisé après l’intégration pour détecter des anomalies réelles de la plateforme et les corriger — au-delà de la seule écriture de fonctionnalités.</w:t>
      </w:r>
    </w:p>
    <w:p>
      <w:pPr>
        <w:pStyle w:val="Heading2"/>
        <w:spacing w:after="180" w:before="360"/>
      </w:pPr>
      <w:r>
        <w:rPr>
          <w:b/>
          <w:bCs/>
          <w:color w:val="2563EB"/>
          <w:sz w:val="26"/>
          <w:szCs w:val="26"/>
        </w:rPr>
        <w:t xml:space="preserve">8.1 Incident — Erreur 401 trompeuse masquant une vraie exception serveur</w:t>
      </w:r>
    </w:p>
    <w:p>
      <w:pPr>
        <w:spacing w:after="200" w:line="300"/>
        <w:jc w:val="both"/>
      </w:pPr>
      <w:r>
        <w:rPr>
          <w:b/>
          <w:bCs/>
          <w:sz w:val="22"/>
          <w:szCs w:val="22"/>
        </w:rPr>
        <w:t xml:space="preserve">Symptôme : </w:t>
      </w:r>
      <w:r>
        <w:rPr>
          <w:sz w:val="22"/>
          <w:szCs w:val="22"/>
        </w:rPr>
        <w:t xml:space="preserve">le chatbot renvoyait une erreur 401 (non authentifié) à certains utilisateurs pourtant bien connectés, uniquement sur certaines questions.</w:t>
      </w:r>
    </w:p>
    <w:p>
      <w:pPr>
        <w:spacing w:after="200" w:line="300"/>
        <w:jc w:val="both"/>
      </w:pPr>
      <w:r>
        <w:rPr>
          <w:b/>
          <w:bCs/>
          <w:sz w:val="22"/>
          <w:szCs w:val="22"/>
        </w:rPr>
        <w:t xml:space="preserve">Méthode de diagnostic : </w:t>
      </w:r>
      <w:r>
        <w:rPr>
          <w:sz w:val="22"/>
          <w:szCs w:val="22"/>
        </w:rPr>
        <w:t xml:space="preserve">plutôt que de supposer un problème de jeton JWT, les logs backend ont été inspectés directement. Un pattern a été identifié et documenté comme réutilisable : toute exception non interceptée qui atteint un contrôleur Spring Boot déclenche un forward interne vers /error, qui traverse à nouveau la chaîne de filtres de sécurité sans l’en-tête Authorization d’origine — produisant un 401 qui n’a aucun rapport avec l’authentification.</w:t>
      </w:r>
    </w:p>
    <w:p>
      <w:pPr>
        <w:spacing w:after="200" w:line="300"/>
        <w:jc w:val="both"/>
      </w:pPr>
      <w:r>
        <w:rPr>
          <w:b/>
          <w:bCs/>
          <w:sz w:val="22"/>
          <w:szCs w:val="22"/>
        </w:rPr>
        <w:t xml:space="preserve">Cause racine réelle : </w:t>
      </w:r>
      <w:r>
        <w:rPr>
          <w:sz w:val="22"/>
          <w:szCs w:val="22"/>
        </w:rPr>
        <w:t xml:space="preserve">une UnexpectedRollbackException provoquée par la sémantique Spring des transactions imbriquées (une méthode @Transactional qui lève une exception marque la transaction physique « rollback-only », même si l’appelant intercepte localement l’exception).</w:t>
      </w:r>
    </w:p>
    <w:tbl>
      <w:tblPr>
        <w:tblW w:type="pct" w:w="5000"/>
        <w:tblBorders>
          <w:top w:val="single" w:color="1E7A34" w:sz="4"/>
          <w:left w:val="single" w:color="1E7A34" w:sz="24"/>
          <w:bottom w:val="single" w:color="1E7A34" w:sz="4"/>
          <w:right w:val="single" w:color="1E7A34" w:sz="4"/>
          <w:insideH w:val="single" w:color="auto" w:sz="4"/>
          <w:insideV w:val="single" w:color="auto" w:sz="4"/>
        </w:tblBorders>
      </w:tblPr>
      <w:tblGrid>
        <w:gridCol w:w="9638"/>
      </w:tblGrid>
      <w:tr>
        <w:tc>
          <w:tcPr>
            <w:shd w:fill="F2FAF4" w:val="clear"/>
            <w:tcMar>
              <w:top w:type="dxa" w:w="120"/>
              <w:left w:type="dxa" w:w="200"/>
              <w:bottom w:type="dxa" w:w="120"/>
              <w:right w:type="dxa" w:w="200"/>
            </w:tcMar>
          </w:tcPr>
          <w:p>
            <w:pPr>
              <w:spacing w:after="0"/>
            </w:pPr>
            <w:r>
              <w:rPr>
                <w:b/>
                <w:bCs/>
                <w:color w:val="1E7A34"/>
                <w:sz w:val="21"/>
                <w:szCs w:val="21"/>
              </w:rPr>
              <w:t xml:space="preserve">Correctif : </w:t>
            </w:r>
            <w:r>
              <w:rPr>
                <w:sz w:val="21"/>
                <w:szCs w:val="21"/>
              </w:rPr>
              <w:t xml:space="preserve">ajout de noRollbackFor = ResourceNotFoundException.class sur les méthodes @Transactional concernées (ConventionService, StageService, SoutenanceService) et d’un gestionnaire d’exception global dédié. Vérifié par rejeu de la question qui échouait, avec succès.</w:t>
            </w:r>
          </w:p>
        </w:tc>
      </w:tr>
    </w:tbl>
    <w:p>
      <w:pPr>
        <w:pStyle w:val="Heading2"/>
        <w:spacing w:after="180" w:before="360"/>
      </w:pPr>
      <w:r>
        <w:rPr>
          <w:b/>
          <w:bCs/>
          <w:color w:val="2563EB"/>
          <w:sz w:val="26"/>
          <w:szCs w:val="26"/>
        </w:rPr>
        <w:t xml:space="preserve">8.2 Incident — Requêtes N+1 sur les tableaux de bord</w:t>
      </w:r>
    </w:p>
    <w:p>
      <w:pPr>
        <w:spacing w:after="200" w:line="300"/>
        <w:jc w:val="both"/>
      </w:pPr>
      <w:r>
        <w:rPr>
          <w:b/>
          <w:bCs/>
          <w:sz w:val="22"/>
          <w:szCs w:val="22"/>
        </w:rPr>
        <w:t xml:space="preserve">Symptôme : </w:t>
      </w:r>
      <w:r>
        <w:rPr>
          <w:sz w:val="22"/>
          <w:szCs w:val="22"/>
        </w:rPr>
        <w:t xml:space="preserve">chargement du tableau de bord étudiant perceptiblement lent.</w:t>
      </w:r>
    </w:p>
    <w:p>
      <w:pPr>
        <w:spacing w:after="200" w:line="300"/>
        <w:jc w:val="both"/>
      </w:pPr>
      <w:r>
        <w:rPr>
          <w:b/>
          <w:bCs/>
          <w:sz w:val="22"/>
          <w:szCs w:val="22"/>
        </w:rPr>
        <w:t xml:space="preserve">Méthode de diagnostic : </w:t>
      </w:r>
      <w:r>
        <w:rPr>
          <w:sz w:val="22"/>
          <w:szCs w:val="22"/>
        </w:rPr>
        <w:t xml:space="preserve">mesure chronométrée de chaque appel API avec curl (et non une impression subjective), révélant des temps de 2,3 à 4,9 s par endpoint. Inspection des logs SQL Hibernate (show-sql) montrant de multiples requêtes successives pour charger les associations d’une même entité (pattern N+1 classique).</w:t>
      </w:r>
    </w:p>
    <w:tbl>
      <w:tblPr>
        <w:tblW w:type="pct" w:w="5000"/>
        <w:tblBorders>
          <w:top w:val="single" w:color="1E7A34" w:sz="4"/>
          <w:left w:val="single" w:color="1E7A34" w:sz="24"/>
          <w:bottom w:val="single" w:color="1E7A34" w:sz="4"/>
          <w:right w:val="single" w:color="1E7A34" w:sz="4"/>
          <w:insideH w:val="single" w:color="auto" w:sz="4"/>
          <w:insideV w:val="single" w:color="auto" w:sz="4"/>
        </w:tblBorders>
      </w:tblPr>
      <w:tblGrid>
        <w:gridCol w:w="9638"/>
      </w:tblGrid>
      <w:tr>
        <w:tc>
          <w:tcPr>
            <w:shd w:fill="F2FAF4" w:val="clear"/>
            <w:tcMar>
              <w:top w:type="dxa" w:w="120"/>
              <w:left w:type="dxa" w:w="200"/>
              <w:bottom w:type="dxa" w:w="120"/>
              <w:right w:type="dxa" w:w="200"/>
            </w:tcMar>
          </w:tcPr>
          <w:p>
            <w:pPr>
              <w:spacing w:after="0"/>
            </w:pPr>
            <w:r>
              <w:rPr>
                <w:b/>
                <w:bCs/>
                <w:color w:val="1E7A34"/>
                <w:sz w:val="21"/>
                <w:szCs w:val="21"/>
              </w:rPr>
              <w:t xml:space="preserve">Correctif : </w:t>
            </w:r>
            <w:r>
              <w:rPr>
                <w:sz w:val="21"/>
                <w:szCs w:val="21"/>
              </w:rPr>
              <w:t xml:space="preserve">ajout d’annotations @EntityGraph sur les méthodes de repository concernées (CandidatureRepository, ConventionRepository, StageRepository) pour charger les associations en une seule requête SQL au lieu d’une par ligne.</w:t>
            </w:r>
          </w:p>
        </w:tc>
      </w:tr>
    </w:tbl>
    <w:p>
      <w:pPr>
        <w:pStyle w:val="Heading2"/>
        <w:spacing w:after="180" w:before="360"/>
      </w:pPr>
      <w:r>
        <w:rPr>
          <w:b/>
          <w:bCs/>
          <w:color w:val="2563EB"/>
          <w:sz w:val="26"/>
          <w:szCs w:val="26"/>
        </w:rPr>
        <w:t xml:space="preserve">8.3 Incident — Lenteur persistante après le correctif N+1 (cas détaillé)</w:t>
      </w:r>
    </w:p>
    <w:p>
      <w:pPr>
        <w:spacing w:after="200" w:line="300"/>
        <w:jc w:val="both"/>
      </w:pPr>
      <w:r>
        <w:rPr>
          <w:b/>
          <w:bCs/>
          <w:sz w:val="22"/>
          <w:szCs w:val="22"/>
        </w:rPr>
        <w:t xml:space="preserve">Symptôme : </w:t>
      </w:r>
      <w:r>
        <w:rPr>
          <w:sz w:val="22"/>
          <w:szCs w:val="22"/>
        </w:rPr>
        <w:t xml:space="preserve">après le correctif 8.2, les mêmes endpoints restaient lents (4,1 s, 3,6 s, 2,7 s) alors que les requêtes SQL générées étaient désormais uniques et correctes. C’est le cas le plus instructif de cette session : le premier correctif évident (N+1) était nécessaire mais insuffisant, et seule une démarche d’élimination méthodique a permis de trouver la vraie cause.</w:t>
      </w:r>
    </w:p>
    <w:p>
      <w:pPr>
        <w:spacing w:after="200" w:line="300"/>
        <w:jc w:val="both"/>
      </w:pPr>
      <w:r>
        <w:rPr>
          <w:b/>
          <w:bCs/>
          <w:sz w:val="22"/>
          <w:szCs w:val="22"/>
        </w:rPr>
        <w:t xml:space="preserve">Démarche d’élimination (chaque hypothèse vérifiée avant d’être écartée) :</w:t>
      </w:r>
    </w:p>
    <w:p>
      <w:pPr>
        <w:pStyle w:val="ListParagraph"/>
        <w:numPr>
          <w:ilvl w:val="0"/>
          <w:numId w:val="2"/>
        </w:numPr>
        <w:spacing w:after="100"/>
      </w:pPr>
      <w:r>
        <w:rPr>
          <w:sz w:val="22"/>
          <w:szCs w:val="22"/>
        </w:rPr>
        <w:t xml:space="preserve">Hypothèse réseau/Neon : écartée — EXPLAIN ANALYZE exécuté directement sur la base a mesuré 1,6 ms d’exécution serveur pour la requête complète.</w:t>
      </w:r>
    </w:p>
    <w:p>
      <w:pPr>
        <w:pStyle w:val="ListParagraph"/>
        <w:numPr>
          <w:ilvl w:val="0"/>
          <w:numId w:val="2"/>
        </w:numPr>
        <w:spacing w:after="100"/>
      </w:pPr>
      <w:r>
        <w:rPr>
          <w:sz w:val="22"/>
          <w:szCs w:val="22"/>
        </w:rPr>
        <w:t xml:space="preserve">Hypothèse pilote JDBC / pool de connexions : écartée — la même requête SQL, exécutée via un client PostgreSQL brut (Node.js, hors Hibernate), a répondu en 40 ms.</w:t>
      </w:r>
    </w:p>
    <w:p>
      <w:pPr>
        <w:pStyle w:val="ListParagraph"/>
        <w:numPr>
          <w:ilvl w:val="0"/>
          <w:numId w:val="2"/>
        </w:numPr>
        <w:spacing w:after="100"/>
      </w:pPr>
      <w:r>
        <w:rPr>
          <w:sz w:val="22"/>
          <w:szCs w:val="22"/>
        </w:rPr>
        <w:t xml:space="preserve">Hypothèse journalisation SQL (show-sql) : écartée — désactivée temporairement, aucun effet sur le temps de réponse.</w:t>
      </w:r>
    </w:p>
    <w:p>
      <w:pPr>
        <w:pStyle w:val="ListParagraph"/>
        <w:numPr>
          <w:ilvl w:val="0"/>
          <w:numId w:val="2"/>
        </w:numPr>
        <w:spacing w:after="100"/>
      </w:pPr>
      <w:r>
        <w:rPr>
          <w:sz w:val="22"/>
          <w:szCs w:val="22"/>
        </w:rPr>
        <w:t xml:space="preserve">Hypothèse volume de données : écartée — un compte de test avec seulement 5 lignes présentait le même délai.</w:t>
      </w:r>
    </w:p>
    <w:p>
      <w:pPr>
        <w:spacing w:after="200" w:line="300"/>
        <w:jc w:val="both"/>
      </w:pPr>
      <w:r>
        <w:rPr>
          <w:b/>
          <w:bCs/>
          <w:sz w:val="22"/>
          <w:szCs w:val="22"/>
        </w:rPr>
        <w:t xml:space="preserve">Cause racine isolée : </w:t>
      </w:r>
      <w:r>
        <w:rPr>
          <w:sz w:val="22"/>
          <w:szCs w:val="22"/>
        </w:rPr>
        <w:t xml:space="preserve">plusieurs colonnes texte (lettre_motivation, sujet, description, commentaire, contenu) étaient mappées côté Java avec l’annotation @Lob sur un champ String. Sur ce projet (Hibernate 7.4.5 + PostgreSQL), cette combinaison crée en base un type oid (grand objet / « large object ») au lieu d’un simple text, obligeant Hibernate à effectuer un aller-retour réseau séparé par ligne pour lire le contenu de chaque objet. Ce mapping a été confirmé en interrogeant information_schema.columns, qui a montré data_type = oid sur 7 colonnes.</w:t>
      </w:r>
    </w:p>
    <w:tbl>
      <w:tblPr>
        <w:tblW w:type="pct" w:w="5000"/>
        <w:tblBorders>
          <w:top w:val="single" w:color="1E7A34" w:sz="4"/>
          <w:left w:val="single" w:color="1E7A34" w:sz="24"/>
          <w:bottom w:val="single" w:color="1E7A34" w:sz="4"/>
          <w:right w:val="single" w:color="1E7A34" w:sz="4"/>
          <w:insideH w:val="single" w:color="auto" w:sz="4"/>
          <w:insideV w:val="single" w:color="auto" w:sz="4"/>
        </w:tblBorders>
      </w:tblPr>
      <w:tblGrid>
        <w:gridCol w:w="9638"/>
      </w:tblGrid>
      <w:tr>
        <w:tc>
          <w:tcPr>
            <w:shd w:fill="F2FAF4" w:val="clear"/>
            <w:tcMar>
              <w:top w:type="dxa" w:w="120"/>
              <w:left w:type="dxa" w:w="200"/>
              <w:bottom w:type="dxa" w:w="120"/>
              <w:right w:type="dxa" w:w="200"/>
            </w:tcMar>
          </w:tcPr>
          <w:p>
            <w:pPr>
              <w:spacing w:after="0"/>
            </w:pPr>
            <w:r>
              <w:rPr>
                <w:b/>
                <w:bCs/>
                <w:color w:val="1E7A34"/>
                <w:sz w:val="21"/>
                <w:szCs w:val="21"/>
              </w:rPr>
              <w:t xml:space="preserve">Correctif : </w:t>
            </w:r>
            <w:r>
              <w:rPr>
                <w:sz w:val="21"/>
                <w:szCs w:val="21"/>
              </w:rPr>
              <w:t xml:space="preserve">migration des 7 colonnes de oid vers text en base (conversion des données existantes puis suppression des objets devenus orphelins), suppression de l’annotation @Lob dans 7 entités JPA.</w:t>
            </w:r>
          </w:p>
        </w:tc>
      </w:tr>
    </w:tbl>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990"/>
        <w:gridCol w:w="1996"/>
        <w:gridCol w:w="2087"/>
      </w:tblGrid>
      <w:tr>
        <w:trPr>
          <w:tblHeader/>
        </w:trPr>
        <w:tc>
          <w:tcPr>
            <w:tcW w:type="dxa" w:w="4990"/>
            <w:shd w:fill="1F3A5F" w:val="clear"/>
            <w:tcMar>
              <w:top w:type="dxa" w:w="100"/>
              <w:left w:type="dxa" w:w="120"/>
              <w:bottom w:type="dxa" w:w="100"/>
              <w:right w:type="dxa" w:w="120"/>
            </w:tcMar>
            <w:vAlign w:val="center"/>
          </w:tcPr>
          <w:p>
            <w:r>
              <w:rPr>
                <w:b/>
                <w:bCs/>
                <w:color w:val="FFFFFF"/>
                <w:sz w:val="20"/>
                <w:szCs w:val="20"/>
              </w:rPr>
              <w:t xml:space="preserve">Endpoint</w:t>
            </w:r>
          </w:p>
        </w:tc>
        <w:tc>
          <w:tcPr>
            <w:tcW w:type="dxa" w:w="1996"/>
            <w:shd w:fill="1F3A5F" w:val="clear"/>
            <w:tcMar>
              <w:top w:type="dxa" w:w="100"/>
              <w:left w:type="dxa" w:w="120"/>
              <w:bottom w:type="dxa" w:w="100"/>
              <w:right w:type="dxa" w:w="120"/>
            </w:tcMar>
            <w:vAlign w:val="center"/>
          </w:tcPr>
          <w:p>
            <w:r>
              <w:rPr>
                <w:b/>
                <w:bCs/>
                <w:color w:val="FFFFFF"/>
                <w:sz w:val="20"/>
                <w:szCs w:val="20"/>
              </w:rPr>
              <w:t xml:space="preserve">Avant correctif</w:t>
            </w:r>
          </w:p>
        </w:tc>
        <w:tc>
          <w:tcPr>
            <w:tcW w:type="dxa" w:w="2087"/>
            <w:shd w:fill="1F3A5F" w:val="clear"/>
            <w:tcMar>
              <w:top w:type="dxa" w:w="100"/>
              <w:left w:type="dxa" w:w="120"/>
              <w:bottom w:type="dxa" w:w="100"/>
              <w:right w:type="dxa" w:w="120"/>
            </w:tcMar>
            <w:vAlign w:val="center"/>
          </w:tcPr>
          <w:p>
            <w:r>
              <w:rPr>
                <w:b/>
                <w:bCs/>
                <w:color w:val="FFFFFF"/>
                <w:sz w:val="20"/>
                <w:szCs w:val="20"/>
              </w:rPr>
              <w:t xml:space="preserve">Après correctif</w:t>
            </w:r>
          </w:p>
        </w:tc>
      </w:tr>
      <w:tr>
        <w:tc>
          <w:tcPr>
            <w:tcW w:type="dxa" w:w="4990"/>
            <w:shd w:fill="FFFFFF" w:val="clear"/>
            <w:tcMar>
              <w:top w:type="dxa" w:w="90"/>
              <w:left w:type="dxa" w:w="120"/>
              <w:bottom w:type="dxa" w:w="90"/>
              <w:right w:type="dxa" w:w="120"/>
            </w:tcMar>
          </w:tcPr>
          <w:p>
            <w:pPr>
              <w:spacing w:after="0"/>
            </w:pPr>
            <w:r>
              <w:rPr>
                <w:sz w:val="20"/>
                <w:szCs w:val="20"/>
              </w:rPr>
              <w:t xml:space="preserve">GET /api/candidatures/mes-candidatures</w:t>
            </w:r>
          </w:p>
        </w:tc>
        <w:tc>
          <w:tcPr>
            <w:tcW w:type="dxa" w:w="1996"/>
            <w:shd w:fill="FFFFFF" w:val="clear"/>
            <w:tcMar>
              <w:top w:type="dxa" w:w="90"/>
              <w:left w:type="dxa" w:w="120"/>
              <w:bottom w:type="dxa" w:w="90"/>
              <w:right w:type="dxa" w:w="120"/>
            </w:tcMar>
          </w:tcPr>
          <w:p>
            <w:pPr>
              <w:spacing w:after="0"/>
            </w:pPr>
            <w:r>
              <w:rPr>
                <w:sz w:val="20"/>
                <w:szCs w:val="20"/>
              </w:rPr>
              <w:t xml:space="preserve">4,65 s</w:t>
            </w:r>
          </w:p>
        </w:tc>
        <w:tc>
          <w:tcPr>
            <w:tcW w:type="dxa" w:w="2087"/>
            <w:shd w:fill="FFFFFF" w:val="clear"/>
            <w:tcMar>
              <w:top w:type="dxa" w:w="90"/>
              <w:left w:type="dxa" w:w="120"/>
              <w:bottom w:type="dxa" w:w="90"/>
              <w:right w:type="dxa" w:w="120"/>
            </w:tcMar>
          </w:tcPr>
          <w:p>
            <w:pPr>
              <w:spacing w:after="0"/>
            </w:pPr>
            <w:r>
              <w:rPr>
                <w:sz w:val="20"/>
                <w:szCs w:val="20"/>
              </w:rPr>
              <w:t xml:space="preserve">0,26 s</w:t>
            </w:r>
          </w:p>
        </w:tc>
      </w:tr>
      <w:tr>
        <w:tc>
          <w:tcPr>
            <w:tcW w:type="dxa" w:w="4990"/>
            <w:shd w:fill="F4F7FB" w:val="clear"/>
            <w:tcMar>
              <w:top w:type="dxa" w:w="90"/>
              <w:left w:type="dxa" w:w="120"/>
              <w:bottom w:type="dxa" w:w="90"/>
              <w:right w:type="dxa" w:w="120"/>
            </w:tcMar>
          </w:tcPr>
          <w:p>
            <w:pPr>
              <w:spacing w:after="0"/>
            </w:pPr>
            <w:r>
              <w:rPr>
                <w:sz w:val="20"/>
                <w:szCs w:val="20"/>
              </w:rPr>
              <w:t xml:space="preserve">GET /api/conventions/ma-convention</w:t>
            </w:r>
          </w:p>
        </w:tc>
        <w:tc>
          <w:tcPr>
            <w:tcW w:type="dxa" w:w="1996"/>
            <w:shd w:fill="F4F7FB" w:val="clear"/>
            <w:tcMar>
              <w:top w:type="dxa" w:w="90"/>
              <w:left w:type="dxa" w:w="120"/>
              <w:bottom w:type="dxa" w:w="90"/>
              <w:right w:type="dxa" w:w="120"/>
            </w:tcMar>
          </w:tcPr>
          <w:p>
            <w:pPr>
              <w:spacing w:after="0"/>
            </w:pPr>
            <w:r>
              <w:rPr>
                <w:sz w:val="20"/>
                <w:szCs w:val="20"/>
              </w:rPr>
              <w:t xml:space="preserve">2,34 s</w:t>
            </w:r>
          </w:p>
        </w:tc>
        <w:tc>
          <w:tcPr>
            <w:tcW w:type="dxa" w:w="2087"/>
            <w:shd w:fill="F4F7FB" w:val="clear"/>
            <w:tcMar>
              <w:top w:type="dxa" w:w="90"/>
              <w:left w:type="dxa" w:w="120"/>
              <w:bottom w:type="dxa" w:w="90"/>
              <w:right w:type="dxa" w:w="120"/>
            </w:tcMar>
          </w:tcPr>
          <w:p>
            <w:pPr>
              <w:spacing w:after="0"/>
            </w:pPr>
            <w:r>
              <w:rPr>
                <w:sz w:val="20"/>
                <w:szCs w:val="20"/>
              </w:rPr>
              <w:t xml:space="preserve">0,13 s</w:t>
            </w:r>
          </w:p>
        </w:tc>
      </w:tr>
      <w:tr>
        <w:tc>
          <w:tcPr>
            <w:tcW w:type="dxa" w:w="4990"/>
            <w:shd w:fill="FFFFFF" w:val="clear"/>
            <w:tcMar>
              <w:top w:type="dxa" w:w="90"/>
              <w:left w:type="dxa" w:w="120"/>
              <w:bottom w:type="dxa" w:w="90"/>
              <w:right w:type="dxa" w:w="120"/>
            </w:tcMar>
          </w:tcPr>
          <w:p>
            <w:pPr>
              <w:spacing w:after="0"/>
            </w:pPr>
            <w:r>
              <w:rPr>
                <w:sz w:val="20"/>
                <w:szCs w:val="20"/>
              </w:rPr>
              <w:t xml:space="preserve">GET /api/stages/mon-stage</w:t>
            </w:r>
          </w:p>
        </w:tc>
        <w:tc>
          <w:tcPr>
            <w:tcW w:type="dxa" w:w="1996"/>
            <w:shd w:fill="FFFFFF" w:val="clear"/>
            <w:tcMar>
              <w:top w:type="dxa" w:w="90"/>
              <w:left w:type="dxa" w:w="120"/>
              <w:bottom w:type="dxa" w:w="90"/>
              <w:right w:type="dxa" w:w="120"/>
            </w:tcMar>
          </w:tcPr>
          <w:p>
            <w:pPr>
              <w:spacing w:after="0"/>
            </w:pPr>
            <w:r>
              <w:rPr>
                <w:sz w:val="20"/>
                <w:szCs w:val="20"/>
              </w:rPr>
              <w:t xml:space="preserve">4,94 s</w:t>
            </w:r>
          </w:p>
        </w:tc>
        <w:tc>
          <w:tcPr>
            <w:tcW w:type="dxa" w:w="2087"/>
            <w:shd w:fill="FFFFFF" w:val="clear"/>
            <w:tcMar>
              <w:top w:type="dxa" w:w="90"/>
              <w:left w:type="dxa" w:w="120"/>
              <w:bottom w:type="dxa" w:w="90"/>
              <w:right w:type="dxa" w:w="120"/>
            </w:tcMar>
          </w:tcPr>
          <w:p>
            <w:pPr>
              <w:spacing w:after="0"/>
            </w:pPr>
            <w:r>
              <w:rPr>
                <w:sz w:val="20"/>
                <w:szCs w:val="20"/>
              </w:rPr>
              <w:t xml:space="preserve">0,17 s</w:t>
            </w:r>
          </w:p>
        </w:tc>
      </w:tr>
    </w:tbl>
    <w:p>
      <w:pPr>
        <w:spacing w:after="200" w:line="300"/>
        <w:jc w:val="both"/>
      </w:pPr>
      <w:r>
        <w:rPr>
          <w:b/>
          <w:bCs/>
          <w:sz w:val="22"/>
          <w:szCs w:val="22"/>
        </w:rPr>
        <w:t xml:space="preserve">Commit : </w:t>
      </w:r>
      <w:r>
        <w:rPr>
          <w:sz w:val="22"/>
          <w:szCs w:val="22"/>
        </w:rPr>
        <w:t xml:space="preserve">994c183 — « Fix dashboard slowness: migrate oid-mapped Lob columns to text, patch EntityGraph fetch gaps » (17 octobre 2026).</w:t>
      </w:r>
    </w:p>
    <w:p>
      <w:pPr>
        <w:pStyle w:val="Heading2"/>
        <w:spacing w:after="180" w:before="360"/>
      </w:pPr>
      <w:r>
        <w:rPr>
          <w:b/>
          <w:bCs/>
          <w:color w:val="2563EB"/>
          <w:sz w:val="26"/>
          <w:szCs w:val="26"/>
        </w:rPr>
        <w:t xml:space="preserve">8.4 Incident — @EntityGraph désactivant silencieusement un mapping EAGER</w:t>
      </w:r>
    </w:p>
    <w:p>
      <w:pPr>
        <w:spacing w:after="200" w:line="300"/>
        <w:jc w:val="both"/>
      </w:pPr>
      <w:r>
        <w:rPr>
          <w:b/>
          <w:bCs/>
          <w:sz w:val="22"/>
          <w:szCs w:val="22"/>
        </w:rPr>
        <w:t xml:space="preserve">Symptôme : </w:t>
      </w:r>
      <w:r>
        <w:rPr>
          <w:sz w:val="22"/>
          <w:szCs w:val="22"/>
        </w:rPr>
        <w:t xml:space="preserve">après le correctif 8.3, un nouvel endpoint (liste du jury d’une soutenance) a commencé à échouer avec un 401 — exactement le même symptôme masquant que l’incident 8.1, mais une cause totalement différente.</w:t>
      </w:r>
    </w:p>
    <w:p>
      <w:pPr>
        <w:spacing w:after="200" w:line="300"/>
        <w:jc w:val="both"/>
      </w:pPr>
      <w:r>
        <w:rPr>
          <w:b/>
          <w:bCs/>
          <w:sz w:val="22"/>
          <w:szCs w:val="22"/>
        </w:rPr>
        <w:t xml:space="preserve">Cause racine : </w:t>
      </w:r>
      <w:r>
        <w:rPr>
          <w:sz w:val="22"/>
          <w:szCs w:val="22"/>
        </w:rPr>
        <w:t xml:space="preserve">l’entité Soutenance mappait son champ jury en FetchType.EAGER. L’ajout d’un @EntityGraph sur la méthode de repository correspondante (nécessaire pour corriger un autre N+1) a eu un effet de bord documenté mais contre-intuitif de Spring Data JPA : le type FETCH par défaut d’un @EntityGraph force toutes les associations non listées explicitement à redevenir LAZY, y compris celles mappées EAGER dans l’entité elle-même — provoquant une LazyInitializationException hors session, elle-même remontée en 401 trompeur (même mécanisme que 8.1).</w:t>
      </w:r>
    </w:p>
    <w:tbl>
      <w:tblPr>
        <w:tblW w:type="pct" w:w="5000"/>
        <w:tblBorders>
          <w:top w:val="single" w:color="1E7A34" w:sz="4"/>
          <w:left w:val="single" w:color="1E7A34" w:sz="24"/>
          <w:bottom w:val="single" w:color="1E7A34" w:sz="4"/>
          <w:right w:val="single" w:color="1E7A34" w:sz="4"/>
          <w:insideH w:val="single" w:color="auto" w:sz="4"/>
          <w:insideV w:val="single" w:color="auto" w:sz="4"/>
        </w:tblBorders>
      </w:tblPr>
      <w:tblGrid>
        <w:gridCol w:w="9638"/>
      </w:tblGrid>
      <w:tr>
        <w:tc>
          <w:tcPr>
            <w:shd w:fill="F2FAF4" w:val="clear"/>
            <w:tcMar>
              <w:top w:type="dxa" w:w="120"/>
              <w:left w:type="dxa" w:w="200"/>
              <w:bottom w:type="dxa" w:w="120"/>
              <w:right w:type="dxa" w:w="200"/>
            </w:tcMar>
          </w:tcPr>
          <w:p>
            <w:pPr>
              <w:spacing w:after="0"/>
            </w:pPr>
            <w:r>
              <w:rPr>
                <w:b/>
                <w:bCs/>
                <w:color w:val="1E7A34"/>
                <w:sz w:val="21"/>
                <w:szCs w:val="21"/>
              </w:rPr>
              <w:t xml:space="preserve">Correctif : </w:t>
            </w:r>
            <w:r>
              <w:rPr>
                <w:sz w:val="21"/>
                <w:szCs w:val="21"/>
              </w:rPr>
              <w:t xml:space="preserve">ajout explicite de "jury" dans la liste attributePaths du @EntityGraph. Vérifié : l’endpoint renvoie à nouveau 200 avec le contenu correct du jury.</w:t>
            </w:r>
          </w:p>
        </w:tc>
      </w:tr>
    </w:tbl>
    <w:p>
      <w:pPr>
        <w:pStyle w:val="Heading2"/>
        <w:spacing w:after="180" w:before="360"/>
      </w:pPr>
      <w:r>
        <w:rPr>
          <w:b/>
          <w:bCs/>
          <w:color w:val="2563EB"/>
          <w:sz w:val="26"/>
          <w:szCs w:val="26"/>
        </w:rPr>
        <w:t xml:space="preserve">8.5 Incident — Troncature des réponses JSON du modèle Groq</w:t>
      </w:r>
    </w:p>
    <w:p>
      <w:pPr>
        <w:spacing w:after="200" w:line="300"/>
        <w:jc w:val="both"/>
      </w:pPr>
      <w:r>
        <w:rPr>
          <w:b/>
          <w:bCs/>
          <w:sz w:val="22"/>
          <w:szCs w:val="22"/>
        </w:rPr>
        <w:t xml:space="preserve">Symptôme : </w:t>
      </w:r>
      <w:r>
        <w:rPr>
          <w:sz w:val="22"/>
          <w:szCs w:val="22"/>
        </w:rPr>
        <w:t xml:space="preserve">les services retournant un tableau de scores JSON (pré-sélection de candidatures, pertinence des conventions) échouaient par intermittence avec une erreur de parsing JSON.</w:t>
      </w:r>
    </w:p>
    <w:p>
      <w:pPr>
        <w:spacing w:after="200" w:line="300"/>
        <w:jc w:val="both"/>
      </w:pPr>
      <w:r>
        <w:rPr>
          <w:b/>
          <w:bCs/>
          <w:sz w:val="22"/>
          <w:szCs w:val="22"/>
        </w:rPr>
        <w:t xml:space="preserve">Méthode de diagnostic : </w:t>
      </w:r>
      <w:r>
        <w:rPr>
          <w:sz w:val="22"/>
          <w:szCs w:val="22"/>
        </w:rPr>
        <w:t xml:space="preserve">inspection du champ usage.completion_tokens_details.reasoning_tokens dans la réponse brute de l’API Groq (test direct en curl), révélant que le modèle de raisonnement consommait l’essentiel du budget de tokens disponible sur son raisonnement interne avant de produire la réponse utile, tronquant celle-ci.</w:t>
      </w:r>
    </w:p>
    <w:tbl>
      <w:tblPr>
        <w:tblW w:type="pct" w:w="5000"/>
        <w:tblBorders>
          <w:top w:val="single" w:color="1E7A34" w:sz="4"/>
          <w:left w:val="single" w:color="1E7A34" w:sz="24"/>
          <w:bottom w:val="single" w:color="1E7A34" w:sz="4"/>
          <w:right w:val="single" w:color="1E7A34" w:sz="4"/>
          <w:insideH w:val="single" w:color="auto" w:sz="4"/>
          <w:insideV w:val="single" w:color="auto" w:sz="4"/>
        </w:tblBorders>
      </w:tblPr>
      <w:tblGrid>
        <w:gridCol w:w="9638"/>
      </w:tblGrid>
      <w:tr>
        <w:tc>
          <w:tcPr>
            <w:shd w:fill="F2FAF4" w:val="clear"/>
            <w:tcMar>
              <w:top w:type="dxa" w:w="120"/>
              <w:left w:type="dxa" w:w="200"/>
              <w:bottom w:type="dxa" w:w="120"/>
              <w:right w:type="dxa" w:w="200"/>
            </w:tcMar>
          </w:tcPr>
          <w:p>
            <w:pPr>
              <w:spacing w:after="0"/>
            </w:pPr>
            <w:r>
              <w:rPr>
                <w:b/>
                <w:bCs/>
                <w:color w:val="1E7A34"/>
                <w:sz w:val="21"/>
                <w:szCs w:val="21"/>
              </w:rPr>
              <w:t xml:space="preserve">Correctif : </w:t>
            </w:r>
            <w:r>
              <w:rPr>
                <w:sz w:val="21"/>
                <w:szCs w:val="21"/>
              </w:rPr>
              <w:t xml:space="preserve">ajout du paramètre reasoning_effort="low" (voir aussi section 7.2) et ajout systématique d’un bloc try/catch dédié autour du parsing JSON dans les 3 services concernés, convertissant tout échec en IAServiceException gérée plutôt qu’en crash non contrôlé.</w:t>
            </w:r>
          </w:p>
        </w:tc>
      </w:tr>
    </w:tbl>
    <w:p>
      <w:pPr>
        <w:pStyle w:val="Heading2"/>
        <w:spacing w:after="180" w:before="360"/>
      </w:pPr>
      <w:r>
        <w:rPr>
          <w:b/>
          <w:bCs/>
          <w:color w:val="2563EB"/>
          <w:sz w:val="26"/>
          <w:szCs w:val="26"/>
        </w:rPr>
        <w:t xml:space="preserve">8.6 Synthèse et limite assumée</w:t>
      </w:r>
    </w:p>
    <w:p>
      <w:pPr>
        <w:spacing w:after="200" w:line="300"/>
        <w:jc w:val="both"/>
      </w:pPr>
      <w:r>
        <w:rPr>
          <w:sz w:val="22"/>
          <w:szCs w:val="22"/>
        </w:rPr>
        <w:t xml:space="preserve">Ces six incidents partagent une méthode commune : formuler une hypothèse vérifiable, la confirmer ou l’infirmer par une mesure concrète (SQL, curl, logs), puis appliquer un correctif ciblé — jamais une correction par essai-erreur non instrumenté. Cette approche a permis de détecter des bugs qui n’auraient pas été découverts par une simple relecture de code, en particulier l’incident 8.3 (mapping oid), invisible dans le code Java seul et nécessitant une inspection directe du schéma PostgreSQL.</w:t>
      </w:r>
    </w:p>
    <w:tbl>
      <w:tblPr>
        <w:tblW w:type="pct" w:w="5000"/>
        <w:tblBorders>
          <w:top w:val="single" w:color="1E7A34" w:sz="4"/>
          <w:left w:val="single" w:color="1E7A34" w:sz="24"/>
          <w:bottom w:val="single" w:color="1E7A34" w:sz="4"/>
          <w:right w:val="single" w:color="1E7A34" w:sz="4"/>
          <w:insideH w:val="single" w:color="auto" w:sz="4"/>
          <w:insideV w:val="single" w:color="auto" w:sz="4"/>
        </w:tblBorders>
      </w:tblPr>
      <w:tblGrid>
        <w:gridCol w:w="9638"/>
      </w:tblGrid>
      <w:tr>
        <w:tc>
          <w:tcPr>
            <w:shd w:fill="F2FAF4" w:val="clear"/>
            <w:tcMar>
              <w:top w:type="dxa" w:w="120"/>
              <w:left w:type="dxa" w:w="200"/>
              <w:bottom w:type="dxa" w:w="120"/>
              <w:right w:type="dxa" w:w="200"/>
            </w:tcMar>
          </w:tcPr>
          <w:p>
            <w:pPr>
              <w:spacing w:after="0"/>
            </w:pPr>
            <w:r>
              <w:rPr>
                <w:b/>
                <w:bCs/>
                <w:color w:val="1E7A34"/>
                <w:sz w:val="21"/>
                <w:szCs w:val="21"/>
              </w:rPr>
              <w:t xml:space="preserve">Mise à jour : </w:t>
            </w:r>
            <w:r>
              <w:rPr>
                <w:sz w:val="21"/>
                <w:szCs w:val="21"/>
              </w:rPr>
              <w:t xml:space="preserve">des tests de non-régression ont été ajoutés après coup pour 3 des 6 incidents ci-dessus (8.2/8.3, 8.4 et 8.5) — voir section 8.7. Les incidents 8.1 et la justesse des mesures de temps de réponse restent sans couverture automatisée.</w:t>
            </w:r>
          </w:p>
        </w:tc>
      </w:tr>
    </w:tbl>
    <w:p>
      <w:pPr>
        <w:pStyle w:val="Heading3"/>
        <w:spacing w:after="140" w:before="280"/>
      </w:pPr>
      <w:r>
        <w:rPr>
          <w:b/>
          <w:bCs/>
          <w:color w:val="1F3A5F"/>
          <w:sz w:val="23"/>
          <w:szCs w:val="23"/>
        </w:rPr>
        <w:t xml:space="preserve">8.7 Tests de non-régression ajoutés</w:t>
      </w:r>
    </w:p>
    <w:p>
      <w:pPr>
        <w:spacing w:after="200" w:line="300"/>
        <w:jc w:val="both"/>
      </w:pPr>
      <w:r>
        <w:rPr>
          <w:sz w:val="22"/>
          <w:szCs w:val="22"/>
        </w:rPr>
        <w:t xml:space="preserve">Pour éviter que ces bugs ne reviennent silencieusement lors d’une prochaine modification, 3 tests ciblés ont été ajoutés au dépôt, chacun reproduisant précisément les conditions d’un incident documenté ci-dessus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177"/>
        <w:gridCol w:w="1996"/>
        <w:gridCol w:w="1270"/>
        <w:gridCol w:w="3629"/>
      </w:tblGrid>
      <w:tr>
        <w:trPr>
          <w:tblHeader/>
        </w:trPr>
        <w:tc>
          <w:tcPr>
            <w:tcW w:type="dxa" w:w="2177"/>
            <w:shd w:fill="1F3A5F" w:val="clear"/>
            <w:tcMar>
              <w:top w:type="dxa" w:w="100"/>
              <w:left w:type="dxa" w:w="120"/>
              <w:bottom w:type="dxa" w:w="100"/>
              <w:right w:type="dxa" w:w="120"/>
            </w:tcMar>
            <w:vAlign w:val="center"/>
          </w:tcPr>
          <w:p>
            <w:r>
              <w:rPr>
                <w:b/>
                <w:bCs/>
                <w:color w:val="FFFFFF"/>
                <w:sz w:val="20"/>
                <w:szCs w:val="20"/>
              </w:rPr>
              <w:t xml:space="preserve">Test</w:t>
            </w:r>
          </w:p>
        </w:tc>
        <w:tc>
          <w:tcPr>
            <w:tcW w:type="dxa" w:w="1996"/>
            <w:shd w:fill="1F3A5F" w:val="clear"/>
            <w:tcMar>
              <w:top w:type="dxa" w:w="100"/>
              <w:left w:type="dxa" w:w="120"/>
              <w:bottom w:type="dxa" w:w="100"/>
              <w:right w:type="dxa" w:w="120"/>
            </w:tcMar>
            <w:vAlign w:val="center"/>
          </w:tcPr>
          <w:p>
            <w:r>
              <w:rPr>
                <w:b/>
                <w:bCs/>
                <w:color w:val="FFFFFF"/>
                <w:sz w:val="20"/>
                <w:szCs w:val="20"/>
              </w:rPr>
              <w:t xml:space="preserve">Type</w:t>
            </w:r>
          </w:p>
        </w:tc>
        <w:tc>
          <w:tcPr>
            <w:tcW w:type="dxa" w:w="1270"/>
            <w:shd w:fill="1F3A5F" w:val="clear"/>
            <w:tcMar>
              <w:top w:type="dxa" w:w="100"/>
              <w:left w:type="dxa" w:w="120"/>
              <w:bottom w:type="dxa" w:w="100"/>
              <w:right w:type="dxa" w:w="120"/>
            </w:tcMar>
            <w:vAlign w:val="center"/>
          </w:tcPr>
          <w:p>
            <w:r>
              <w:rPr>
                <w:b/>
                <w:bCs/>
                <w:color w:val="FFFFFF"/>
                <w:sz w:val="20"/>
                <w:szCs w:val="20"/>
              </w:rPr>
              <w:t xml:space="preserve">Incident couvert</w:t>
            </w:r>
          </w:p>
        </w:tc>
        <w:tc>
          <w:tcPr>
            <w:tcW w:type="dxa" w:w="3629"/>
            <w:shd w:fill="1F3A5F" w:val="clear"/>
            <w:tcMar>
              <w:top w:type="dxa" w:w="100"/>
              <w:left w:type="dxa" w:w="120"/>
              <w:bottom w:type="dxa" w:w="100"/>
              <w:right w:type="dxa" w:w="120"/>
            </w:tcMar>
            <w:vAlign w:val="center"/>
          </w:tcPr>
          <w:p>
            <w:r>
              <w:rPr>
                <w:b/>
                <w:bCs/>
                <w:color w:val="FFFFFF"/>
                <w:sz w:val="20"/>
                <w:szCs w:val="20"/>
              </w:rPr>
              <w:t xml:space="preserve">Ce qu’il vérifie</w:t>
            </w:r>
          </w:p>
        </w:tc>
      </w:tr>
      <w:tr>
        <w:tc>
          <w:tcPr>
            <w:tcW w:type="dxa" w:w="2177"/>
            <w:shd w:fill="FFFFFF" w:val="clear"/>
            <w:tcMar>
              <w:top w:type="dxa" w:w="90"/>
              <w:left w:type="dxa" w:w="120"/>
              <w:bottom w:type="dxa" w:w="90"/>
              <w:right w:type="dxa" w:w="120"/>
            </w:tcMar>
          </w:tcPr>
          <w:p>
            <w:pPr>
              <w:spacing w:after="0"/>
            </w:pPr>
            <w:r>
              <w:rPr>
                <w:sz w:val="20"/>
                <w:szCs w:val="20"/>
              </w:rPr>
              <w:t xml:space="preserve">CandidatureRepositoryTest</w:t>
            </w:r>
          </w:p>
        </w:tc>
        <w:tc>
          <w:tcPr>
            <w:tcW w:type="dxa" w:w="1996"/>
            <w:shd w:fill="FFFFFF" w:val="clear"/>
            <w:tcMar>
              <w:top w:type="dxa" w:w="90"/>
              <w:left w:type="dxa" w:w="120"/>
              <w:bottom w:type="dxa" w:w="90"/>
              <w:right w:type="dxa" w:w="120"/>
            </w:tcMar>
          </w:tcPr>
          <w:p>
            <w:pPr>
              <w:spacing w:after="0"/>
            </w:pPr>
            <w:r>
              <w:rPr>
                <w:sz w:val="20"/>
                <w:szCs w:val="20"/>
              </w:rPr>
              <w:t xml:space="preserve">Intégration (@DataJpaTest, H2)</w:t>
            </w:r>
          </w:p>
        </w:tc>
        <w:tc>
          <w:tcPr>
            <w:tcW w:type="dxa" w:w="1270"/>
            <w:shd w:fill="FFFFFF" w:val="clear"/>
            <w:tcMar>
              <w:top w:type="dxa" w:w="90"/>
              <w:left w:type="dxa" w:w="120"/>
              <w:bottom w:type="dxa" w:w="90"/>
              <w:right w:type="dxa" w:w="120"/>
            </w:tcMar>
          </w:tcPr>
          <w:p>
            <w:pPr>
              <w:spacing w:after="0"/>
            </w:pPr>
            <w:r>
              <w:rPr>
                <w:sz w:val="20"/>
                <w:szCs w:val="20"/>
              </w:rPr>
              <w:t xml:space="preserve">8.2 / 8.3</w:t>
            </w:r>
          </w:p>
        </w:tc>
        <w:tc>
          <w:tcPr>
            <w:tcW w:type="dxa" w:w="3629"/>
            <w:shd w:fill="FFFFFF" w:val="clear"/>
            <w:tcMar>
              <w:top w:type="dxa" w:w="90"/>
              <w:left w:type="dxa" w:w="120"/>
              <w:bottom w:type="dxa" w:w="90"/>
              <w:right w:type="dxa" w:w="120"/>
            </w:tcMar>
          </w:tcPr>
          <w:p>
            <w:pPr>
              <w:spacing w:after="0"/>
            </w:pPr>
            <w:r>
              <w:rPr>
                <w:sz w:val="20"/>
                <w:szCs w:val="20"/>
              </w:rPr>
              <w:t xml:space="preserve">Une seule requête SQL (via les statistiques Hibernate) pour charger une liste de candidatures avec leurs associations — preuve que l’@EntityGraph empêche le N+1</w:t>
            </w:r>
          </w:p>
        </w:tc>
      </w:tr>
      <w:tr>
        <w:tc>
          <w:tcPr>
            <w:tcW w:type="dxa" w:w="2177"/>
            <w:shd w:fill="F4F7FB" w:val="clear"/>
            <w:tcMar>
              <w:top w:type="dxa" w:w="90"/>
              <w:left w:type="dxa" w:w="120"/>
              <w:bottom w:type="dxa" w:w="90"/>
              <w:right w:type="dxa" w:w="120"/>
            </w:tcMar>
          </w:tcPr>
          <w:p>
            <w:pPr>
              <w:spacing w:after="0"/>
            </w:pPr>
            <w:r>
              <w:rPr>
                <w:sz w:val="20"/>
                <w:szCs w:val="20"/>
              </w:rPr>
              <w:t xml:space="preserve">SoutenanceRepositoryTest</w:t>
            </w:r>
          </w:p>
        </w:tc>
        <w:tc>
          <w:tcPr>
            <w:tcW w:type="dxa" w:w="1996"/>
            <w:shd w:fill="F4F7FB" w:val="clear"/>
            <w:tcMar>
              <w:top w:type="dxa" w:w="90"/>
              <w:left w:type="dxa" w:w="120"/>
              <w:bottom w:type="dxa" w:w="90"/>
              <w:right w:type="dxa" w:w="120"/>
            </w:tcMar>
          </w:tcPr>
          <w:p>
            <w:pPr>
              <w:spacing w:after="0"/>
            </w:pPr>
            <w:r>
              <w:rPr>
                <w:sz w:val="20"/>
                <w:szCs w:val="20"/>
              </w:rPr>
              <w:t xml:space="preserve">Intégration (@DataJpaTest, H2)</w:t>
            </w:r>
          </w:p>
        </w:tc>
        <w:tc>
          <w:tcPr>
            <w:tcW w:type="dxa" w:w="1270"/>
            <w:shd w:fill="F4F7FB" w:val="clear"/>
            <w:tcMar>
              <w:top w:type="dxa" w:w="90"/>
              <w:left w:type="dxa" w:w="120"/>
              <w:bottom w:type="dxa" w:w="90"/>
              <w:right w:type="dxa" w:w="120"/>
            </w:tcMar>
          </w:tcPr>
          <w:p>
            <w:pPr>
              <w:spacing w:after="0"/>
            </w:pPr>
            <w:r>
              <w:rPr>
                <w:sz w:val="20"/>
                <w:szCs w:val="20"/>
              </w:rPr>
              <w:t xml:space="preserve">8.4</w:t>
            </w:r>
          </w:p>
        </w:tc>
        <w:tc>
          <w:tcPr>
            <w:tcW w:type="dxa" w:w="3629"/>
            <w:shd w:fill="F4F7FB" w:val="clear"/>
            <w:tcMar>
              <w:top w:type="dxa" w:w="90"/>
              <w:left w:type="dxa" w:w="120"/>
              <w:bottom w:type="dxa" w:w="90"/>
              <w:right w:type="dxa" w:w="120"/>
            </w:tcMar>
          </w:tcPr>
          <w:p>
            <w:pPr>
              <w:spacing w:after="0"/>
            </w:pPr>
            <w:r>
              <w:rPr>
                <w:sz w:val="20"/>
                <w:szCs w:val="20"/>
              </w:rPr>
              <w:t xml:space="preserve">Le champ jury reste lisible après détachement de la session — preuve que le FetchType.EAGER n’est plus silencieusement désactivé</w:t>
            </w:r>
          </w:p>
        </w:tc>
      </w:tr>
      <w:tr>
        <w:tc>
          <w:tcPr>
            <w:tcW w:type="dxa" w:w="2177"/>
            <w:shd w:fill="FFFFFF" w:val="clear"/>
            <w:tcMar>
              <w:top w:type="dxa" w:w="90"/>
              <w:left w:type="dxa" w:w="120"/>
              <w:bottom w:type="dxa" w:w="90"/>
              <w:right w:type="dxa" w:w="120"/>
            </w:tcMar>
          </w:tcPr>
          <w:p>
            <w:pPr>
              <w:spacing w:after="0"/>
            </w:pPr>
            <w:r>
              <w:rPr>
                <w:sz w:val="20"/>
                <w:szCs w:val="20"/>
              </w:rPr>
              <w:t xml:space="preserve">PreselectionServiceTest</w:t>
            </w:r>
          </w:p>
        </w:tc>
        <w:tc>
          <w:tcPr>
            <w:tcW w:type="dxa" w:w="1996"/>
            <w:shd w:fill="FFFFFF" w:val="clear"/>
            <w:tcMar>
              <w:top w:type="dxa" w:w="90"/>
              <w:left w:type="dxa" w:w="120"/>
              <w:bottom w:type="dxa" w:w="90"/>
              <w:right w:type="dxa" w:w="120"/>
            </w:tcMar>
          </w:tcPr>
          <w:p>
            <w:pPr>
              <w:spacing w:after="0"/>
            </w:pPr>
            <w:r>
              <w:rPr>
                <w:sz w:val="20"/>
                <w:szCs w:val="20"/>
              </w:rPr>
              <w:t xml:space="preserve">Unitaire (Mockito, 4 cas)</w:t>
            </w:r>
          </w:p>
        </w:tc>
        <w:tc>
          <w:tcPr>
            <w:tcW w:type="dxa" w:w="1270"/>
            <w:shd w:fill="FFFFFF" w:val="clear"/>
            <w:tcMar>
              <w:top w:type="dxa" w:w="90"/>
              <w:left w:type="dxa" w:w="120"/>
              <w:bottom w:type="dxa" w:w="90"/>
              <w:right w:type="dxa" w:w="120"/>
            </w:tcMar>
          </w:tcPr>
          <w:p>
            <w:pPr>
              <w:spacing w:after="0"/>
            </w:pPr>
            <w:r>
              <w:rPr>
                <w:sz w:val="20"/>
                <w:szCs w:val="20"/>
              </w:rPr>
              <w:t xml:space="preserve">8.5</w:t>
            </w:r>
          </w:p>
        </w:tc>
        <w:tc>
          <w:tcPr>
            <w:tcW w:type="dxa" w:w="3629"/>
            <w:shd w:fill="FFFFFF" w:val="clear"/>
            <w:tcMar>
              <w:top w:type="dxa" w:w="90"/>
              <w:left w:type="dxa" w:w="120"/>
              <w:bottom w:type="dxa" w:w="90"/>
              <w:right w:type="dxa" w:w="120"/>
            </w:tcMar>
          </w:tcPr>
          <w:p>
            <w:pPr>
              <w:spacing w:after="0"/>
            </w:pPr>
            <w:r>
              <w:rPr>
                <w:sz w:val="20"/>
                <w:szCs w:val="20"/>
              </w:rPr>
              <w:t xml:space="preserve">Une réponse Groq tronquée ou non-JSON lève IAServiceException au lieu de planter brutalement ; une réponse valide (y compris encadrée de balises markdown) est bien parsée</w:t>
            </w:r>
          </w:p>
        </w:tc>
      </w:tr>
    </w:tbl>
    <w:tbl>
      <w:tblPr>
        <w:tblW w:type="pct" w:w="5000"/>
        <w:tblBorders>
          <w:top w:val="single" w:color="1E7A34" w:sz="4"/>
          <w:left w:val="single" w:color="1E7A34" w:sz="24"/>
          <w:bottom w:val="single" w:color="1E7A34" w:sz="4"/>
          <w:right w:val="single" w:color="1E7A34" w:sz="4"/>
          <w:insideH w:val="single" w:color="auto" w:sz="4"/>
          <w:insideV w:val="single" w:color="auto" w:sz="4"/>
        </w:tblBorders>
      </w:tblPr>
      <w:tblGrid>
        <w:gridCol w:w="9638"/>
      </w:tblGrid>
      <w:tr>
        <w:tc>
          <w:tcPr>
            <w:shd w:fill="F2FAF4" w:val="clear"/>
            <w:tcMar>
              <w:top w:type="dxa" w:w="120"/>
              <w:left w:type="dxa" w:w="200"/>
              <w:bottom w:type="dxa" w:w="120"/>
              <w:right w:type="dxa" w:w="200"/>
            </w:tcMar>
          </w:tcPr>
          <w:p>
            <w:pPr>
              <w:spacing w:after="0"/>
            </w:pPr>
            <w:r>
              <w:rPr>
                <w:b/>
                <w:bCs/>
                <w:color w:val="1E7A34"/>
                <w:sz w:val="21"/>
                <w:szCs w:val="21"/>
              </w:rPr>
              <w:t xml:space="preserve">Résultat : </w:t>
            </w:r>
            <w:r>
              <w:rPr>
                <w:sz w:val="21"/>
                <w:szCs w:val="21"/>
              </w:rPr>
              <w:t xml:space="preserve">7 tests au total (3 nouveaux + 4 cas dans PreselectionServiceTest), 100% de réussite (mvn test → BUILD SUCCESS).</w:t>
            </w:r>
          </w:p>
        </w:tc>
      </w:tr>
    </w:tbl>
    <w:tbl>
      <w:tblPr>
        <w:tblW w:type="pct" w:w="5000"/>
        <w:tblBorders>
          <w:top w:val="single" w:color="2563EB" w:sz="4"/>
          <w:left w:val="single" w:color="2563EB" w:sz="24"/>
          <w:bottom w:val="single" w:color="2563EB" w:sz="4"/>
          <w:right w:val="single" w:color="2563EB" w:sz="4"/>
          <w:insideH w:val="single" w:color="auto" w:sz="4"/>
          <w:insideV w:val="single" w:color="auto" w:sz="4"/>
        </w:tblBorders>
      </w:tblPr>
      <w:tblGrid>
        <w:gridCol w:w="9638"/>
      </w:tblGrid>
      <w:tr>
        <w:tc>
          <w:tcPr>
            <w:shd w:fill="EAF1FB" w:val="clear"/>
            <w:tcMar>
              <w:top w:type="dxa" w:w="150"/>
              <w:left w:type="dxa" w:w="200"/>
              <w:bottom w:type="dxa" w:w="150"/>
              <w:right w:type="dxa" w:w="200"/>
            </w:tcMar>
          </w:tcPr>
          <w:p>
            <w:pPr>
              <w:spacing w:after="0"/>
            </w:pPr>
            <w:r>
              <w:rPr>
                <w:b/>
                <w:bCs/>
                <w:color w:val="B42318"/>
                <w:sz w:val="22"/>
                <w:szCs w:val="22"/>
              </w:rPr>
              <w:t xml:space="preserve">Limite restante : </w:t>
            </w:r>
            <w:r>
              <w:rPr>
                <w:sz w:val="22"/>
                <w:szCs w:val="22"/>
              </w:rPr>
              <w:t xml:space="preserve">la couverture reste partielle — l’incident 8.1 (UnexpectedRollbackException) et les mesures de temps de réponse elles-mêmes ne sont pas testées automatiquement. L’axe d’amélioration en section 9.2 et en conclusion est donc affiné, pas clos.</w:t>
            </w:r>
          </w:p>
        </w:tc>
      </w:tr>
    </w:tbl>
    <w:p>
      <w:r>
        <w:br w:type="page"/>
      </w:r>
    </w:p>
    <w:p>
      <w:pPr>
        <w:pStyle w:val="Heading1"/>
        <w:pBdr>
          <w:bottom w:val="single" w:color="1F3A5F" w:sz="12" w:space="4"/>
        </w:pBdr>
        <w:spacing w:after="240" w:before="480"/>
      </w:pPr>
      <w:r>
        <w:rPr>
          <w:b/>
          <w:bCs/>
          <w:color w:val="1F3A5F"/>
          <w:sz w:val="32"/>
          <w:szCs w:val="32"/>
        </w:rPr>
        <w:t xml:space="preserve">9. Optimisation, performance et limites du modèle IA</w:t>
      </w:r>
    </w:p>
    <w:p>
      <w:pPr>
        <w:pStyle w:val="Heading2"/>
        <w:spacing w:after="180" w:before="360"/>
      </w:pPr>
      <w:r>
        <w:rPr>
          <w:b/>
          <w:bCs/>
          <w:color w:val="2563EB"/>
          <w:sz w:val="26"/>
          <w:szCs w:val="26"/>
        </w:rPr>
        <w:t xml:space="preserve">9.1 Techniques d’adaptation réellement appliquées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2"/>
        <w:gridCol w:w="6350"/>
      </w:tblGrid>
      <w:tr>
        <w:trPr>
          <w:tblHeader/>
        </w:trPr>
        <w:tc>
          <w:tcPr>
            <w:tcW w:type="dxa" w:w="2722"/>
            <w:shd w:fill="1F3A5F" w:val="clear"/>
            <w:tcMar>
              <w:top w:type="dxa" w:w="100"/>
              <w:left w:type="dxa" w:w="120"/>
              <w:bottom w:type="dxa" w:w="100"/>
              <w:right w:type="dxa" w:w="120"/>
            </w:tcMar>
            <w:vAlign w:val="center"/>
          </w:tcPr>
          <w:p>
            <w:r>
              <w:rPr>
                <w:b/>
                <w:bCs/>
                <w:color w:val="FFFFFF"/>
                <w:sz w:val="20"/>
                <w:szCs w:val="20"/>
              </w:rPr>
              <w:t xml:space="preserve">Technique</w:t>
            </w:r>
          </w:p>
        </w:tc>
        <w:tc>
          <w:tcPr>
            <w:tcW w:type="dxa" w:w="6350"/>
            <w:shd w:fill="1F3A5F" w:val="clear"/>
            <w:tcMar>
              <w:top w:type="dxa" w:w="100"/>
              <w:left w:type="dxa" w:w="120"/>
              <w:bottom w:type="dxa" w:w="100"/>
              <w:right w:type="dxa" w:w="120"/>
            </w:tcMar>
            <w:vAlign w:val="center"/>
          </w:tcPr>
          <w:p>
            <w:r>
              <w:rPr>
                <w:b/>
                <w:bCs/>
                <w:color w:val="FFFFFF"/>
                <w:sz w:val="20"/>
                <w:szCs w:val="20"/>
              </w:rPr>
              <w:t xml:space="preserve">Application concrète dans le projet</w:t>
            </w:r>
          </w:p>
        </w:tc>
      </w:tr>
      <w:tr>
        <w:tc>
          <w:tcPr>
            <w:tcW w:type="dxa" w:w="2722"/>
            <w:shd w:fill="FFFFFF" w:val="clear"/>
            <w:tcMar>
              <w:top w:type="dxa" w:w="90"/>
              <w:left w:type="dxa" w:w="120"/>
              <w:bottom w:type="dxa" w:w="90"/>
              <w:right w:type="dxa" w:w="120"/>
            </w:tcMar>
          </w:tcPr>
          <w:p>
            <w:pPr>
              <w:spacing w:after="0"/>
            </w:pPr>
            <w:r>
              <w:rPr>
                <w:sz w:val="20"/>
                <w:szCs w:val="20"/>
              </w:rPr>
              <w:t xml:space="preserve">Comparaison de modèles</w:t>
            </w:r>
          </w:p>
        </w:tc>
        <w:tc>
          <w:tcPr>
            <w:tcW w:type="dxa" w:w="6350"/>
            <w:shd w:fill="FFFFFF" w:val="clear"/>
            <w:tcMar>
              <w:top w:type="dxa" w:w="90"/>
              <w:left w:type="dxa" w:w="120"/>
              <w:bottom w:type="dxa" w:w="90"/>
              <w:right w:type="dxa" w:w="120"/>
            </w:tcMar>
          </w:tcPr>
          <w:p>
            <w:pPr>
              <w:spacing w:after="0"/>
            </w:pPr>
            <w:r>
              <w:rPr>
                <w:sz w:val="20"/>
                <w:szCs w:val="20"/>
              </w:rPr>
              <w:t xml:space="preserve">Gemini → Groq llama-3.3-70b-versatile (404) → Groq openai/gpt-oss-120b (retenu), chaque étape validée par appel direct à l’API avant intégration dans le code</w:t>
            </w:r>
          </w:p>
        </w:tc>
      </w:tr>
      <w:tr>
        <w:tc>
          <w:tcPr>
            <w:tcW w:type="dxa" w:w="2722"/>
            <w:shd w:fill="F4F7FB" w:val="clear"/>
            <w:tcMar>
              <w:top w:type="dxa" w:w="90"/>
              <w:left w:type="dxa" w:w="120"/>
              <w:bottom w:type="dxa" w:w="90"/>
              <w:right w:type="dxa" w:w="120"/>
            </w:tcMar>
          </w:tcPr>
          <w:p>
            <w:pPr>
              <w:spacing w:after="0"/>
            </w:pPr>
            <w:r>
              <w:rPr>
                <w:sz w:val="20"/>
                <w:szCs w:val="20"/>
              </w:rPr>
              <w:t xml:space="preserve">Réglage des paramètres de génération</w:t>
            </w:r>
          </w:p>
        </w:tc>
        <w:tc>
          <w:tcPr>
            <w:tcW w:type="dxa" w:w="6350"/>
            <w:shd w:fill="F4F7FB" w:val="clear"/>
            <w:tcMar>
              <w:top w:type="dxa" w:w="90"/>
              <w:left w:type="dxa" w:w="120"/>
              <w:bottom w:type="dxa" w:w="90"/>
              <w:right w:type="dxa" w:w="120"/>
            </w:tcMar>
          </w:tcPr>
          <w:p>
            <w:pPr>
              <w:spacing w:after="0"/>
            </w:pPr>
            <w:r>
              <w:rPr>
                <w:sz w:val="20"/>
                <w:szCs w:val="20"/>
              </w:rPr>
              <w:t xml:space="preserve">reasoning_effort="low" et max_tokens=2048, réglés après observation du champ usage.completion_tokens_details.reasoning_tokens (section 7.2 et 8.5)</w:t>
            </w:r>
          </w:p>
        </w:tc>
      </w:tr>
      <w:tr>
        <w:tc>
          <w:tcPr>
            <w:tcW w:type="dxa" w:w="2722"/>
            <w:shd w:fill="FFFFFF" w:val="clear"/>
            <w:tcMar>
              <w:top w:type="dxa" w:w="90"/>
              <w:left w:type="dxa" w:w="120"/>
              <w:bottom w:type="dxa" w:w="90"/>
              <w:right w:type="dxa" w:w="120"/>
            </w:tcMar>
          </w:tcPr>
          <w:p>
            <w:pPr>
              <w:spacing w:after="0"/>
            </w:pPr>
            <w:r>
              <w:rPr>
                <w:sz w:val="20"/>
                <w:szCs w:val="20"/>
              </w:rPr>
              <w:t xml:space="preserve">Réduction de la latence perçue</w:t>
            </w:r>
          </w:p>
        </w:tc>
        <w:tc>
          <w:tcPr>
            <w:tcW w:type="dxa" w:w="6350"/>
            <w:shd w:fill="FFFFFF" w:val="clear"/>
            <w:tcMar>
              <w:top w:type="dxa" w:w="90"/>
              <w:left w:type="dxa" w:w="120"/>
              <w:bottom w:type="dxa" w:w="90"/>
              <w:right w:type="dxa" w:w="120"/>
            </w:tcMar>
          </w:tcPr>
          <w:p>
            <w:pPr>
              <w:spacing w:after="0"/>
            </w:pPr>
            <w:r>
              <w:rPr>
                <w:sz w:val="20"/>
                <w:szCs w:val="20"/>
              </w:rPr>
              <w:t xml:space="preserve">Retry automatique avec backoff progressif (3 tentatives, délai croissant) uniquement sur les erreurs 503 (surcharge temporaire du fournisseur)</w:t>
            </w:r>
          </w:p>
        </w:tc>
      </w:tr>
      <w:tr>
        <w:tc>
          <w:tcPr>
            <w:tcW w:type="dxa" w:w="2722"/>
            <w:shd w:fill="F4F7FB" w:val="clear"/>
            <w:tcMar>
              <w:top w:type="dxa" w:w="90"/>
              <w:left w:type="dxa" w:w="120"/>
              <w:bottom w:type="dxa" w:w="90"/>
              <w:right w:type="dxa" w:w="120"/>
            </w:tcMar>
          </w:tcPr>
          <w:p>
            <w:pPr>
              <w:spacing w:after="0"/>
            </w:pPr>
            <w:r>
              <w:rPr>
                <w:sz w:val="20"/>
                <w:szCs w:val="20"/>
              </w:rPr>
              <w:t xml:space="preserve">Réduction du risque d’échec</w:t>
            </w:r>
          </w:p>
        </w:tc>
        <w:tc>
          <w:tcPr>
            <w:tcW w:type="dxa" w:w="6350"/>
            <w:shd w:fill="F4F7FB" w:val="clear"/>
            <w:tcMar>
              <w:top w:type="dxa" w:w="90"/>
              <w:left w:type="dxa" w:w="120"/>
              <w:bottom w:type="dxa" w:w="90"/>
              <w:right w:type="dxa" w:w="120"/>
            </w:tcMar>
          </w:tcPr>
          <w:p>
            <w:pPr>
              <w:spacing w:after="0"/>
            </w:pPr>
            <w:r>
              <w:rPr>
                <w:sz w:val="20"/>
                <w:szCs w:val="20"/>
              </w:rPr>
              <w:t xml:space="preserve">Centralisation de tous les appels IA dans LlmService avec conversion systématique des erreurs en IAServiceException, empêchant qu’un échec IA ne bloque une opération métier (ex. dépôt de rapport)</w:t>
            </w:r>
          </w:p>
        </w:tc>
      </w:tr>
    </w:tbl>
    <w:p>
      <w:pPr>
        <w:pStyle w:val="Heading2"/>
        <w:spacing w:after="180" w:before="360"/>
      </w:pPr>
      <w:r>
        <w:rPr>
          <w:b/>
          <w:bCs/>
          <w:color w:val="2563EB"/>
          <w:sz w:val="26"/>
          <w:szCs w:val="26"/>
        </w:rPr>
        <w:t xml:space="preserve">9.2 Techniques non appliquées, assumées comme limites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40"/>
        <w:gridCol w:w="6532"/>
      </w:tblGrid>
      <w:tr>
        <w:trPr>
          <w:tblHeader/>
        </w:trPr>
        <w:tc>
          <w:tcPr>
            <w:tcW w:type="dxa" w:w="2540"/>
            <w:shd w:fill="1F3A5F" w:val="clear"/>
            <w:tcMar>
              <w:top w:type="dxa" w:w="100"/>
              <w:left w:type="dxa" w:w="120"/>
              <w:bottom w:type="dxa" w:w="100"/>
              <w:right w:type="dxa" w:w="120"/>
            </w:tcMar>
            <w:vAlign w:val="center"/>
          </w:tcPr>
          <w:p>
            <w:r>
              <w:rPr>
                <w:b/>
                <w:bCs/>
                <w:color w:val="FFFFFF"/>
                <w:sz w:val="20"/>
                <w:szCs w:val="20"/>
              </w:rPr>
              <w:t xml:space="preserve">Technique</w:t>
            </w:r>
          </w:p>
        </w:tc>
        <w:tc>
          <w:tcPr>
            <w:tcW w:type="dxa" w:w="6532"/>
            <w:shd w:fill="1F3A5F" w:val="clear"/>
            <w:tcMar>
              <w:top w:type="dxa" w:w="100"/>
              <w:left w:type="dxa" w:w="120"/>
              <w:bottom w:type="dxa" w:w="100"/>
              <w:right w:type="dxa" w:w="120"/>
            </w:tcMar>
            <w:vAlign w:val="center"/>
          </w:tcPr>
          <w:p>
            <w:r>
              <w:rPr>
                <w:b/>
                <w:bCs/>
                <w:color w:val="FFFFFF"/>
                <w:sz w:val="20"/>
                <w:szCs w:val="20"/>
              </w:rPr>
              <w:t xml:space="preserve">Pourquoi elle n’est pas (encore) utilisée</w:t>
            </w:r>
          </w:p>
        </w:tc>
      </w:tr>
      <w:tr>
        <w:tc>
          <w:tcPr>
            <w:tcW w:type="dxa" w:w="2540"/>
            <w:shd w:fill="FFFFFF" w:val="clear"/>
            <w:tcMar>
              <w:top w:type="dxa" w:w="90"/>
              <w:left w:type="dxa" w:w="120"/>
              <w:bottom w:type="dxa" w:w="90"/>
              <w:right w:type="dxa" w:w="120"/>
            </w:tcMar>
          </w:tcPr>
          <w:p>
            <w:pPr>
              <w:spacing w:after="0"/>
            </w:pPr>
            <w:r>
              <w:rPr>
                <w:sz w:val="20"/>
                <w:szCs w:val="20"/>
              </w:rPr>
              <w:t xml:space="preserve">RAG (retrieval-augmented generation)</w:t>
            </w:r>
          </w:p>
        </w:tc>
        <w:tc>
          <w:tcPr>
            <w:tcW w:type="dxa" w:w="6532"/>
            <w:shd w:fill="FFFFFF" w:val="clear"/>
            <w:tcMar>
              <w:top w:type="dxa" w:w="90"/>
              <w:left w:type="dxa" w:w="120"/>
              <w:bottom w:type="dxa" w:w="90"/>
              <w:right w:type="dxa" w:w="120"/>
            </w:tcMar>
          </w:tcPr>
          <w:p>
            <w:pPr>
              <w:spacing w:after="0"/>
            </w:pPr>
            <w:r>
              <w:rPr>
                <w:sz w:val="20"/>
                <w:szCs w:val="20"/>
              </w:rPr>
              <w:t xml:space="preserve">Non pertinent pour la taille actuelle des données (quelques rapports par étudiant) ; deviendrait utile si le volume de documents à interroger augmentait fortement</w:t>
            </w:r>
          </w:p>
        </w:tc>
      </w:tr>
      <w:tr>
        <w:tc>
          <w:tcPr>
            <w:tcW w:type="dxa" w:w="2540"/>
            <w:shd w:fill="F4F7FB" w:val="clear"/>
            <w:tcMar>
              <w:top w:type="dxa" w:w="90"/>
              <w:left w:type="dxa" w:w="120"/>
              <w:bottom w:type="dxa" w:w="90"/>
              <w:right w:type="dxa" w:w="120"/>
            </w:tcMar>
          </w:tcPr>
          <w:p>
            <w:pPr>
              <w:spacing w:after="0"/>
            </w:pPr>
            <w:r>
              <w:rPr>
                <w:sz w:val="20"/>
                <w:szCs w:val="20"/>
              </w:rPr>
              <w:t xml:space="preserve">Fine-tuning</w:t>
            </w:r>
          </w:p>
        </w:tc>
        <w:tc>
          <w:tcPr>
            <w:tcW w:type="dxa" w:w="6532"/>
            <w:shd w:fill="F4F7FB" w:val="clear"/>
            <w:tcMar>
              <w:top w:type="dxa" w:w="90"/>
              <w:left w:type="dxa" w:w="120"/>
              <w:bottom w:type="dxa" w:w="90"/>
              <w:right w:type="dxa" w:w="120"/>
            </w:tcMar>
          </w:tcPr>
          <w:p>
            <w:pPr>
              <w:spacing w:after="0"/>
            </w:pPr>
            <w:r>
              <w:rPr>
                <w:sz w:val="20"/>
                <w:szCs w:val="20"/>
              </w:rPr>
              <w:t xml:space="preserve">Hors de portée d’un tier gratuit Groq et non nécessaire : les prompts système suffisent pour les tâches actuelles (résumé, score, classification)</w:t>
            </w:r>
          </w:p>
        </w:tc>
      </w:tr>
      <w:tr>
        <w:tc>
          <w:tcPr>
            <w:tcW w:type="dxa" w:w="2540"/>
            <w:shd w:fill="FFFFFF" w:val="clear"/>
            <w:tcMar>
              <w:top w:type="dxa" w:w="90"/>
              <w:left w:type="dxa" w:w="120"/>
              <w:bottom w:type="dxa" w:w="90"/>
              <w:right w:type="dxa" w:w="120"/>
            </w:tcMar>
          </w:tcPr>
          <w:p>
            <w:pPr>
              <w:spacing w:after="0"/>
            </w:pPr>
            <w:r>
              <w:rPr>
                <w:sz w:val="20"/>
                <w:szCs w:val="20"/>
              </w:rPr>
              <w:t xml:space="preserve">Cache des réponses IA</w:t>
            </w:r>
          </w:p>
        </w:tc>
        <w:tc>
          <w:tcPr>
            <w:tcW w:type="dxa" w:w="6532"/>
            <w:shd w:fill="FFFFFF" w:val="clear"/>
            <w:tcMar>
              <w:top w:type="dxa" w:w="90"/>
              <w:left w:type="dxa" w:w="120"/>
              <w:bottom w:type="dxa" w:w="90"/>
              <w:right w:type="dxa" w:w="120"/>
            </w:tcMar>
          </w:tcPr>
          <w:p>
            <w:pPr>
              <w:spacing w:after="0"/>
            </w:pPr>
            <w:r>
              <w:rPr>
                <w:sz w:val="20"/>
                <w:szCs w:val="20"/>
              </w:rPr>
              <w:t xml:space="preserve">Non implémenté — chaque appel (même répété avec un contenu identique) interroge Groq à nouveau. Axe d’amélioration identifié pour réduire coût et latence sur les relances répétées</w:t>
            </w:r>
          </w:p>
        </w:tc>
      </w:tr>
      <w:tr>
        <w:tc>
          <w:tcPr>
            <w:tcW w:type="dxa" w:w="2540"/>
            <w:shd w:fill="F4F7FB" w:val="clear"/>
            <w:tcMar>
              <w:top w:type="dxa" w:w="90"/>
              <w:left w:type="dxa" w:w="120"/>
              <w:bottom w:type="dxa" w:w="90"/>
              <w:right w:type="dxa" w:w="120"/>
            </w:tcMar>
          </w:tcPr>
          <w:p>
            <w:pPr>
              <w:spacing w:after="0"/>
            </w:pPr>
            <w:r>
              <w:rPr>
                <w:sz w:val="20"/>
                <w:szCs w:val="20"/>
              </w:rPr>
              <w:t xml:space="preserve">Traitement asynchrone / file d’attente</w:t>
            </w:r>
          </w:p>
        </w:tc>
        <w:tc>
          <w:tcPr>
            <w:tcW w:type="dxa" w:w="6532"/>
            <w:shd w:fill="F4F7FB" w:val="clear"/>
            <w:tcMar>
              <w:top w:type="dxa" w:w="90"/>
              <w:left w:type="dxa" w:w="120"/>
              <w:bottom w:type="dxa" w:w="90"/>
              <w:right w:type="dxa" w:w="120"/>
            </w:tcMar>
          </w:tcPr>
          <w:p>
            <w:pPr>
              <w:spacing w:after="0"/>
            </w:pPr>
            <w:r>
              <w:rPr>
                <w:sz w:val="20"/>
                <w:szCs w:val="20"/>
              </w:rPr>
              <w:t xml:space="preserve">Les appels IA sont synchrones (section 5.5). Acceptable aux volumes actuels mais ne passerait pas à l’échelle sans file d’attente (Redis/RabbitMQ, prévue dans l’architecture cible)</w:t>
            </w:r>
          </w:p>
        </w:tc>
      </w:tr>
    </w:tbl>
    <w:p>
      <w:pPr>
        <w:pStyle w:val="Heading2"/>
        <w:spacing w:after="180" w:before="360"/>
      </w:pPr>
      <w:r>
        <w:rPr>
          <w:b/>
          <w:bCs/>
          <w:color w:val="2563EB"/>
          <w:sz w:val="26"/>
          <w:szCs w:val="26"/>
        </w:rPr>
        <w:t xml:space="preserve">9.3 Limites éthiques et techniques</w:t>
      </w:r>
    </w:p>
    <w:p>
      <w:pPr>
        <w:pStyle w:val="ListParagraph"/>
        <w:numPr>
          <w:ilvl w:val="0"/>
          <w:numId w:val="2"/>
        </w:numPr>
        <w:spacing w:after="100"/>
      </w:pPr>
      <w:r>
        <w:rPr>
          <w:b/>
          <w:bCs/>
          <w:sz w:val="22"/>
          <w:szCs w:val="22"/>
        </w:rPr>
        <w:t xml:space="preserve">Confidentialité des données étudiantes : </w:t>
      </w:r>
      <w:r>
        <w:rPr>
          <w:sz w:val="22"/>
          <w:szCs w:val="22"/>
        </w:rPr>
        <w:t xml:space="preserve">le contenu des rapports de stage (parfois des informations personnelles sur des difficultés d’un étudiant) est transmis tel quel à un tiers externe (Groq). Aucune anonymisation n’est actuellement appliquée avant l’envoi — point à traiter avant tout déploiement réel en établissement.</w:t>
      </w:r>
    </w:p>
    <w:p>
      <w:pPr>
        <w:pStyle w:val="ListParagraph"/>
        <w:numPr>
          <w:ilvl w:val="0"/>
          <w:numId w:val="2"/>
        </w:numPr>
        <w:spacing w:after="100"/>
      </w:pPr>
      <w:r>
        <w:rPr>
          <w:b/>
          <w:bCs/>
          <w:sz w:val="22"/>
          <w:szCs w:val="22"/>
        </w:rPr>
        <w:t xml:space="preserve">Dépendance à un fournisseur gratuit tiers : </w:t>
      </w:r>
      <w:r>
        <w:rPr>
          <w:sz w:val="22"/>
          <w:szCs w:val="22"/>
        </w:rPr>
        <w:t xml:space="preserve">le tier gratuit de Groq n’offre aucune garantie de disponibilité ni de stabilité des noms de modèles (illustré par la dépréciation déjà rencontrée de llama-3.3-70b-versatile). Une bascule vers un tier payant serait nécessaire pour un usage en production.</w:t>
      </w:r>
    </w:p>
    <w:p>
      <w:pPr>
        <w:pStyle w:val="ListParagraph"/>
        <w:numPr>
          <w:ilvl w:val="0"/>
          <w:numId w:val="2"/>
        </w:numPr>
        <w:spacing w:after="100"/>
      </w:pPr>
      <w:r>
        <w:rPr>
          <w:b/>
          <w:bCs/>
          <w:sz w:val="22"/>
          <w:szCs w:val="22"/>
        </w:rPr>
        <w:t xml:space="preserve">Couverture de tests partielle : </w:t>
      </w:r>
      <w:r>
        <w:rPr>
          <w:sz w:val="22"/>
          <w:szCs w:val="22"/>
        </w:rPr>
        <w:t xml:space="preserve">3 des 6 bugs documentés en section 8 sont désormais couverts par un test de non-régression (section 8.7) ; les 3 autres, dont l’incident le plus visible pour l’utilisateur (8.1), ne le sont pas encore.</w:t>
      </w:r>
    </w:p>
    <w:p>
      <w:pPr>
        <w:pStyle w:val="ListParagraph"/>
        <w:numPr>
          <w:ilvl w:val="0"/>
          <w:numId w:val="2"/>
        </w:numPr>
        <w:spacing w:after="100"/>
      </w:pPr>
      <w:r>
        <w:rPr>
          <w:b/>
          <w:bCs/>
          <w:sz w:val="22"/>
          <w:szCs w:val="22"/>
        </w:rPr>
        <w:t xml:space="preserve">Biais potentiels non évalués : </w:t>
      </w:r>
      <w:r>
        <w:rPr>
          <w:sz w:val="22"/>
          <w:szCs w:val="22"/>
        </w:rPr>
        <w:t xml:space="preserve">les scores générés par l’IA (pré-sélection de candidatures, pertinence de convention) n’ont pas fait l’objet d’une évaluation de biais ; ils doivent rester une aide à la décision et non une décision automatique, ce que l’interface rappelle en laissant la décision finale à l’utilisateur humain dans tous les cas.</w:t>
      </w:r>
    </w:p>
    <w:p>
      <w:r>
        <w:br w:type="page"/>
      </w:r>
    </w:p>
    <w:p>
      <w:pPr>
        <w:pStyle w:val="Heading1"/>
        <w:pBdr>
          <w:bottom w:val="single" w:color="1F3A5F" w:sz="12" w:space="4"/>
        </w:pBdr>
        <w:spacing w:after="240" w:before="480"/>
      </w:pPr>
      <w:r>
        <w:rPr>
          <w:b/>
          <w:bCs/>
          <w:color w:val="1F3A5F"/>
          <w:sz w:val="32"/>
          <w:szCs w:val="32"/>
        </w:rPr>
        <w:t xml:space="preserve">10. Sécurité et gestion des accès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6804"/>
      </w:tblGrid>
      <w:tr>
        <w:trPr>
          <w:tblHeader/>
        </w:trPr>
        <w:tc>
          <w:tcPr>
            <w:tcW w:type="dxa" w:w="2268"/>
            <w:shd w:fill="1F3A5F" w:val="clear"/>
            <w:tcMar>
              <w:top w:type="dxa" w:w="100"/>
              <w:left w:type="dxa" w:w="120"/>
              <w:bottom w:type="dxa" w:w="100"/>
              <w:right w:type="dxa" w:w="120"/>
            </w:tcMar>
            <w:vAlign w:val="center"/>
          </w:tcPr>
          <w:p>
            <w:r>
              <w:rPr>
                <w:b/>
                <w:bCs/>
                <w:color w:val="FFFFFF"/>
                <w:sz w:val="20"/>
                <w:szCs w:val="20"/>
              </w:rPr>
              <w:t xml:space="preserve">Aspect</w:t>
            </w:r>
          </w:p>
        </w:tc>
        <w:tc>
          <w:tcPr>
            <w:tcW w:type="dxa" w:w="6804"/>
            <w:shd w:fill="1F3A5F" w:val="clear"/>
            <w:tcMar>
              <w:top w:type="dxa" w:w="100"/>
              <w:left w:type="dxa" w:w="120"/>
              <w:bottom w:type="dxa" w:w="100"/>
              <w:right w:type="dxa" w:w="120"/>
            </w:tcMar>
            <w:vAlign w:val="center"/>
          </w:tcPr>
          <w:p>
            <w:r>
              <w:rPr>
                <w:b/>
                <w:bCs/>
                <w:color w:val="FFFFFF"/>
                <w:sz w:val="20"/>
                <w:szCs w:val="20"/>
              </w:rPr>
              <w:t xml:space="preserve">État réel dans le projet</w:t>
            </w:r>
          </w:p>
        </w:tc>
      </w:tr>
      <w:tr>
        <w:tc>
          <w:tcPr>
            <w:tcW w:type="dxa" w:w="2268"/>
            <w:shd w:fill="FFFFFF" w:val="clear"/>
            <w:tcMar>
              <w:top w:type="dxa" w:w="90"/>
              <w:left w:type="dxa" w:w="120"/>
              <w:bottom w:type="dxa" w:w="90"/>
              <w:right w:type="dxa" w:w="120"/>
            </w:tcMar>
          </w:tcPr>
          <w:p>
            <w:pPr>
              <w:spacing w:after="0"/>
            </w:pPr>
            <w:r>
              <w:rPr>
                <w:sz w:val="20"/>
                <w:szCs w:val="20"/>
              </w:rPr>
              <w:t xml:space="preserve">Authentification</w:t>
            </w:r>
          </w:p>
        </w:tc>
        <w:tc>
          <w:tcPr>
            <w:tcW w:type="dxa" w:w="6804"/>
            <w:shd w:fill="FFFFFF" w:val="clear"/>
            <w:tcMar>
              <w:top w:type="dxa" w:w="90"/>
              <w:left w:type="dxa" w:w="120"/>
              <w:bottom w:type="dxa" w:w="90"/>
              <w:right w:type="dxa" w:w="120"/>
            </w:tcMar>
          </w:tcPr>
          <w:p>
            <w:pPr>
              <w:spacing w:after="0"/>
            </w:pPr>
            <w:r>
              <w:rPr>
                <w:sz w:val="20"/>
                <w:szCs w:val="20"/>
              </w:rPr>
              <w:t xml:space="preserve">JWT (jjwt 0.12.6), mot de passe haché avec BCrypt (Spring Security 7.1.1). Pas de double authentification (non implémentée)</w:t>
            </w:r>
          </w:p>
        </w:tc>
      </w:tr>
      <w:tr>
        <w:tc>
          <w:tcPr>
            <w:tcW w:type="dxa" w:w="2268"/>
            <w:shd w:fill="F4F7FB" w:val="clear"/>
            <w:tcMar>
              <w:top w:type="dxa" w:w="90"/>
              <w:left w:type="dxa" w:w="120"/>
              <w:bottom w:type="dxa" w:w="90"/>
              <w:right w:type="dxa" w:w="120"/>
            </w:tcMar>
          </w:tcPr>
          <w:p>
            <w:pPr>
              <w:spacing w:after="0"/>
            </w:pPr>
            <w:r>
              <w:rPr>
                <w:sz w:val="20"/>
                <w:szCs w:val="20"/>
              </w:rPr>
              <w:t xml:space="preserve">Autorisation</w:t>
            </w:r>
          </w:p>
        </w:tc>
        <w:tc>
          <w:tcPr>
            <w:tcW w:type="dxa" w:w="6804"/>
            <w:shd w:fill="F4F7FB" w:val="clear"/>
            <w:tcMar>
              <w:top w:type="dxa" w:w="90"/>
              <w:left w:type="dxa" w:w="120"/>
              <w:bottom w:type="dxa" w:w="90"/>
              <w:right w:type="dxa" w:w="120"/>
            </w:tcMar>
          </w:tcPr>
          <w:p>
            <w:pPr>
              <w:spacing w:after="0"/>
            </w:pPr>
            <w:r>
              <w:rPr>
                <w:sz w:val="20"/>
                <w:szCs w:val="20"/>
              </w:rPr>
              <w:t xml:space="preserve">Contrôle d’accès basé sur les rôles (RBAC) : chaque contrôleur vérifie le rôle via @PreAuthorize avant d’exécuter une action</w:t>
            </w:r>
          </w:p>
        </w:tc>
      </w:tr>
      <w:tr>
        <w:tc>
          <w:tcPr>
            <w:tcW w:type="dxa" w:w="2268"/>
            <w:shd w:fill="FFFFFF" w:val="clear"/>
            <w:tcMar>
              <w:top w:type="dxa" w:w="90"/>
              <w:left w:type="dxa" w:w="120"/>
              <w:bottom w:type="dxa" w:w="90"/>
              <w:right w:type="dxa" w:w="120"/>
            </w:tcMar>
          </w:tcPr>
          <w:p>
            <w:pPr>
              <w:spacing w:after="0"/>
            </w:pPr>
            <w:r>
              <w:rPr>
                <w:sz w:val="20"/>
                <w:szCs w:val="20"/>
              </w:rPr>
              <w:t xml:space="preserve">Confidentialité des données</w:t>
            </w:r>
          </w:p>
        </w:tc>
        <w:tc>
          <w:tcPr>
            <w:tcW w:type="dxa" w:w="6804"/>
            <w:shd w:fill="FFFFFF" w:val="clear"/>
            <w:tcMar>
              <w:top w:type="dxa" w:w="90"/>
              <w:left w:type="dxa" w:w="120"/>
              <w:bottom w:type="dxa" w:w="90"/>
              <w:right w:type="dxa" w:w="120"/>
            </w:tcMar>
          </w:tcPr>
          <w:p>
            <w:pPr>
              <w:spacing w:after="0"/>
            </w:pPr>
            <w:r>
              <w:rPr>
                <w:sz w:val="20"/>
                <w:szCs w:val="20"/>
              </w:rPr>
              <w:t xml:space="preserve">Documents (CV, rapports) stockés en clair sur disque, sans chiffrement au repos — axe d’amélioration identifié</w:t>
            </w:r>
          </w:p>
        </w:tc>
      </w:tr>
      <w:tr>
        <w:tc>
          <w:tcPr>
            <w:tcW w:type="dxa" w:w="2268"/>
            <w:shd w:fill="F4F7FB" w:val="clear"/>
            <w:tcMar>
              <w:top w:type="dxa" w:w="90"/>
              <w:left w:type="dxa" w:w="120"/>
              <w:bottom w:type="dxa" w:w="90"/>
              <w:right w:type="dxa" w:w="120"/>
            </w:tcMar>
          </w:tcPr>
          <w:p>
            <w:pPr>
              <w:spacing w:after="0"/>
            </w:pPr>
            <w:r>
              <w:rPr>
                <w:sz w:val="20"/>
                <w:szCs w:val="20"/>
              </w:rPr>
              <w:t xml:space="preserve">Intégrité</w:t>
            </w:r>
          </w:p>
        </w:tc>
        <w:tc>
          <w:tcPr>
            <w:tcW w:type="dxa" w:w="6804"/>
            <w:shd w:fill="F4F7FB" w:val="clear"/>
            <w:tcMar>
              <w:top w:type="dxa" w:w="90"/>
              <w:left w:type="dxa" w:w="120"/>
              <w:bottom w:type="dxa" w:w="90"/>
              <w:right w:type="dxa" w:w="120"/>
            </w:tcMar>
          </w:tcPr>
          <w:p>
            <w:pPr>
              <w:spacing w:after="0"/>
            </w:pPr>
            <w:r>
              <w:rPr>
                <w:sz w:val="20"/>
                <w:szCs w:val="20"/>
              </w:rPr>
              <w:t xml:space="preserve">Horodatage systématique des entités (dateCreation, dateEnvoi...) ; pas de journal d’audit dédié au-delà des logs applicatifs</w:t>
            </w:r>
          </w:p>
        </w:tc>
      </w:tr>
      <w:tr>
        <w:tc>
          <w:tcPr>
            <w:tcW w:type="dxa" w:w="2268"/>
            <w:shd w:fill="FFFFFF" w:val="clear"/>
            <w:tcMar>
              <w:top w:type="dxa" w:w="90"/>
              <w:left w:type="dxa" w:w="120"/>
              <w:bottom w:type="dxa" w:w="90"/>
              <w:right w:type="dxa" w:w="120"/>
            </w:tcMar>
          </w:tcPr>
          <w:p>
            <w:pPr>
              <w:spacing w:after="0"/>
            </w:pPr>
            <w:r>
              <w:rPr>
                <w:sz w:val="20"/>
                <w:szCs w:val="20"/>
              </w:rPr>
              <w:t xml:space="preserve">Sécurité de l’API IA</w:t>
            </w:r>
          </w:p>
        </w:tc>
        <w:tc>
          <w:tcPr>
            <w:tcW w:type="dxa" w:w="6804"/>
            <w:shd w:fill="FFFFFF" w:val="clear"/>
            <w:tcMar>
              <w:top w:type="dxa" w:w="90"/>
              <w:left w:type="dxa" w:w="120"/>
              <w:bottom w:type="dxa" w:w="90"/>
              <w:right w:type="dxa" w:w="120"/>
            </w:tcMar>
          </w:tcPr>
          <w:p>
            <w:pPr>
              <w:spacing w:after="0"/>
            </w:pPr>
            <w:r>
              <w:rPr>
                <w:sz w:val="20"/>
                <w:szCs w:val="20"/>
              </w:rPr>
              <w:t xml:space="preserve">Aucune anonymisation des données transmises à Groq actuellement (voir section 9.3)</w:t>
            </w:r>
          </w:p>
        </w:tc>
      </w:tr>
      <w:tr>
        <w:tc>
          <w:tcPr>
            <w:tcW w:type="dxa" w:w="2268"/>
            <w:shd w:fill="F4F7FB" w:val="clear"/>
            <w:tcMar>
              <w:top w:type="dxa" w:w="90"/>
              <w:left w:type="dxa" w:w="120"/>
              <w:bottom w:type="dxa" w:w="90"/>
              <w:right w:type="dxa" w:w="120"/>
            </w:tcMar>
          </w:tcPr>
          <w:p>
            <w:pPr>
              <w:spacing w:after="0"/>
            </w:pPr>
            <w:r>
              <w:rPr>
                <w:sz w:val="20"/>
                <w:szCs w:val="20"/>
              </w:rPr>
              <w:t xml:space="preserve">Disponibilité</w:t>
            </w:r>
          </w:p>
        </w:tc>
        <w:tc>
          <w:tcPr>
            <w:tcW w:type="dxa" w:w="6804"/>
            <w:shd w:fill="F4F7FB" w:val="clear"/>
            <w:tcMar>
              <w:top w:type="dxa" w:w="90"/>
              <w:left w:type="dxa" w:w="120"/>
              <w:bottom w:type="dxa" w:w="90"/>
              <w:right w:type="dxa" w:w="120"/>
            </w:tcMar>
          </w:tcPr>
          <w:p>
            <w:pPr>
              <w:spacing w:after="0"/>
            </w:pPr>
            <w:r>
              <w:rPr>
                <w:sz w:val="20"/>
                <w:szCs w:val="20"/>
              </w:rPr>
              <w:t xml:space="preserve">Base de données gérée par Neon (sauvegardes automatiques côté hébergeur) ; pas de sauvegarde applicative dédiée des fichiers uploadés</w:t>
            </w:r>
          </w:p>
        </w:tc>
      </w:tr>
    </w:tbl>
    <w:p>
      <w:r>
        <w:br w:type="page"/>
      </w:r>
    </w:p>
    <w:p>
      <w:pPr>
        <w:pStyle w:val="Heading1"/>
        <w:pBdr>
          <w:bottom w:val="single" w:color="1F3A5F" w:sz="12" w:space="4"/>
        </w:pBdr>
        <w:spacing w:after="240" w:before="480"/>
      </w:pPr>
      <w:r>
        <w:rPr>
          <w:b/>
          <w:bCs/>
          <w:color w:val="1F3A5F"/>
          <w:sz w:val="32"/>
          <w:szCs w:val="32"/>
        </w:rPr>
        <w:t xml:space="preserve">11. Méthodologie et bilan du projet</w:t>
      </w:r>
    </w:p>
    <w:p>
      <w:pPr>
        <w:pStyle w:val="Heading2"/>
        <w:spacing w:after="180" w:before="360"/>
      </w:pPr>
      <w:r>
        <w:rPr>
          <w:b/>
          <w:bCs/>
          <w:color w:val="2563EB"/>
          <w:sz w:val="26"/>
          <w:szCs w:val="26"/>
        </w:rPr>
        <w:t xml:space="preserve">11.1 Démarche suivie</w:t>
      </w:r>
    </w:p>
    <w:p>
      <w:pPr>
        <w:spacing w:after="200" w:line="300"/>
        <w:jc w:val="both"/>
      </w:pPr>
      <w:r>
        <w:rPr>
          <w:sz w:val="22"/>
          <w:szCs w:val="22"/>
        </w:rPr>
        <w:t xml:space="preserve">Le projet a été mené de façon itérative, par fonctionnalité (authentification, offres/candidatures, conventions et suivi, module IA, soutenances/évaluation, tableaux de bord), avec des cycles de développement assisté par Claude Code pour l’implémentation et le diagnostic (section 7 et 8).</w:t>
      </w:r>
    </w:p>
    <w:p>
      <w:pPr>
        <w:pStyle w:val="Heading2"/>
        <w:spacing w:after="180" w:before="360"/>
      </w:pPr>
      <w:r>
        <w:rPr>
          <w:b/>
          <w:bCs/>
          <w:color w:val="2563EB"/>
          <w:sz w:val="26"/>
          <w:szCs w:val="26"/>
        </w:rPr>
        <w:t xml:space="preserve">11.2 Collaboration et dépôt Git</w:t>
      </w:r>
    </w:p>
    <w:p>
      <w:pPr>
        <w:spacing w:after="200" w:line="300"/>
        <w:jc w:val="both"/>
      </w:pPr>
      <w:r>
        <w:rPr>
          <w:sz w:val="22"/>
          <w:szCs w:val="22"/>
        </w:rPr>
        <w:t xml:space="preserve">Le dépôt (github.com/boulifa25/Projet_IA_SAE) compte deux contributeurs identifiés dans l’historique Git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5443"/>
        <w:gridCol w:w="3629"/>
      </w:tblGrid>
      <w:tr>
        <w:trPr>
          <w:tblHeader/>
        </w:trPr>
        <w:tc>
          <w:tcPr>
            <w:tcW w:type="dxa" w:w="5443"/>
            <w:shd w:fill="1F3A5F" w:val="clear"/>
            <w:tcMar>
              <w:top w:type="dxa" w:w="100"/>
              <w:left w:type="dxa" w:w="120"/>
              <w:bottom w:type="dxa" w:w="100"/>
              <w:right w:type="dxa" w:w="120"/>
            </w:tcMar>
            <w:vAlign w:val="center"/>
          </w:tcPr>
          <w:p>
            <w:r>
              <w:rPr>
                <w:b/>
                <w:bCs/>
                <w:color w:val="FFFFFF"/>
                <w:sz w:val="20"/>
                <w:szCs w:val="20"/>
              </w:rPr>
              <w:t xml:space="preserve">Contributeur</w:t>
            </w:r>
          </w:p>
        </w:tc>
        <w:tc>
          <w:tcPr>
            <w:tcW w:type="dxa" w:w="3629"/>
            <w:shd w:fill="1F3A5F" w:val="clear"/>
            <w:tcMar>
              <w:top w:type="dxa" w:w="100"/>
              <w:left w:type="dxa" w:w="120"/>
              <w:bottom w:type="dxa" w:w="100"/>
              <w:right w:type="dxa" w:w="120"/>
            </w:tcMar>
            <w:vAlign w:val="center"/>
          </w:tcPr>
          <w:p>
            <w:r>
              <w:rPr>
                <w:b/>
                <w:bCs/>
                <w:color w:val="FFFFFF"/>
                <w:sz w:val="20"/>
                <w:szCs w:val="20"/>
              </w:rPr>
              <w:t xml:space="preserve">Commits</w:t>
            </w:r>
          </w:p>
        </w:tc>
      </w:tr>
      <w:tr>
        <w:tc>
          <w:tcPr>
            <w:tcW w:type="dxa" w:w="5443"/>
            <w:shd w:fill="FFFFFF" w:val="clear"/>
            <w:tcMar>
              <w:top w:type="dxa" w:w="90"/>
              <w:left w:type="dxa" w:w="120"/>
              <w:bottom w:type="dxa" w:w="90"/>
              <w:right w:type="dxa" w:w="120"/>
            </w:tcMar>
          </w:tcPr>
          <w:p>
            <w:pPr>
              <w:spacing w:after="0"/>
            </w:pPr>
            <w:r>
              <w:rPr>
                <w:sz w:val="20"/>
                <w:szCs w:val="20"/>
              </w:rPr>
              <w:t xml:space="preserve">mohamed aziz boulifa</w:t>
            </w:r>
          </w:p>
        </w:tc>
        <w:tc>
          <w:tcPr>
            <w:tcW w:type="dxa" w:w="3629"/>
            <w:shd w:fill="FFFFFF" w:val="clear"/>
            <w:tcMar>
              <w:top w:type="dxa" w:w="90"/>
              <w:left w:type="dxa" w:w="120"/>
              <w:bottom w:type="dxa" w:w="90"/>
              <w:right w:type="dxa" w:w="120"/>
            </w:tcMar>
          </w:tcPr>
          <w:p>
            <w:pPr>
              <w:spacing w:after="0"/>
            </w:pPr>
            <w:r>
              <w:rPr>
                <w:sz w:val="20"/>
                <w:szCs w:val="20"/>
              </w:rPr>
              <w:t xml:space="preserve">11</w:t>
            </w:r>
          </w:p>
        </w:tc>
      </w:tr>
      <w:tr>
        <w:tc>
          <w:tcPr>
            <w:tcW w:type="dxa" w:w="5443"/>
            <w:shd w:fill="F4F7FB" w:val="clear"/>
            <w:tcMar>
              <w:top w:type="dxa" w:w="90"/>
              <w:left w:type="dxa" w:w="120"/>
              <w:bottom w:type="dxa" w:w="90"/>
              <w:right w:type="dxa" w:w="120"/>
            </w:tcMar>
          </w:tcPr>
          <w:p>
            <w:pPr>
              <w:spacing w:after="0"/>
            </w:pPr>
            <w:r>
              <w:rPr>
                <w:sz w:val="20"/>
                <w:szCs w:val="20"/>
              </w:rPr>
              <w:t xml:space="preserve">Sifon (seif.ayed@esprit.tn)</w:t>
            </w:r>
          </w:p>
        </w:tc>
        <w:tc>
          <w:tcPr>
            <w:tcW w:type="dxa" w:w="3629"/>
            <w:shd w:fill="F4F7FB" w:val="clear"/>
            <w:tcMar>
              <w:top w:type="dxa" w:w="90"/>
              <w:left w:type="dxa" w:w="120"/>
              <w:bottom w:type="dxa" w:w="90"/>
              <w:right w:type="dxa" w:w="120"/>
            </w:tcMar>
          </w:tcPr>
          <w:p>
            <w:pPr>
              <w:spacing w:after="0"/>
            </w:pPr>
            <w:r>
              <w:rPr>
                <w:sz w:val="20"/>
                <w:szCs w:val="20"/>
              </w:rPr>
              <w:t xml:space="preserve">2</w:t>
            </w:r>
          </w:p>
        </w:tc>
      </w:tr>
    </w:tbl>
    <w:tbl>
      <w:tblPr>
        <w:tblW w:type="pct" w:w="5000"/>
        <w:tblBorders>
          <w:top w:val="single" w:color="2563EB" w:sz="4"/>
          <w:left w:val="single" w:color="2563EB" w:sz="24"/>
          <w:bottom w:val="single" w:color="2563EB" w:sz="4"/>
          <w:right w:val="single" w:color="2563EB" w:sz="4"/>
          <w:insideH w:val="single" w:color="auto" w:sz="4"/>
          <w:insideV w:val="single" w:color="auto" w:sz="4"/>
        </w:tblBorders>
      </w:tblPr>
      <w:tblGrid>
        <w:gridCol w:w="9638"/>
      </w:tblGrid>
      <w:tr>
        <w:tc>
          <w:tcPr>
            <w:shd w:fill="EAF1FB" w:val="clear"/>
            <w:tcMar>
              <w:top w:type="dxa" w:w="150"/>
              <w:left w:type="dxa" w:w="200"/>
              <w:bottom w:type="dxa" w:w="150"/>
              <w:right w:type="dxa" w:w="200"/>
            </w:tcMar>
          </w:tcPr>
          <w:p>
            <w:pPr>
              <w:spacing w:after="0"/>
            </w:pPr>
            <w:r>
              <w:rPr>
                <w:b/>
                <w:bCs/>
                <w:sz w:val="22"/>
                <w:szCs w:val="22"/>
              </w:rPr>
              <w:t xml:space="preserve">Point à documenter avant l’oral : </w:t>
            </w:r>
            <w:r>
              <w:rPr>
                <w:sz w:val="22"/>
                <w:szCs w:val="22"/>
              </w:rPr>
              <w:t xml:space="preserve">la répartition des commits est déséquilibrée. Si le travail de Sifon a porté sur des tâches moins visibles en commits (maquettage, tests manuels, relecture), ce point doit être explicité à l’oral — le nombre de commits seul ne reflète pas toujours la répartition réelle de la charge de travail.</w:t>
            </w:r>
          </w:p>
        </w:tc>
      </w:tr>
    </w:tbl>
    <w:p>
      <w:pPr>
        <w:pStyle w:val="Heading2"/>
        <w:spacing w:after="180" w:before="360"/>
      </w:pPr>
      <w:r>
        <w:rPr>
          <w:b/>
          <w:bCs/>
          <w:color w:val="2563EB"/>
          <w:sz w:val="26"/>
          <w:szCs w:val="26"/>
        </w:rPr>
        <w:t xml:space="preserve">11.3 Principaux jalons (commits significatifs)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14"/>
        <w:gridCol w:w="7258"/>
      </w:tblGrid>
      <w:tr>
        <w:trPr>
          <w:tblHeader/>
        </w:trPr>
        <w:tc>
          <w:tcPr>
            <w:tcW w:type="dxa" w:w="1814"/>
            <w:shd w:fill="1F3A5F" w:val="clear"/>
            <w:tcMar>
              <w:top w:type="dxa" w:w="100"/>
              <w:left w:type="dxa" w:w="120"/>
              <w:bottom w:type="dxa" w:w="100"/>
              <w:right w:type="dxa" w:w="120"/>
            </w:tcMar>
            <w:vAlign w:val="center"/>
          </w:tcPr>
          <w:p>
            <w:r>
              <w:rPr>
                <w:b/>
                <w:bCs/>
                <w:color w:val="FFFFFF"/>
                <w:sz w:val="20"/>
                <w:szCs w:val="20"/>
              </w:rPr>
              <w:t xml:space="preserve">Date</w:t>
            </w:r>
          </w:p>
        </w:tc>
        <w:tc>
          <w:tcPr>
            <w:tcW w:type="dxa" w:w="7258"/>
            <w:shd w:fill="1F3A5F" w:val="clear"/>
            <w:tcMar>
              <w:top w:type="dxa" w:w="100"/>
              <w:left w:type="dxa" w:w="120"/>
              <w:bottom w:type="dxa" w:w="100"/>
              <w:right w:type="dxa" w:w="120"/>
            </w:tcMar>
            <w:vAlign w:val="center"/>
          </w:tcPr>
          <w:p>
            <w:r>
              <w:rPr>
                <w:b/>
                <w:bCs/>
                <w:color w:val="FFFFFF"/>
                <w:sz w:val="20"/>
                <w:szCs w:val="20"/>
              </w:rPr>
              <w:t xml:space="preserve">Jalon</w:t>
            </w:r>
          </w:p>
        </w:tc>
      </w:tr>
      <w:tr>
        <w:tc>
          <w:tcPr>
            <w:tcW w:type="dxa" w:w="1814"/>
            <w:shd w:fill="FFFFFF" w:val="clear"/>
            <w:tcMar>
              <w:top w:type="dxa" w:w="90"/>
              <w:left w:type="dxa" w:w="120"/>
              <w:bottom w:type="dxa" w:w="90"/>
              <w:right w:type="dxa" w:w="120"/>
            </w:tcMar>
          </w:tcPr>
          <w:p>
            <w:pPr>
              <w:spacing w:after="0"/>
            </w:pPr>
            <w:r>
              <w:rPr>
                <w:sz w:val="20"/>
                <w:szCs w:val="20"/>
              </w:rPr>
              <w:t xml:space="preserve">2026-10-02</w:t>
            </w:r>
          </w:p>
        </w:tc>
        <w:tc>
          <w:tcPr>
            <w:tcW w:type="dxa" w:w="7258"/>
            <w:shd w:fill="FFFFFF" w:val="clear"/>
            <w:tcMar>
              <w:top w:type="dxa" w:w="90"/>
              <w:left w:type="dxa" w:w="120"/>
              <w:bottom w:type="dxa" w:w="90"/>
              <w:right w:type="dxa" w:w="120"/>
            </w:tcMar>
          </w:tcPr>
          <w:p>
            <w:pPr>
              <w:spacing w:after="0"/>
            </w:pPr>
            <w:r>
              <w:rPr>
                <w:sz w:val="20"/>
                <w:szCs w:val="20"/>
              </w:rPr>
              <w:t xml:space="preserve">Backend Spring Boot complet : auth, offres, candidatures, conventions, stages, rapports, soutenances, évaluations, messagerie</w:t>
            </w:r>
          </w:p>
        </w:tc>
      </w:tr>
      <w:tr>
        <w:tc>
          <w:tcPr>
            <w:tcW w:type="dxa" w:w="1814"/>
            <w:shd w:fill="F4F7FB" w:val="clear"/>
            <w:tcMar>
              <w:top w:type="dxa" w:w="90"/>
              <w:left w:type="dxa" w:w="120"/>
              <w:bottom w:type="dxa" w:w="90"/>
              <w:right w:type="dxa" w:w="120"/>
            </w:tcMar>
          </w:tcPr>
          <w:p>
            <w:pPr>
              <w:spacing w:after="0"/>
            </w:pPr>
            <w:r>
              <w:rPr>
                <w:sz w:val="20"/>
                <w:szCs w:val="20"/>
              </w:rPr>
              <w:t xml:space="preserve">2026-10-03</w:t>
            </w:r>
          </w:p>
        </w:tc>
        <w:tc>
          <w:tcPr>
            <w:tcW w:type="dxa" w:w="7258"/>
            <w:shd w:fill="F4F7FB" w:val="clear"/>
            <w:tcMar>
              <w:top w:type="dxa" w:w="90"/>
              <w:left w:type="dxa" w:w="120"/>
              <w:bottom w:type="dxa" w:w="90"/>
              <w:right w:type="dxa" w:w="120"/>
            </w:tcMar>
          </w:tcPr>
          <w:p>
            <w:pPr>
              <w:spacing w:after="0"/>
            </w:pPr>
            <w:r>
              <w:rPr>
                <w:sz w:val="20"/>
                <w:szCs w:val="20"/>
              </w:rPr>
              <w:t xml:space="preserve">Premier module IA : chatbot conversationnel</w:t>
            </w:r>
          </w:p>
        </w:tc>
      </w:tr>
      <w:tr>
        <w:tc>
          <w:tcPr>
            <w:tcW w:type="dxa" w:w="1814"/>
            <w:shd w:fill="FFFFFF" w:val="clear"/>
            <w:tcMar>
              <w:top w:type="dxa" w:w="90"/>
              <w:left w:type="dxa" w:w="120"/>
              <w:bottom w:type="dxa" w:w="90"/>
              <w:right w:type="dxa" w:w="120"/>
            </w:tcMar>
          </w:tcPr>
          <w:p>
            <w:pPr>
              <w:spacing w:after="0"/>
            </w:pPr>
            <w:r>
              <w:rPr>
                <w:sz w:val="20"/>
                <w:szCs w:val="20"/>
              </w:rPr>
              <w:t xml:space="preserve">2026-10-07</w:t>
            </w:r>
          </w:p>
        </w:tc>
        <w:tc>
          <w:tcPr>
            <w:tcW w:type="dxa" w:w="7258"/>
            <w:shd w:fill="FFFFFF" w:val="clear"/>
            <w:tcMar>
              <w:top w:type="dxa" w:w="90"/>
              <w:left w:type="dxa" w:w="120"/>
              <w:bottom w:type="dxa" w:w="90"/>
              <w:right w:type="dxa" w:w="120"/>
            </w:tcMar>
          </w:tcPr>
          <w:p>
            <w:pPr>
              <w:spacing w:after="0"/>
            </w:pPr>
            <w:r>
              <w:rPr>
                <w:sz w:val="20"/>
                <w:szCs w:val="20"/>
              </w:rPr>
              <w:t xml:space="preserve">Tableaux de bord réels, notifications, rebranding StageIO</w:t>
            </w:r>
          </w:p>
        </w:tc>
      </w:tr>
      <w:tr>
        <w:tc>
          <w:tcPr>
            <w:tcW w:type="dxa" w:w="1814"/>
            <w:shd w:fill="F4F7FB" w:val="clear"/>
            <w:tcMar>
              <w:top w:type="dxa" w:w="90"/>
              <w:left w:type="dxa" w:w="120"/>
              <w:bottom w:type="dxa" w:w="90"/>
              <w:right w:type="dxa" w:w="120"/>
            </w:tcMar>
          </w:tcPr>
          <w:p>
            <w:pPr>
              <w:spacing w:after="0"/>
            </w:pPr>
            <w:r>
              <w:rPr>
                <w:sz w:val="20"/>
                <w:szCs w:val="20"/>
              </w:rPr>
              <w:t xml:space="preserve">2026-10-13</w:t>
            </w:r>
          </w:p>
        </w:tc>
        <w:tc>
          <w:tcPr>
            <w:tcW w:type="dxa" w:w="7258"/>
            <w:shd w:fill="F4F7FB" w:val="clear"/>
            <w:tcMar>
              <w:top w:type="dxa" w:w="90"/>
              <w:left w:type="dxa" w:w="120"/>
              <w:bottom w:type="dxa" w:w="90"/>
              <w:right w:type="dxa" w:w="120"/>
            </w:tcMar>
          </w:tcPr>
          <w:p>
            <w:pPr>
              <w:spacing w:after="0"/>
            </w:pPr>
            <w:r>
              <w:rPr>
                <w:sz w:val="20"/>
                <w:szCs w:val="20"/>
              </w:rPr>
              <w:t xml:space="preserve">Migration Gemini → Groq, correction des premières requêtes N+1</w:t>
            </w:r>
          </w:p>
        </w:tc>
      </w:tr>
      <w:tr>
        <w:tc>
          <w:tcPr>
            <w:tcW w:type="dxa" w:w="1814"/>
            <w:shd w:fill="FFFFFF" w:val="clear"/>
            <w:tcMar>
              <w:top w:type="dxa" w:w="90"/>
              <w:left w:type="dxa" w:w="120"/>
              <w:bottom w:type="dxa" w:w="90"/>
              <w:right w:type="dxa" w:w="120"/>
            </w:tcMar>
          </w:tcPr>
          <w:p>
            <w:pPr>
              <w:spacing w:after="0"/>
            </w:pPr>
            <w:r>
              <w:rPr>
                <w:sz w:val="20"/>
                <w:szCs w:val="20"/>
              </w:rPr>
              <w:t xml:space="preserve">2026-10-16</w:t>
            </w:r>
          </w:p>
        </w:tc>
        <w:tc>
          <w:tcPr>
            <w:tcW w:type="dxa" w:w="7258"/>
            <w:shd w:fill="FFFFFF" w:val="clear"/>
            <w:tcMar>
              <w:top w:type="dxa" w:w="90"/>
              <w:left w:type="dxa" w:w="120"/>
              <w:bottom w:type="dxa" w:w="90"/>
              <w:right w:type="dxa" w:w="120"/>
            </w:tcMar>
          </w:tcPr>
          <w:p>
            <w:pPr>
              <w:spacing w:after="0"/>
            </w:pPr>
            <w:r>
              <w:rPr>
                <w:sz w:val="20"/>
                <w:szCs w:val="20"/>
              </w:rPr>
              <w:t xml:space="preserve">Ajout de 4 nouveaux modules IA (synthèse, pré-sélection, pertinence conventions, détection d’écart)</w:t>
            </w:r>
          </w:p>
        </w:tc>
      </w:tr>
      <w:tr>
        <w:tc>
          <w:tcPr>
            <w:tcW w:type="dxa" w:w="1814"/>
            <w:shd w:fill="F4F7FB" w:val="clear"/>
            <w:tcMar>
              <w:top w:type="dxa" w:w="90"/>
              <w:left w:type="dxa" w:w="120"/>
              <w:bottom w:type="dxa" w:w="90"/>
              <w:right w:type="dxa" w:w="120"/>
            </w:tcMar>
          </w:tcPr>
          <w:p>
            <w:pPr>
              <w:spacing w:after="0"/>
            </w:pPr>
            <w:r>
              <w:rPr>
                <w:sz w:val="20"/>
                <w:szCs w:val="20"/>
              </w:rPr>
              <w:t xml:space="preserve">2026-10-17</w:t>
            </w:r>
          </w:p>
        </w:tc>
        <w:tc>
          <w:tcPr>
            <w:tcW w:type="dxa" w:w="7258"/>
            <w:shd w:fill="F4F7FB" w:val="clear"/>
            <w:tcMar>
              <w:top w:type="dxa" w:w="90"/>
              <w:left w:type="dxa" w:w="120"/>
              <w:bottom w:type="dxa" w:w="90"/>
              <w:right w:type="dxa" w:w="120"/>
            </w:tcMar>
          </w:tcPr>
          <w:p>
            <w:pPr>
              <w:spacing w:after="0"/>
            </w:pPr>
            <w:r>
              <w:rPr>
                <w:sz w:val="20"/>
                <w:szCs w:val="20"/>
              </w:rPr>
              <w:t xml:space="preserve">Diagnostic et correction définitive de la lenteur du dashboard (section 8.3)</w:t>
            </w:r>
          </w:p>
        </w:tc>
      </w:tr>
      <w:tr>
        <w:tc>
          <w:tcPr>
            <w:tcW w:type="dxa" w:w="1814"/>
            <w:shd w:fill="FFFFFF" w:val="clear"/>
            <w:tcMar>
              <w:top w:type="dxa" w:w="90"/>
              <w:left w:type="dxa" w:w="120"/>
              <w:bottom w:type="dxa" w:w="90"/>
              <w:right w:type="dxa" w:w="120"/>
            </w:tcMar>
          </w:tcPr>
          <w:p>
            <w:pPr>
              <w:spacing w:after="0"/>
            </w:pPr>
            <w:r>
              <w:rPr>
                <w:sz w:val="20"/>
                <w:szCs w:val="20"/>
              </w:rPr>
              <w:t xml:space="preserve">2026-10-18</w:t>
            </w:r>
          </w:p>
        </w:tc>
        <w:tc>
          <w:tcPr>
            <w:tcW w:type="dxa" w:w="7258"/>
            <w:shd w:fill="FFFFFF" w:val="clear"/>
            <w:tcMar>
              <w:top w:type="dxa" w:w="90"/>
              <w:left w:type="dxa" w:w="120"/>
              <w:bottom w:type="dxa" w:w="90"/>
              <w:right w:type="dxa" w:w="120"/>
            </w:tcMar>
          </w:tcPr>
          <w:p>
            <w:pPr>
              <w:spacing w:after="0"/>
            </w:pPr>
            <w:r>
              <w:rPr>
                <w:sz w:val="20"/>
                <w:szCs w:val="20"/>
              </w:rPr>
              <w:t xml:space="preserve">Fiabilisation du démarrage local du backend</w:t>
            </w:r>
          </w:p>
        </w:tc>
      </w:tr>
    </w:tbl>
    <w:p>
      <w:pPr>
        <w:pStyle w:val="Heading2"/>
        <w:spacing w:after="180" w:before="360"/>
      </w:pPr>
      <w:r>
        <w:rPr>
          <w:b/>
          <w:bCs/>
          <w:color w:val="2563EB"/>
          <w:sz w:val="26"/>
          <w:szCs w:val="26"/>
        </w:rPr>
        <w:t xml:space="preserve">11.4 Ce qui manque pour un livrable complet</w:t>
      </w:r>
    </w:p>
    <w:p>
      <w:pPr>
        <w:pStyle w:val="ListParagraph"/>
        <w:numPr>
          <w:ilvl w:val="0"/>
          <w:numId w:val="2"/>
        </w:numPr>
        <w:spacing w:after="100"/>
      </w:pPr>
      <w:r>
        <w:rPr>
          <w:sz w:val="22"/>
          <w:szCs w:val="22"/>
        </w:rPr>
        <w:t xml:space="preserve">Tests automatisés — 7 tests existent désormais (section 8.7), couvrant 3 des 6 bugs documentés ; reste à étendre la couverture aux services restants (ChatbotService, MatchingService, ConventionMatchingService, EvaluationAnalysisService) et à l’incident 8.1.</w:t>
      </w:r>
    </w:p>
    <w:p>
      <w:pPr>
        <w:pStyle w:val="ListParagraph"/>
        <w:numPr>
          <w:ilvl w:val="0"/>
          <w:numId w:val="2"/>
        </w:numPr>
        <w:spacing w:after="100"/>
      </w:pPr>
      <w:r>
        <w:rPr>
          <w:sz w:val="22"/>
          <w:szCs w:val="22"/>
        </w:rPr>
        <w:t xml:space="preserve">Intégration continue (CI/CD) — aucun pipeline n’est configuré sur le dépôt.</w:t>
      </w:r>
    </w:p>
    <w:p>
      <w:pPr>
        <w:pStyle w:val="ListParagraph"/>
        <w:numPr>
          <w:ilvl w:val="0"/>
          <w:numId w:val="2"/>
        </w:numPr>
        <w:spacing w:after="100"/>
      </w:pPr>
      <w:r>
        <w:rPr>
          <w:sz w:val="22"/>
          <w:szCs w:val="22"/>
        </w:rPr>
        <w:t xml:space="preserve">Documentation individuelle des prompts sous forme de journal continu (ce rapport en intègre une synthèse, section 7, mais pas un historique exhaustif prompt par prompt).</w:t>
      </w:r>
    </w:p>
    <w:p>
      <w:r>
        <w:br w:type="page"/>
      </w:r>
    </w:p>
    <w:p>
      <w:pPr>
        <w:pStyle w:val="Heading1"/>
        <w:pBdr>
          <w:bottom w:val="single" w:color="1F3A5F" w:sz="12" w:space="4"/>
        </w:pBdr>
        <w:spacing w:after="240" w:before="480"/>
      </w:pPr>
      <w:r>
        <w:rPr>
          <w:b/>
          <w:bCs/>
          <w:color w:val="1F3A5F"/>
          <w:sz w:val="32"/>
          <w:szCs w:val="32"/>
        </w:rPr>
        <w:t xml:space="preserve">12. Conclusion et perspectives</w:t>
      </w:r>
    </w:p>
    <w:p>
      <w:pPr>
        <w:spacing w:after="200" w:line="300"/>
        <w:jc w:val="both"/>
      </w:pPr>
      <w:r>
        <w:rPr>
          <w:sz w:val="22"/>
          <w:szCs w:val="22"/>
        </w:rPr>
        <w:t xml:space="preserve">La plateforme décrite dans ce rapport répond à un besoin concret des établissements de formation : un outil unique, structuré autour d’une architecture MVC étendue, qui couvre l’ensemble du cycle de vie du stage — de la publication de l’offre à la délivrance de l’attestation — tout en apportant, grâce à 8 fonctionnalités d’intelligence artificielle réellement opérationnelles, une dimension de suivi pédagogique proactif.</w:t>
      </w:r>
    </w:p>
    <w:p>
      <w:pPr>
        <w:spacing w:after="200" w:line="300"/>
        <w:jc w:val="both"/>
      </w:pPr>
      <w:r>
        <w:rPr>
          <w:sz w:val="22"/>
          <w:szCs w:val="22"/>
        </w:rPr>
        <w:t xml:space="preserve">Au-delà de la conception, ce rapport documente un apport spécifique de l’IA souvent sous-estimé dans ce type de projet : son usage comme outil de diagnostic méthodique après l’intégration (section 8), où six anomalies réelles — dont une dont la cause racine (un mapping de colonne PostgreSQL) était invisible à la simple lecture du code — ont été détectées et corrigées avec des preuves mesurables à l’appui.</w:t>
      </w:r>
    </w:p>
    <w:p>
      <w:pPr>
        <w:spacing w:after="200" w:line="300"/>
        <w:jc w:val="both"/>
      </w:pPr>
      <w:r>
        <w:rPr>
          <w:b/>
          <w:bCs/>
          <w:sz w:val="22"/>
          <w:szCs w:val="22"/>
        </w:rPr>
        <w:t xml:space="preserve">Perspectives d’évolution, par ordre de priorité identifié à l’issue de ce bilan :</w:t>
      </w:r>
    </w:p>
    <w:p>
      <w:pPr>
        <w:pStyle w:val="ListParagraph"/>
        <w:numPr>
          <w:ilvl w:val="0"/>
          <w:numId w:val="2"/>
        </w:numPr>
        <w:spacing w:after="100"/>
      </w:pPr>
      <w:r>
        <w:rPr>
          <w:sz w:val="22"/>
          <w:szCs w:val="22"/>
        </w:rPr>
        <w:t xml:space="preserve">Étendre la couverture de tests automatisés (amorcée en section 8.7) aux 3 autres incidents de la section 8 et aux services IA restants (ChatbotService, MatchingService, ConventionMatchingService, EvaluationAnalysisService).</w:t>
      </w:r>
    </w:p>
    <w:p>
      <w:pPr>
        <w:pStyle w:val="ListParagraph"/>
        <w:numPr>
          <w:ilvl w:val="0"/>
          <w:numId w:val="2"/>
        </w:numPr>
        <w:spacing w:after="100"/>
      </w:pPr>
      <w:r>
        <w:rPr>
          <w:sz w:val="22"/>
          <w:szCs w:val="22"/>
        </w:rPr>
        <w:t xml:space="preserve">Mettre en place un pipeline CI/CD minimal (build + tests à chaque push).</w:t>
      </w:r>
    </w:p>
    <w:p>
      <w:pPr>
        <w:pStyle w:val="ListParagraph"/>
        <w:numPr>
          <w:ilvl w:val="0"/>
          <w:numId w:val="2"/>
        </w:numPr>
        <w:spacing w:after="100"/>
      </w:pPr>
      <w:r>
        <w:rPr>
          <w:sz w:val="22"/>
          <w:szCs w:val="22"/>
        </w:rPr>
        <w:t xml:space="preserve">Introduire un cache des réponses IA pour réduire coût, latence et consommation de tokens sur les appels répétés.</w:t>
      </w:r>
    </w:p>
    <w:p>
      <w:pPr>
        <w:pStyle w:val="ListParagraph"/>
        <w:numPr>
          <w:ilvl w:val="0"/>
          <w:numId w:val="2"/>
        </w:numPr>
        <w:spacing w:after="100"/>
      </w:pPr>
      <w:r>
        <w:rPr>
          <w:sz w:val="22"/>
          <w:szCs w:val="22"/>
        </w:rPr>
        <w:t xml:space="preserve">Anonymiser partiellement les données transmises à l’API IA pour répondre aux exigences de confidentialité des données étudiantes.</w:t>
      </w:r>
    </w:p>
    <w:p>
      <w:pPr>
        <w:pStyle w:val="ListParagraph"/>
        <w:numPr>
          <w:ilvl w:val="0"/>
          <w:numId w:val="2"/>
        </w:numPr>
        <w:spacing w:after="100"/>
      </w:pPr>
      <w:r>
        <w:rPr>
          <w:sz w:val="22"/>
          <w:szCs w:val="22"/>
        </w:rPr>
        <w:t xml:space="preserve">Faire évoluer le traitement IA vers un modèle asynchrone (file d’attente) pour supporter un volume d’utilisateurs plus important, conformément à l’architecture cible présentée en section 5.5.</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60"/>
      </w:pPr>
    </w:lvl>
    <w:lvl w:ilvl="1" w: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1337f91f67e7b4a2f92e836a4445216bd9ec227d.png"/><Relationship Id="rId8" Type="http://schemas.openxmlformats.org/officeDocument/2006/relationships/image" Target="media/20f93887617fccec49c2de0b8839a7048b942bb4.png"/><Relationship Id="rId9" Type="http://schemas.openxmlformats.org/officeDocument/2006/relationships/image" Target="media/0dc15a572b83ec0192f3993b907e5fa2cf676c8e.png"/><Relationship Id="rId10" Type="http://schemas.openxmlformats.org/officeDocument/2006/relationships/image" Target="media/f0a5f27ea24515726f76336035a9eda8be187de4.png"/><Relationship Id="rId11" Type="http://schemas.openxmlformats.org/officeDocument/2006/relationships/image" Target="media/d9d36d22d2521e30496eae789698420b85e53201.png"/><Relationship Id="rId12" Type="http://schemas.openxmlformats.org/officeDocument/2006/relationships/image" Target="media/b8e4ed08332be0e3dd67f168af4c962c01aa1df9.png"/><Relationship Id="rId13" Type="http://schemas.openxmlformats.org/officeDocument/2006/relationships/image" Target="media/5f88bc3fbb1c312f824c3b2c8b2197e457574229.png"/><Relationship Id="rId14" Type="http://schemas.openxmlformats.org/officeDocument/2006/relationships/image" Target="media/236e9c5533ec5ff1036eb5bc28e2ec92978fdb13.png"/><Relationship Id="rId15" Type="http://schemas.openxmlformats.org/officeDocument/2006/relationships/image" Target="media/69843d60cb99a56c8a477e1fee159c3ffe49b7c4.png"/><Relationship Id="rId16" Type="http://schemas.openxmlformats.org/officeDocument/2006/relationships/image" Target="media/9cec0349b126f489b76b20f0bfec8cdd3573c6c9.png"/><Relationship Id="rId17" Type="http://schemas.openxmlformats.org/officeDocument/2006/relationships/image" Target="media/a971b731ab97817f80b2236898daadf267108a36.png"/><Relationship Id="rId18" Type="http://schemas.openxmlformats.org/officeDocument/2006/relationships/image" Target="media/388faa37a7c0dac74a28439910dbe36023c4ee44.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final — Plateforme de gestion des stages StageIO</dc:title>
  <dc:creator>StageIO</dc:creator>
  <cp:lastModifiedBy>Un-named</cp:lastModifiedBy>
  <cp:revision>1</cp:revision>
  <dcterms:created xsi:type="dcterms:W3CDTF">2026-10-19T16:30:39.317Z</dcterms:created>
  <dcterms:modified xsi:type="dcterms:W3CDTF">2026-10-19T16:30:39.318Z</dcterms:modified>
</cp:coreProperties>
</file>

<file path=docProps/custom.xml><?xml version="1.0" encoding="utf-8"?>
<Properties xmlns="http://schemas.openxmlformats.org/officeDocument/2006/custom-properties" xmlns:vt="http://schemas.openxmlformats.org/officeDocument/2006/docPropsVTypes"/>
</file>