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40"/>
        <w:jc w:val="center"/>
      </w:pPr>
      <w:r>
        <w:rPr>
          <w:rFonts w:ascii="Arial" w:cs="Arial" w:eastAsia="Arial" w:hAnsi="Arial"/>
          <w:b/>
          <w:bCs/>
          <w:color w:val="2E6DB4"/>
          <w:sz w:val="20"/>
          <w:szCs w:val="20"/>
        </w:rPr>
        <w:t xml:space="preserve">COLLÈGE LA CITÉ — Programme : IA en Informatique</w:t>
      </w:r>
    </w:p>
    <w:p>
      <w:pPr>
        <w:spacing w:after="40"/>
        <w:jc w:val="center"/>
      </w:pPr>
      <w:r>
        <w:rPr>
          <w:rFonts w:ascii="Arial" w:cs="Arial" w:eastAsia="Arial" w:hAnsi="Arial"/>
          <w:color w:val="555555"/>
          <w:sz w:val="20"/>
          <w:szCs w:val="20"/>
        </w:rPr>
        <w:t xml:space="preserve">Cours 031119 IFM — Projet Capstone IA</w:t>
      </w:r>
    </w:p>
    <w:p>
      <w:pPr>
        <w:spacing w:after="60"/>
      </w:pPr>
    </w:p>
    <w:p>
      <w:pPr>
        <w:spacing w:after="60"/>
      </w:pPr>
    </w:p>
    <w:p>
      <w:pPr>
        <w:pBdr>
          <w:top w:val="single" w:color="1B3A6B" w:sz="6"/>
          <w:bottom w:val="single" w:color="1B3A6B" w:sz="6"/>
        </w:pBdr>
        <w:spacing w:after="120" w:before="120"/>
        <w:jc w:val="center"/>
      </w:pPr>
      <w:r>
        <w:rPr>
          <w:rFonts w:ascii="Arial" w:cs="Arial" w:eastAsia="Arial" w:hAnsi="Arial"/>
          <w:b/>
          <w:bCs/>
          <w:color w:val="1B3A6B"/>
          <w:sz w:val="48"/>
          <w:szCs w:val="48"/>
        </w:rPr>
        <w:t xml:space="preserve">MANUEL UTILISATEUR</w:t>
      </w:r>
    </w:p>
    <w:p>
      <w:pPr>
        <w:spacing w:after="60"/>
      </w:pPr>
    </w:p>
    <w:p>
      <w:pPr>
        <w:spacing w:after="60"/>
        <w:jc w:val="center"/>
      </w:pPr>
      <w:r>
        <w:rPr>
          <w:rFonts w:ascii="Arial" w:cs="Arial" w:eastAsia="Arial" w:hAnsi="Arial"/>
          <w:b/>
          <w:bCs/>
          <w:color w:val="2E6DB4"/>
          <w:sz w:val="30"/>
          <w:szCs w:val="30"/>
        </w:rPr>
        <w:t xml:space="preserve">Pipeline NLP — Support Client IA</w:t>
      </w:r>
    </w:p>
    <w:p>
      <w:pPr>
        <w:spacing w:after="60"/>
        <w:jc w:val="center"/>
      </w:pPr>
      <w:r>
        <w:rPr>
          <w:rFonts w:ascii="Arial" w:cs="Arial" w:eastAsia="Arial" w:hAnsi="Arial"/>
          <w:color w:val="555555"/>
          <w:sz w:val="24"/>
          <w:szCs w:val="24"/>
        </w:rPr>
        <w:t xml:space="preserve">Guide d'utilisation non technique pour les agents de support</w:t>
      </w:r>
    </w:p>
    <w:p>
      <w:pPr>
        <w:spacing w:after="60"/>
      </w:pPr>
    </w:p>
    <w:p>
      <w:pPr>
        <w:spacing w:after="60"/>
      </w:pP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Manuel utilisateur (non technique)</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Version</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Finale — Avril 2026</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Public cible</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Agents de support client, superviseurs</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Auteurs</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Mohamed Ramy Boulkaraa | Aksil Abdelkhalek</w:t>
            </w:r>
          </w:p>
        </w:tc>
      </w:tr>
    </w:tbl>
    <w:p>
      <w:pPr>
        <w:spacing w:after="60"/>
      </w:pPr>
    </w:p>
    <w:p>
      <w:pPr>
        <w:spacing w:after="60"/>
      </w:pP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1. Introduction — À quoi sert cet outil ?</w:t>
      </w:r>
    </w:p>
    <w:p>
      <w:pPr>
        <w:spacing w:after="120" w:before="60"/>
      </w:pPr>
      <w:r>
        <w:rPr>
          <w:rFonts w:ascii="Arial" w:cs="Arial" w:eastAsia="Arial" w:hAnsi="Arial"/>
          <w:b w:val="false"/>
          <w:bCs w:val="false"/>
          <w:i w:val="false"/>
          <w:iCs w:val="false"/>
          <w:color w:val="2C2C2C"/>
          <w:sz w:val="22"/>
          <w:szCs w:val="22"/>
        </w:rPr>
        <w:t xml:space="preserve">Ce manuel explique comment utiliser le Pipeline NLP de support client développé dans le cadre du Projet Capstone IA. L'objectif de cet outil est simple : vous aider à traiter les tickets de support client plus rapidement et plus efficacement.</w:t>
      </w:r>
    </w:p>
    <w:p>
      <w:pPr>
        <w:spacing w:after="60"/>
      </w:pPr>
    </w:p>
    <w:p>
      <w:pPr>
        <w:spacing w:after="120" w:before="60"/>
      </w:pPr>
      <w:r>
        <w:rPr>
          <w:rFonts w:ascii="Arial" w:cs="Arial" w:eastAsia="Arial" w:hAnsi="Arial"/>
          <w:b w:val="false"/>
          <w:bCs w:val="false"/>
          <w:i w:val="false"/>
          <w:iCs w:val="false"/>
          <w:color w:val="2C2C2C"/>
          <w:sz w:val="22"/>
          <w:szCs w:val="22"/>
        </w:rPr>
        <w:t xml:space="preserve">L'outil fait trois choses automatiquement pour vous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24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 fait l'outil</w:t>
            </w:r>
          </w:p>
        </w:tc>
        <w:tc>
          <w:tcPr>
            <w:tcW w:type="dxa" w:w="6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 ça vous apporte</w:t>
            </w:r>
          </w:p>
        </w:tc>
      </w:tr>
      <w:tr>
        <w:tc>
          <w:tcPr>
            <w:tcW w:type="dxa" w:w="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Lit le ticket et identifie son type</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Vous savez immédiatement s'il s'agit d'un remboursement, d'un problème de livraison, etc.</w:t>
            </w:r>
          </w:p>
        </w:tc>
      </w:tr>
      <w:tr>
        <w:tc>
          <w:tcPr>
            <w:tcW w:type="dxa" w:w="6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w:t>
            </w:r>
          </w:p>
        </w:tc>
        <w:tc>
          <w:tcPr>
            <w:tcW w:type="dxa" w:w="24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Évalue l'urgence du ticket</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Les tickets critiques sont signalés en priorité — vous ne ratez plus les urgences</w:t>
            </w:r>
          </w:p>
        </w:tc>
      </w:tr>
      <w:tr>
        <w:tc>
          <w:tcPr>
            <w:tcW w:type="dxa" w:w="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Rédige une suggestion de réponse</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Vous n'avez plus à rédiger la réponse de zéro — vous la relisez et l'envoyez</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6DB4" w:sz="4"/>
              <w:left w:val="single" w:color="1B3A6B" w:sz="8"/>
              <w:bottom w:val="single" w:color="2E6DB4" w:sz="4"/>
              <w:right w:val="none" w:color="FFFFFF" w:sz="0"/>
            </w:tcBorders>
            <w:shd w:fill="D6E4F7" w:val="clear"/>
            <w:tcMar>
              <w:top w:type="dxa" w:w="120"/>
              <w:left w:type="dxa" w:w="200"/>
              <w:bottom w:type="dxa" w:w="120"/>
              <w:right w:type="dxa" w:w="200"/>
            </w:tcMar>
          </w:tcPr>
          <w:p>
            <w:r>
              <w:rPr>
                <w:rFonts w:ascii="Arial" w:cs="Arial" w:eastAsia="Arial" w:hAnsi="Arial"/>
                <w:b/>
                <w:bCs/>
                <w:color w:val="1B3A6B"/>
                <w:sz w:val="22"/>
                <w:szCs w:val="22"/>
              </w:rPr>
              <w:t xml:space="preserve">ℹ️ Important</w:t>
            </w:r>
          </w:p>
          <w:p>
            <w:pPr>
              <w:spacing w:after="0"/>
            </w:pPr>
            <w:r>
              <w:rPr>
                <w:rFonts w:ascii="Arial" w:cs="Arial" w:eastAsia="Arial" w:hAnsi="Arial"/>
                <w:color w:val="333333"/>
                <w:sz w:val="21"/>
                <w:szCs w:val="21"/>
              </w:rPr>
              <w:t xml:space="preserve">Cet outil est un assistant — pas un système automatique. Vous gardez toujours le contrôle. Chaque suggestion de réponse doit être validée par vous avant d'être envoyée au client.</w:t>
            </w:r>
          </w:p>
        </w:tc>
      </w:tr>
    </w:tbl>
    <w:p>
      <w:pPr>
        <w:spacing w:after="60"/>
      </w:pP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2. Ce que vous devez savoir avant de commencer</w:t>
      </w:r>
    </w:p>
    <w:p>
      <w:pPr>
        <w:pStyle w:val="Heading2"/>
        <w:spacing w:after="120" w:before="280"/>
      </w:pPr>
      <w:r>
        <w:rPr>
          <w:rFonts w:ascii="Arial" w:cs="Arial" w:eastAsia="Arial" w:hAnsi="Arial"/>
          <w:b/>
          <w:bCs/>
          <w:color w:val="2E6DB4"/>
          <w:sz w:val="26"/>
          <w:szCs w:val="26"/>
        </w:rPr>
        <w:t xml:space="preserve">2.1 Configuration requise</w:t>
      </w:r>
    </w:p>
    <w:p>
      <w:pPr>
        <w:pStyle w:val="ListParagraph"/>
        <w:numPr>
          <w:ilvl w:val="0"/>
          <w:numId w:val="2"/>
        </w:numPr>
        <w:spacing w:after="80"/>
      </w:pPr>
      <w:r>
        <w:rPr>
          <w:rFonts w:ascii="Arial" w:cs="Arial" w:eastAsia="Arial" w:hAnsi="Arial"/>
          <w:color w:val="2C2C2C"/>
          <w:sz w:val="22"/>
          <w:szCs w:val="22"/>
        </w:rPr>
        <w:t xml:space="preserve">Un compte Google (pour accéder à Google Colab et Google Drive)</w:t>
      </w:r>
    </w:p>
    <w:p>
      <w:pPr>
        <w:pStyle w:val="ListParagraph"/>
        <w:numPr>
          <w:ilvl w:val="0"/>
          <w:numId w:val="2"/>
        </w:numPr>
        <w:spacing w:after="80"/>
      </w:pPr>
      <w:r>
        <w:rPr>
          <w:rFonts w:ascii="Arial" w:cs="Arial" w:eastAsia="Arial" w:hAnsi="Arial"/>
          <w:color w:val="2C2C2C"/>
          <w:sz w:val="22"/>
          <w:szCs w:val="22"/>
        </w:rPr>
        <w:t xml:space="preserve">Accès à Google Colab (colab.research.google.com)</w:t>
      </w:r>
    </w:p>
    <w:p>
      <w:pPr>
        <w:pStyle w:val="ListParagraph"/>
        <w:numPr>
          <w:ilvl w:val="0"/>
          <w:numId w:val="2"/>
        </w:numPr>
        <w:spacing w:after="80"/>
      </w:pPr>
      <w:r>
        <w:rPr>
          <w:rFonts w:ascii="Arial" w:cs="Arial" w:eastAsia="Arial" w:hAnsi="Arial"/>
          <w:color w:val="2C2C2C"/>
          <w:sz w:val="22"/>
          <w:szCs w:val="22"/>
        </w:rPr>
        <w:t xml:space="preserve">Le notebook du projet copié sur votre Google Drive</w:t>
      </w:r>
    </w:p>
    <w:p>
      <w:pPr>
        <w:pStyle w:val="ListParagraph"/>
        <w:numPr>
          <w:ilvl w:val="0"/>
          <w:numId w:val="2"/>
        </w:numPr>
        <w:spacing w:after="80"/>
      </w:pPr>
      <w:r>
        <w:rPr>
          <w:rFonts w:ascii="Arial" w:cs="Arial" w:eastAsia="Arial" w:hAnsi="Arial"/>
          <w:color w:val="2C2C2C"/>
          <w:sz w:val="22"/>
          <w:szCs w:val="22"/>
        </w:rPr>
        <w:t xml:space="preserve">Une connexion internet stable</w:t>
      </w:r>
    </w:p>
    <w:p>
      <w:pPr>
        <w:pStyle w:val="ListParagraph"/>
        <w:numPr>
          <w:ilvl w:val="0"/>
          <w:numId w:val="2"/>
        </w:numPr>
        <w:spacing w:after="80"/>
      </w:pPr>
      <w:r>
        <w:rPr>
          <w:rFonts w:ascii="Arial" w:cs="Arial" w:eastAsia="Arial" w:hAnsi="Arial"/>
          <w:color w:val="2C2C2C"/>
          <w:sz w:val="22"/>
          <w:szCs w:val="22"/>
        </w:rPr>
        <w:t xml:space="preserve">La clé API Groq (fournie par l'équipe technique) pour la génération de réponses</w:t>
      </w:r>
    </w:p>
    <w:p>
      <w:pPr>
        <w:spacing w:after="60"/>
      </w:pPr>
    </w:p>
    <w:p>
      <w:pPr>
        <w:pStyle w:val="Heading2"/>
        <w:spacing w:after="120" w:before="280"/>
      </w:pPr>
      <w:r>
        <w:rPr>
          <w:rFonts w:ascii="Arial" w:cs="Arial" w:eastAsia="Arial" w:hAnsi="Arial"/>
          <w:b/>
          <w:bCs/>
          <w:color w:val="2E6DB4"/>
          <w:sz w:val="26"/>
          <w:szCs w:val="26"/>
        </w:rPr>
        <w:t xml:space="preserve">2.2 Ce que vous n'avez pas besoin de savoir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6DB4" w:sz="4"/>
              <w:left w:val="single" w:color="1B3A6B" w:sz="8"/>
              <w:bottom w:val="single" w:color="2E6DB4" w:sz="4"/>
              <w:right w:val="none" w:color="FFFFFF" w:sz="0"/>
            </w:tcBorders>
            <w:shd w:fill="F5F7FA" w:val="clear"/>
            <w:tcMar>
              <w:top w:type="dxa" w:w="120"/>
              <w:left w:type="dxa" w:w="200"/>
              <w:bottom w:type="dxa" w:w="120"/>
              <w:right w:type="dxa" w:w="200"/>
            </w:tcMar>
          </w:tcPr>
          <w:p>
            <w:r>
              <w:rPr>
                <w:rFonts w:ascii="Arial" w:cs="Arial" w:eastAsia="Arial" w:hAnsi="Arial"/>
                <w:b/>
                <w:bCs/>
                <w:color w:val="1B3A6B"/>
                <w:sz w:val="22"/>
                <w:szCs w:val="22"/>
              </w:rPr>
              <w:t xml:space="preserve">✅ Bonne nouvelle</w:t>
            </w:r>
          </w:p>
          <w:p>
            <w:pPr>
              <w:spacing w:after="0"/>
            </w:pPr>
            <w:r>
              <w:rPr>
                <w:rFonts w:ascii="Arial" w:cs="Arial" w:eastAsia="Arial" w:hAnsi="Arial"/>
                <w:color w:val="333333"/>
                <w:sz w:val="21"/>
                <w:szCs w:val="21"/>
              </w:rPr>
              <w:t xml:space="preserve">Vous n'avez pas besoin de connaître le code Python, le machine learning ou l'IA pour utiliser cet outil. Ce manuel vous guide étape par étape avec des captures d'écran et des instructions simples.</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3. Démarrage — Lancer l'outil</w:t>
      </w:r>
    </w:p>
    <w:p>
      <w:pPr>
        <w:pStyle w:val="Heading3"/>
        <w:spacing w:after="80" w:before="200"/>
      </w:pPr>
      <w:r>
        <w:rPr>
          <w:rFonts w:ascii="Arial" w:cs="Arial" w:eastAsia="Arial" w:hAnsi="Arial"/>
          <w:b/>
          <w:bCs/>
          <w:color w:val="1B3A6B"/>
          <w:sz w:val="24"/>
          <w:szCs w:val="24"/>
        </w:rPr>
        <w:t xml:space="preserve">Étape 1 — Ouvrir Google Colab</w:t>
      </w:r>
    </w:p>
    <w:p>
      <w:pPr>
        <w:pStyle w:val="ListParagraph"/>
        <w:numPr>
          <w:ilvl w:val="0"/>
          <w:numId w:val="3"/>
        </w:numPr>
        <w:spacing w:after="80"/>
      </w:pPr>
      <w:r>
        <w:rPr>
          <w:rFonts w:ascii="Arial" w:cs="Arial" w:eastAsia="Arial" w:hAnsi="Arial"/>
          <w:color w:val="2C2C2C"/>
          <w:sz w:val="22"/>
          <w:szCs w:val="22"/>
        </w:rPr>
        <w:t xml:space="preserve">Ouvrez votre navigateur et allez sur colab.research.google.com</w:t>
      </w:r>
    </w:p>
    <w:p>
      <w:pPr>
        <w:pStyle w:val="ListParagraph"/>
        <w:numPr>
          <w:ilvl w:val="0"/>
          <w:numId w:val="3"/>
        </w:numPr>
        <w:spacing w:after="80"/>
      </w:pPr>
      <w:r>
        <w:rPr>
          <w:rFonts w:ascii="Arial" w:cs="Arial" w:eastAsia="Arial" w:hAnsi="Arial"/>
          <w:color w:val="2C2C2C"/>
          <w:sz w:val="22"/>
          <w:szCs w:val="22"/>
        </w:rPr>
        <w:t xml:space="preserve">Connectez-vous avec votre compte Google</w:t>
      </w:r>
    </w:p>
    <w:p>
      <w:pPr>
        <w:pStyle w:val="ListParagraph"/>
        <w:numPr>
          <w:ilvl w:val="0"/>
          <w:numId w:val="3"/>
        </w:numPr>
        <w:spacing w:after="80"/>
      </w:pPr>
      <w:r>
        <w:rPr>
          <w:rFonts w:ascii="Arial" w:cs="Arial" w:eastAsia="Arial" w:hAnsi="Arial"/>
          <w:color w:val="2C2C2C"/>
          <w:sz w:val="22"/>
          <w:szCs w:val="22"/>
        </w:rPr>
        <w:t xml:space="preserve">Dans le menu Fichier, cliquez sur « Ouvrir le notebook »</w:t>
      </w:r>
    </w:p>
    <w:p>
      <w:pPr>
        <w:pStyle w:val="ListParagraph"/>
        <w:numPr>
          <w:ilvl w:val="0"/>
          <w:numId w:val="3"/>
        </w:numPr>
        <w:spacing w:after="80"/>
      </w:pPr>
      <w:r>
        <w:rPr>
          <w:rFonts w:ascii="Arial" w:cs="Arial" w:eastAsia="Arial" w:hAnsi="Arial"/>
          <w:color w:val="2C2C2C"/>
          <w:sz w:val="22"/>
          <w:szCs w:val="22"/>
        </w:rPr>
        <w:t xml:space="preserve">Naviguez vers votre Google Drive et sélectionnez le fichier Module3_Generation_Reponses_FINAL.ipynb</w:t>
      </w:r>
    </w:p>
    <w:p>
      <w:pPr>
        <w:spacing w:after="60"/>
      </w:pPr>
    </w:p>
    <w:p>
      <w:pPr>
        <w:pStyle w:val="Heading3"/>
        <w:spacing w:after="80" w:before="200"/>
      </w:pPr>
      <w:r>
        <w:rPr>
          <w:rFonts w:ascii="Arial" w:cs="Arial" w:eastAsia="Arial" w:hAnsi="Arial"/>
          <w:b/>
          <w:bCs/>
          <w:color w:val="1B3A6B"/>
          <w:sz w:val="24"/>
          <w:szCs w:val="24"/>
        </w:rPr>
        <w:t xml:space="preserve">Étape 2 — Activer le GPU</w:t>
      </w:r>
    </w:p>
    <w:p>
      <w:pPr>
        <w:pStyle w:val="ListParagraph"/>
        <w:numPr>
          <w:ilvl w:val="0"/>
          <w:numId w:val="3"/>
        </w:numPr>
        <w:spacing w:after="80"/>
      </w:pPr>
      <w:r>
        <w:rPr>
          <w:rFonts w:ascii="Arial" w:cs="Arial" w:eastAsia="Arial" w:hAnsi="Arial"/>
          <w:color w:val="2C2C2C"/>
          <w:sz w:val="22"/>
          <w:szCs w:val="22"/>
        </w:rPr>
        <w:t xml:space="preserve">Dans le menu en haut, cliquez sur « Exécution »</w:t>
      </w:r>
    </w:p>
    <w:p>
      <w:pPr>
        <w:pStyle w:val="ListParagraph"/>
        <w:numPr>
          <w:ilvl w:val="0"/>
          <w:numId w:val="3"/>
        </w:numPr>
        <w:spacing w:after="80"/>
      </w:pPr>
      <w:r>
        <w:rPr>
          <w:rFonts w:ascii="Arial" w:cs="Arial" w:eastAsia="Arial" w:hAnsi="Arial"/>
          <w:color w:val="2C2C2C"/>
          <w:sz w:val="22"/>
          <w:szCs w:val="22"/>
        </w:rPr>
        <w:t xml:space="preserve">Choisissez « Modifier le type d'exécution »</w:t>
      </w:r>
    </w:p>
    <w:p>
      <w:pPr>
        <w:pStyle w:val="ListParagraph"/>
        <w:numPr>
          <w:ilvl w:val="0"/>
          <w:numId w:val="3"/>
        </w:numPr>
        <w:spacing w:after="80"/>
      </w:pPr>
      <w:r>
        <w:rPr>
          <w:rFonts w:ascii="Arial" w:cs="Arial" w:eastAsia="Arial" w:hAnsi="Arial"/>
          <w:color w:val="2C2C2C"/>
          <w:sz w:val="22"/>
          <w:szCs w:val="22"/>
        </w:rPr>
        <w:t xml:space="preserve">Dans le menu déroulant « Accélérateur matériel », sélectionnez « GPU »</w:t>
      </w:r>
    </w:p>
    <w:p>
      <w:pPr>
        <w:pStyle w:val="ListParagraph"/>
        <w:numPr>
          <w:ilvl w:val="0"/>
          <w:numId w:val="3"/>
        </w:numPr>
        <w:spacing w:after="80"/>
      </w:pPr>
      <w:r>
        <w:rPr>
          <w:rFonts w:ascii="Arial" w:cs="Arial" w:eastAsia="Arial" w:hAnsi="Arial"/>
          <w:color w:val="2C2C2C"/>
          <w:sz w:val="22"/>
          <w:szCs w:val="22"/>
        </w:rPr>
        <w:t xml:space="preserve">Cliquez sur « Enregistrer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6DB4" w:sz="4"/>
              <w:left w:val="single" w:color="1B3A6B" w:sz="8"/>
              <w:bottom w:val="single" w:color="2E6DB4" w:sz="4"/>
              <w:right w:val="none" w:color="FFFFFF" w:sz="0"/>
            </w:tcBorders>
            <w:shd w:fill="D6E4F7" w:val="clear"/>
            <w:tcMar>
              <w:top w:type="dxa" w:w="120"/>
              <w:left w:type="dxa" w:w="200"/>
              <w:bottom w:type="dxa" w:w="120"/>
              <w:right w:type="dxa" w:w="200"/>
            </w:tcMar>
          </w:tcPr>
          <w:p>
            <w:r>
              <w:rPr>
                <w:rFonts w:ascii="Arial" w:cs="Arial" w:eastAsia="Arial" w:hAnsi="Arial"/>
                <w:b/>
                <w:bCs/>
                <w:color w:val="1B3A6B"/>
                <w:sz w:val="22"/>
                <w:szCs w:val="22"/>
              </w:rPr>
              <w:t xml:space="preserve">⚠️ Attention</w:t>
            </w:r>
          </w:p>
          <w:p>
            <w:pPr>
              <w:spacing w:after="0"/>
            </w:pPr>
            <w:r>
              <w:rPr>
                <w:rFonts w:ascii="Arial" w:cs="Arial" w:eastAsia="Arial" w:hAnsi="Arial"/>
                <w:color w:val="333333"/>
                <w:sz w:val="21"/>
                <w:szCs w:val="21"/>
              </w:rPr>
              <w:t xml:space="preserve">Si vous ne sélectionnez pas le GPU, le chargement des modèles prendra beaucoup plus de temps (30-60 minutes au lieu de 5 minutes).</w:t>
            </w:r>
          </w:p>
        </w:tc>
      </w:tr>
    </w:tbl>
    <w:p>
      <w:pPr>
        <w:spacing w:after="60"/>
      </w:pPr>
    </w:p>
    <w:p>
      <w:pPr>
        <w:pStyle w:val="Heading3"/>
        <w:spacing w:after="80" w:before="200"/>
      </w:pPr>
      <w:r>
        <w:rPr>
          <w:rFonts w:ascii="Arial" w:cs="Arial" w:eastAsia="Arial" w:hAnsi="Arial"/>
          <w:b/>
          <w:bCs/>
          <w:color w:val="1B3A6B"/>
          <w:sz w:val="24"/>
          <w:szCs w:val="24"/>
        </w:rPr>
        <w:t xml:space="preserve">Étape 3 — Monter Google Drive</w:t>
      </w:r>
    </w:p>
    <w:p>
      <w:pPr>
        <w:pStyle w:val="ListParagraph"/>
        <w:numPr>
          <w:ilvl w:val="0"/>
          <w:numId w:val="3"/>
        </w:numPr>
        <w:spacing w:after="80"/>
      </w:pPr>
      <w:r>
        <w:rPr>
          <w:rFonts w:ascii="Arial" w:cs="Arial" w:eastAsia="Arial" w:hAnsi="Arial"/>
          <w:color w:val="2C2C2C"/>
          <w:sz w:val="22"/>
          <w:szCs w:val="22"/>
        </w:rPr>
        <w:t xml:space="preserve">Cliquez sur la première cellule du notebook (« 1.1 Montage Google Drive »)</w:t>
      </w:r>
    </w:p>
    <w:p>
      <w:pPr>
        <w:pStyle w:val="ListParagraph"/>
        <w:numPr>
          <w:ilvl w:val="0"/>
          <w:numId w:val="3"/>
        </w:numPr>
        <w:spacing w:after="80"/>
      </w:pPr>
      <w:r>
        <w:rPr>
          <w:rFonts w:ascii="Arial" w:cs="Arial" w:eastAsia="Arial" w:hAnsi="Arial"/>
          <w:color w:val="2C2C2C"/>
          <w:sz w:val="22"/>
          <w:szCs w:val="22"/>
        </w:rPr>
        <w:t xml:space="preserve">Appuyez sur le bouton ▶ à gauche de la cellule, ou utilisez Shift+Entrée</w:t>
      </w:r>
    </w:p>
    <w:p>
      <w:pPr>
        <w:pStyle w:val="ListParagraph"/>
        <w:numPr>
          <w:ilvl w:val="0"/>
          <w:numId w:val="3"/>
        </w:numPr>
        <w:spacing w:after="80"/>
      </w:pPr>
      <w:r>
        <w:rPr>
          <w:rFonts w:ascii="Arial" w:cs="Arial" w:eastAsia="Arial" w:hAnsi="Arial"/>
          <w:color w:val="2C2C2C"/>
          <w:sz w:val="22"/>
          <w:szCs w:val="22"/>
        </w:rPr>
        <w:t xml:space="preserve">Une popup Google apparaît — cliquez sur « Autoriser » pour connecter votre Drive</w:t>
      </w:r>
    </w:p>
    <w:p>
      <w:pPr>
        <w:pStyle w:val="ListParagraph"/>
        <w:numPr>
          <w:ilvl w:val="0"/>
          <w:numId w:val="3"/>
        </w:numPr>
        <w:spacing w:after="80"/>
      </w:pPr>
      <w:r>
        <w:rPr>
          <w:rFonts w:ascii="Arial" w:cs="Arial" w:eastAsia="Arial" w:hAnsi="Arial"/>
          <w:color w:val="2C2C2C"/>
          <w:sz w:val="22"/>
          <w:szCs w:val="22"/>
        </w:rPr>
        <w:t xml:space="preserve">Attendez le message : Drive already mounted ou Drive monté</w:t>
      </w:r>
    </w:p>
    <w:p>
      <w:pPr>
        <w:spacing w:after="60"/>
      </w:pPr>
    </w:p>
    <w:p>
      <w:pPr>
        <w:pStyle w:val="Heading3"/>
        <w:spacing w:after="80" w:before="200"/>
      </w:pPr>
      <w:r>
        <w:rPr>
          <w:rFonts w:ascii="Arial" w:cs="Arial" w:eastAsia="Arial" w:hAnsi="Arial"/>
          <w:b/>
          <w:bCs/>
          <w:color w:val="1B3A6B"/>
          <w:sz w:val="24"/>
          <w:szCs w:val="24"/>
        </w:rPr>
        <w:t xml:space="preserve">Étape 4 — Installer les dépendances</w:t>
      </w:r>
    </w:p>
    <w:p>
      <w:pPr>
        <w:pStyle w:val="ListParagraph"/>
        <w:numPr>
          <w:ilvl w:val="0"/>
          <w:numId w:val="3"/>
        </w:numPr>
        <w:spacing w:after="80"/>
      </w:pPr>
      <w:r>
        <w:rPr>
          <w:rFonts w:ascii="Arial" w:cs="Arial" w:eastAsia="Arial" w:hAnsi="Arial"/>
          <w:color w:val="2C2C2C"/>
          <w:sz w:val="22"/>
          <w:szCs w:val="22"/>
        </w:rPr>
        <w:t xml:space="preserve">Cliquez sur la cellule « 1.3 Installation des dépendances »</w:t>
      </w:r>
    </w:p>
    <w:p>
      <w:pPr>
        <w:pStyle w:val="ListParagraph"/>
        <w:numPr>
          <w:ilvl w:val="0"/>
          <w:numId w:val="3"/>
        </w:numPr>
        <w:spacing w:after="80"/>
      </w:pPr>
      <w:r>
        <w:rPr>
          <w:rFonts w:ascii="Arial" w:cs="Arial" w:eastAsia="Arial" w:hAnsi="Arial"/>
          <w:color w:val="2C2C2C"/>
          <w:sz w:val="22"/>
          <w:szCs w:val="22"/>
        </w:rPr>
        <w:t xml:space="preserve">Appuyez sur Shift+Entrée et attendez la fin de l'installation (environ 2-3 minutes)</w:t>
      </w:r>
    </w:p>
    <w:p>
      <w:pPr>
        <w:pStyle w:val="ListParagraph"/>
        <w:numPr>
          <w:ilvl w:val="0"/>
          <w:numId w:val="3"/>
        </w:numPr>
        <w:spacing w:after="80"/>
      </w:pPr>
      <w:r>
        <w:rPr>
          <w:rFonts w:ascii="Arial" w:cs="Arial" w:eastAsia="Arial" w:hAnsi="Arial"/>
          <w:color w:val="2C2C2C"/>
          <w:sz w:val="22"/>
          <w:szCs w:val="22"/>
        </w:rPr>
        <w:t xml:space="preserve">Vous devriez voir : ✅ Librairies importées</w:t>
      </w:r>
    </w:p>
    <w:p>
      <w:pPr>
        <w:spacing w:after="60"/>
      </w:pPr>
    </w:p>
    <w:p>
      <w:pPr>
        <w:pStyle w:val="Heading3"/>
        <w:spacing w:after="80" w:before="200"/>
      </w:pPr>
      <w:r>
        <w:rPr>
          <w:rFonts w:ascii="Arial" w:cs="Arial" w:eastAsia="Arial" w:hAnsi="Arial"/>
          <w:b/>
          <w:bCs/>
          <w:color w:val="1B3A6B"/>
          <w:sz w:val="24"/>
          <w:szCs w:val="24"/>
        </w:rPr>
        <w:t xml:space="preserve">Étape 5 — Configurer la clé Groq API</w:t>
      </w:r>
    </w:p>
    <w:p>
      <w:pPr>
        <w:pStyle w:val="ListParagraph"/>
        <w:numPr>
          <w:ilvl w:val="0"/>
          <w:numId w:val="3"/>
        </w:numPr>
        <w:spacing w:after="80"/>
      </w:pPr>
      <w:r>
        <w:rPr>
          <w:rFonts w:ascii="Arial" w:cs="Arial" w:eastAsia="Arial" w:hAnsi="Arial"/>
          <w:color w:val="2C2C2C"/>
          <w:sz w:val="22"/>
          <w:szCs w:val="22"/>
        </w:rPr>
        <w:t xml:space="preserve">Cliquez sur la cellule « 1.4 Configuration Groq API »</w:t>
      </w:r>
    </w:p>
    <w:p>
      <w:pPr>
        <w:pStyle w:val="ListParagraph"/>
        <w:numPr>
          <w:ilvl w:val="0"/>
          <w:numId w:val="3"/>
        </w:numPr>
        <w:spacing w:after="80"/>
      </w:pPr>
      <w:r>
        <w:rPr>
          <w:rFonts w:ascii="Arial" w:cs="Arial" w:eastAsia="Arial" w:hAnsi="Arial"/>
          <w:color w:val="2C2C2C"/>
          <w:sz w:val="22"/>
          <w:szCs w:val="22"/>
        </w:rPr>
        <w:t xml:space="preserve">Exécutez la cellule avec Shift+Entrée</w:t>
      </w:r>
    </w:p>
    <w:p>
      <w:pPr>
        <w:pStyle w:val="ListParagraph"/>
        <w:numPr>
          <w:ilvl w:val="0"/>
          <w:numId w:val="3"/>
        </w:numPr>
        <w:spacing w:after="80"/>
      </w:pPr>
      <w:r>
        <w:rPr>
          <w:rFonts w:ascii="Arial" w:cs="Arial" w:eastAsia="Arial" w:hAnsi="Arial"/>
          <w:color w:val="2C2C2C"/>
          <w:sz w:val="22"/>
          <w:szCs w:val="22"/>
        </w:rPr>
        <w:t xml:space="preserve">Si demandé, entrez votre clé API dans le champ qui apparaît et appuyez sur Entrée</w:t>
      </w:r>
    </w:p>
    <w:p>
      <w:pPr>
        <w:pStyle w:val="ListParagraph"/>
        <w:numPr>
          <w:ilvl w:val="0"/>
          <w:numId w:val="3"/>
        </w:numPr>
        <w:spacing w:after="80"/>
      </w:pPr>
      <w:r>
        <w:rPr>
          <w:rFonts w:ascii="Arial" w:cs="Arial" w:eastAsia="Arial" w:hAnsi="Arial"/>
          <w:color w:val="2C2C2C"/>
          <w:sz w:val="22"/>
          <w:szCs w:val="22"/>
        </w:rPr>
        <w:t xml:space="preserve">Vous devriez voir : ✅ Clé Groq API chargée et ✅ Modèle LLM : llama-3.1-8b-instant</w:t>
      </w:r>
    </w:p>
    <w:p>
      <w:pPr>
        <w:spacing w:after="60"/>
      </w:pPr>
    </w:p>
    <w:p>
      <w:pPr>
        <w:pStyle w:val="Heading3"/>
        <w:spacing w:after="80" w:before="200"/>
      </w:pPr>
      <w:r>
        <w:rPr>
          <w:rFonts w:ascii="Arial" w:cs="Arial" w:eastAsia="Arial" w:hAnsi="Arial"/>
          <w:b/>
          <w:bCs/>
          <w:color w:val="1B3A6B"/>
          <w:sz w:val="24"/>
          <w:szCs w:val="24"/>
        </w:rPr>
        <w:t xml:space="preserve">Étape 6 — Charger les modèles M1 et M2</w:t>
      </w:r>
    </w:p>
    <w:p>
      <w:pPr>
        <w:pStyle w:val="ListParagraph"/>
        <w:numPr>
          <w:ilvl w:val="0"/>
          <w:numId w:val="3"/>
        </w:numPr>
        <w:spacing w:after="80"/>
      </w:pPr>
      <w:r>
        <w:rPr>
          <w:rFonts w:ascii="Arial" w:cs="Arial" w:eastAsia="Arial" w:hAnsi="Arial"/>
          <w:color w:val="2C2C2C"/>
          <w:sz w:val="22"/>
          <w:szCs w:val="22"/>
        </w:rPr>
        <w:t xml:space="preserve">Exécutez la cellule « 2.1 Chargement des Modules 1 et 2 »</w:t>
      </w:r>
    </w:p>
    <w:p>
      <w:pPr>
        <w:pStyle w:val="ListParagraph"/>
        <w:numPr>
          <w:ilvl w:val="0"/>
          <w:numId w:val="3"/>
        </w:numPr>
        <w:spacing w:after="80"/>
      </w:pPr>
      <w:r>
        <w:rPr>
          <w:rFonts w:ascii="Arial" w:cs="Arial" w:eastAsia="Arial" w:hAnsi="Arial"/>
          <w:color w:val="2C2C2C"/>
          <w:sz w:val="22"/>
          <w:szCs w:val="22"/>
        </w:rPr>
        <w:t xml:space="preserve">Le téléchargement des modèles depuis Drive prend environ 3-5 minutes</w:t>
      </w:r>
    </w:p>
    <w:p>
      <w:pPr>
        <w:pStyle w:val="ListParagraph"/>
        <w:numPr>
          <w:ilvl w:val="0"/>
          <w:numId w:val="3"/>
        </w:numPr>
        <w:spacing w:after="80"/>
      </w:pPr>
      <w:r>
        <w:rPr>
          <w:rFonts w:ascii="Arial" w:cs="Arial" w:eastAsia="Arial" w:hAnsi="Arial"/>
          <w:color w:val="2C2C2C"/>
          <w:sz w:val="22"/>
          <w:szCs w:val="22"/>
        </w:rPr>
        <w:t xml:space="preserve">Attendez les messages : ✅ Module 1 — 11 classes chargées et ✅ Module 2 — 4 niveaux chargés</w:t>
      </w:r>
    </w:p>
    <w:p>
      <w:pPr>
        <w:spacing w:after="60"/>
      </w:pPr>
    </w:p>
    <w:p>
      <w:pPr>
        <w:pStyle w:val="Heading3"/>
        <w:spacing w:after="80" w:before="200"/>
      </w:pPr>
      <w:r>
        <w:rPr>
          <w:rFonts w:ascii="Arial" w:cs="Arial" w:eastAsia="Arial" w:hAnsi="Arial"/>
          <w:b/>
          <w:bCs/>
          <w:color w:val="1B3A6B"/>
          <w:sz w:val="24"/>
          <w:szCs w:val="24"/>
        </w:rPr>
        <w:t xml:space="preserve">Étape 7 — Construire l'index RAG</w:t>
      </w:r>
    </w:p>
    <w:p>
      <w:pPr>
        <w:pStyle w:val="ListParagraph"/>
        <w:numPr>
          <w:ilvl w:val="0"/>
          <w:numId w:val="3"/>
        </w:numPr>
        <w:spacing w:after="80"/>
      </w:pPr>
      <w:r>
        <w:rPr>
          <w:rFonts w:ascii="Arial" w:cs="Arial" w:eastAsia="Arial" w:hAnsi="Arial"/>
          <w:color w:val="2C2C2C"/>
          <w:sz w:val="22"/>
          <w:szCs w:val="22"/>
        </w:rPr>
        <w:t xml:space="preserve">Exécutez les cellules 3 à 5 dans l'ordre (Section 3 : Dataset, Section 4 : RAG)</w:t>
      </w:r>
    </w:p>
    <w:p>
      <w:pPr>
        <w:pStyle w:val="ListParagraph"/>
        <w:numPr>
          <w:ilvl w:val="0"/>
          <w:numId w:val="3"/>
        </w:numPr>
        <w:spacing w:after="80"/>
      </w:pPr>
      <w:r>
        <w:rPr>
          <w:rFonts w:ascii="Arial" w:cs="Arial" w:eastAsia="Arial" w:hAnsi="Arial"/>
          <w:color w:val="2C2C2C"/>
          <w:sz w:val="22"/>
          <w:szCs w:val="22"/>
        </w:rPr>
        <w:t xml:space="preserve">Attendez le message : ✅ Index RAG construit — 74 documents</w:t>
      </w:r>
    </w:p>
    <w:p>
      <w:pPr>
        <w:spacing w:after="60"/>
      </w:pPr>
    </w:p>
    <w:p>
      <w:pPr>
        <w:pStyle w:val="Heading3"/>
        <w:spacing w:after="80" w:before="200"/>
      </w:pPr>
      <w:r>
        <w:rPr>
          <w:rFonts w:ascii="Arial" w:cs="Arial" w:eastAsia="Arial" w:hAnsi="Arial"/>
          <w:b/>
          <w:bCs/>
          <w:color w:val="1B3A6B"/>
          <w:sz w:val="24"/>
          <w:szCs w:val="24"/>
        </w:rPr>
        <w:t xml:space="preserve">Étape 8 — Lancer le mode interactif</w:t>
      </w:r>
    </w:p>
    <w:p>
      <w:pPr>
        <w:pStyle w:val="ListParagraph"/>
        <w:numPr>
          <w:ilvl w:val="0"/>
          <w:numId w:val="3"/>
        </w:numPr>
        <w:spacing w:after="80"/>
      </w:pPr>
      <w:r>
        <w:rPr>
          <w:rFonts w:ascii="Arial" w:cs="Arial" w:eastAsia="Arial" w:hAnsi="Arial"/>
          <w:color w:val="2C2C2C"/>
          <w:sz w:val="22"/>
          <w:szCs w:val="22"/>
        </w:rPr>
        <w:t xml:space="preserve">Descendez jusqu'à la cellule « 8.3 Mode conversation interactive »</w:t>
      </w:r>
    </w:p>
    <w:p>
      <w:pPr>
        <w:pStyle w:val="ListParagraph"/>
        <w:numPr>
          <w:ilvl w:val="0"/>
          <w:numId w:val="3"/>
        </w:numPr>
        <w:spacing w:after="80"/>
      </w:pPr>
      <w:r>
        <w:rPr>
          <w:rFonts w:ascii="Arial" w:cs="Arial" w:eastAsia="Arial" w:hAnsi="Arial"/>
          <w:color w:val="2C2C2C"/>
          <w:sz w:val="22"/>
          <w:szCs w:val="22"/>
        </w:rPr>
        <w:t xml:space="preserve">Exécutez cette cellule avec Shift+Entrée</w:t>
      </w:r>
    </w:p>
    <w:p>
      <w:pPr>
        <w:pStyle w:val="ListParagraph"/>
        <w:numPr>
          <w:ilvl w:val="0"/>
          <w:numId w:val="3"/>
        </w:numPr>
        <w:spacing w:after="80"/>
      </w:pPr>
      <w:r>
        <w:rPr>
          <w:rFonts w:ascii="Arial" w:cs="Arial" w:eastAsia="Arial" w:hAnsi="Arial"/>
          <w:color w:val="2C2C2C"/>
          <w:sz w:val="22"/>
          <w:szCs w:val="22"/>
        </w:rPr>
        <w:t xml:space="preserve">Un champ de saisie apparaît au bas de la cellule : 👤 Vous :</w:t>
      </w:r>
    </w:p>
    <w:p>
      <w:pPr>
        <w:pStyle w:val="ListParagraph"/>
        <w:numPr>
          <w:ilvl w:val="0"/>
          <w:numId w:val="3"/>
        </w:numPr>
        <w:spacing w:after="80"/>
      </w:pPr>
      <w:r>
        <w:rPr>
          <w:rFonts w:ascii="Arial" w:cs="Arial" w:eastAsia="Arial" w:hAnsi="Arial"/>
          <w:color w:val="2C2C2C"/>
          <w:sz w:val="22"/>
          <w:szCs w:val="22"/>
        </w:rPr>
        <w:t xml:space="preserve">Vous pouvez maintenant entrer des tickets de clients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6DB4" w:sz="4"/>
              <w:left w:val="single" w:color="1B3A6B" w:sz="8"/>
              <w:bottom w:val="single" w:color="2E6DB4" w:sz="4"/>
              <w:right w:val="none" w:color="FFFFFF" w:sz="0"/>
            </w:tcBorders>
            <w:shd w:fill="F5F7FA" w:val="clear"/>
            <w:tcMar>
              <w:top w:type="dxa" w:w="120"/>
              <w:left w:type="dxa" w:w="200"/>
              <w:bottom w:type="dxa" w:w="120"/>
              <w:right w:type="dxa" w:w="200"/>
            </w:tcMar>
          </w:tcPr>
          <w:p>
            <w:r>
              <w:rPr>
                <w:rFonts w:ascii="Arial" w:cs="Arial" w:eastAsia="Arial" w:hAnsi="Arial"/>
                <w:b/>
                <w:bCs/>
                <w:color w:val="1B3A6B"/>
                <w:sz w:val="22"/>
                <w:szCs w:val="22"/>
              </w:rPr>
              <w:t xml:space="preserve">✅ Prêt !</w:t>
            </w:r>
          </w:p>
          <w:p>
            <w:pPr>
              <w:spacing w:after="0"/>
            </w:pPr>
            <w:r>
              <w:rPr>
                <w:rFonts w:ascii="Arial" w:cs="Arial" w:eastAsia="Arial" w:hAnsi="Arial"/>
                <w:color w:val="333333"/>
                <w:sz w:val="21"/>
                <w:szCs w:val="21"/>
              </w:rPr>
              <w:t xml:space="preserve">Vous êtes maintenant prêt à traiter des tickets. L'outil fonctionne en français et en anglais — vous pouvez entrer les tickets tels quels, dans la langue du client.</w:t>
            </w:r>
          </w:p>
        </w:tc>
      </w:tr>
    </w:tbl>
    <w:p>
      <w:pPr>
        <w:spacing w:after="60"/>
      </w:pP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4. Utilisation quotidienne — Traiter un ticket</w:t>
      </w:r>
    </w:p>
    <w:p>
      <w:pPr>
        <w:pStyle w:val="Heading2"/>
        <w:spacing w:after="120" w:before="280"/>
      </w:pPr>
      <w:r>
        <w:rPr>
          <w:rFonts w:ascii="Arial" w:cs="Arial" w:eastAsia="Arial" w:hAnsi="Arial"/>
          <w:b/>
          <w:bCs/>
          <w:color w:val="2E6DB4"/>
          <w:sz w:val="26"/>
          <w:szCs w:val="26"/>
        </w:rPr>
        <w:t xml:space="preserve">4.1 Comment entrer un ticket</w:t>
      </w:r>
    </w:p>
    <w:p>
      <w:pPr>
        <w:spacing w:after="120" w:before="60"/>
      </w:pPr>
      <w:r>
        <w:rPr>
          <w:rFonts w:ascii="Arial" w:cs="Arial" w:eastAsia="Arial" w:hAnsi="Arial"/>
          <w:b w:val="false"/>
          <w:bCs w:val="false"/>
          <w:i w:val="false"/>
          <w:iCs w:val="false"/>
          <w:color w:val="2C2C2C"/>
          <w:sz w:val="22"/>
          <w:szCs w:val="22"/>
        </w:rPr>
        <w:t xml:space="preserve">Lorsque vous êtes en mode interactif, vous voyez ceci en bas de la cellule :</w:t>
      </w:r>
    </w:p>
    <w:p>
      <w:pPr>
        <w:spacing w:after="60"/>
      </w:pPr>
    </w:p>
    <w:p>
      <w:pPr>
        <w:spacing w:after="120" w:before="60"/>
      </w:pPr>
      <w:r>
        <w:rPr>
          <w:rFonts w:ascii="Arial" w:cs="Arial" w:eastAsia="Arial" w:hAnsi="Arial"/>
          <w:b/>
          <w:bCs/>
          <w:i w:val="false"/>
          <w:iCs w:val="false"/>
          <w:color w:val="1B3A6B"/>
          <w:sz w:val="22"/>
          <w:szCs w:val="22"/>
        </w:rPr>
        <w:t xml:space="preserve">👤 Vous : [votre texte ici]</w:t>
      </w:r>
    </w:p>
    <w:p>
      <w:pPr>
        <w:spacing w:after="60"/>
      </w:pPr>
    </w:p>
    <w:p>
      <w:pPr>
        <w:pStyle w:val="ListParagraph"/>
        <w:numPr>
          <w:ilvl w:val="0"/>
          <w:numId w:val="3"/>
        </w:numPr>
        <w:spacing w:after="80"/>
      </w:pPr>
      <w:r>
        <w:rPr>
          <w:rFonts w:ascii="Arial" w:cs="Arial" w:eastAsia="Arial" w:hAnsi="Arial"/>
          <w:color w:val="2C2C2C"/>
          <w:sz w:val="22"/>
          <w:szCs w:val="22"/>
        </w:rPr>
        <w:t xml:space="preserve">Copiez le texte du ticket du client depuis votre système CRM</w:t>
      </w:r>
    </w:p>
    <w:p>
      <w:pPr>
        <w:pStyle w:val="ListParagraph"/>
        <w:numPr>
          <w:ilvl w:val="0"/>
          <w:numId w:val="3"/>
        </w:numPr>
        <w:spacing w:after="80"/>
      </w:pPr>
      <w:r>
        <w:rPr>
          <w:rFonts w:ascii="Arial" w:cs="Arial" w:eastAsia="Arial" w:hAnsi="Arial"/>
          <w:color w:val="2C2C2C"/>
          <w:sz w:val="22"/>
          <w:szCs w:val="22"/>
        </w:rPr>
        <w:t xml:space="preserve">Collez-le ou tapez-le dans le champ de saisie</w:t>
      </w:r>
    </w:p>
    <w:p>
      <w:pPr>
        <w:pStyle w:val="ListParagraph"/>
        <w:numPr>
          <w:ilvl w:val="0"/>
          <w:numId w:val="3"/>
        </w:numPr>
        <w:spacing w:after="80"/>
      </w:pPr>
      <w:r>
        <w:rPr>
          <w:rFonts w:ascii="Arial" w:cs="Arial" w:eastAsia="Arial" w:hAnsi="Arial"/>
          <w:color w:val="2C2C2C"/>
          <w:sz w:val="22"/>
          <w:szCs w:val="22"/>
        </w:rPr>
        <w:t xml:space="preserve">Appuyez sur Entrée</w:t>
      </w:r>
    </w:p>
    <w:p>
      <w:pPr>
        <w:spacing w:after="60"/>
      </w:pPr>
    </w:p>
    <w:p>
      <w:pPr>
        <w:pStyle w:val="Heading2"/>
        <w:spacing w:after="120" w:before="280"/>
      </w:pPr>
      <w:r>
        <w:rPr>
          <w:rFonts w:ascii="Arial" w:cs="Arial" w:eastAsia="Arial" w:hAnsi="Arial"/>
          <w:b/>
          <w:bCs/>
          <w:color w:val="2E6DB4"/>
          <w:sz w:val="26"/>
          <w:szCs w:val="26"/>
        </w:rPr>
        <w:t xml:space="preserve">4.2 Ce que l'outil affiche après l'analyse</w:t>
      </w:r>
    </w:p>
    <w:p>
      <w:pPr>
        <w:spacing w:after="120" w:before="60"/>
      </w:pPr>
      <w:r>
        <w:rPr>
          <w:rFonts w:ascii="Arial" w:cs="Arial" w:eastAsia="Arial" w:hAnsi="Arial"/>
          <w:b w:val="false"/>
          <w:bCs w:val="false"/>
          <w:i w:val="false"/>
          <w:iCs w:val="false"/>
          <w:color w:val="2C2C2C"/>
          <w:sz w:val="22"/>
          <w:szCs w:val="22"/>
        </w:rPr>
        <w:t xml:space="preserve">Pour chaque ticket, l'outil affiche une analyse en deux parties :</w:t>
      </w:r>
    </w:p>
    <w:p>
      <w:pPr>
        <w:spacing w:after="60"/>
      </w:pPr>
    </w:p>
    <w:p>
      <w:pPr>
        <w:spacing w:after="120" w:before="60"/>
      </w:pPr>
      <w:r>
        <w:rPr>
          <w:rFonts w:ascii="Arial" w:cs="Arial" w:eastAsia="Arial" w:hAnsi="Arial"/>
          <w:b w:val="false"/>
          <w:bCs w:val="false"/>
          <w:i w:val="false"/>
          <w:iCs w:val="false"/>
          <w:color w:val="2C2C2C"/>
          <w:sz w:val="22"/>
          <w:szCs w:val="22"/>
        </w:rPr>
        <w:t xml:space="preserve">Partie 1 — L'analyse automatique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Information</w:t>
            </w:r>
          </w:p>
        </w:tc>
        <w:tc>
          <w:tcPr>
            <w:tcW w:type="dxa" w:w="3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c>
          <w:tcPr>
            <w:tcW w:type="dxa" w:w="3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Type</w:t>
            </w:r>
          </w:p>
        </w:tc>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catégorie du ticket</w:t>
            </w:r>
          </w:p>
        </w:tc>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REFUND (remboursement), ORDER (commande), ACCOUNT...</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Urgence</w:t>
            </w:r>
          </w:p>
        </w:tc>
        <w:tc>
          <w:tcPr>
            <w:tcW w:type="dxa" w:w="3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 niveau de priorité</w:t>
            </w:r>
          </w:p>
        </w:tc>
        <w:tc>
          <w:tcPr>
            <w:tcW w:type="dxa" w:w="3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URGENT, HIGH PRIORITY, MEDIUM, LOW</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Confiance</w:t>
            </w:r>
          </w:p>
        </w:tc>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À quel point l'outil est sûr de sa réponse</w:t>
            </w:r>
          </w:p>
        </w:tc>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87% = fiable | moins de 50% = vérifier</w:t>
            </w:r>
          </w:p>
        </w:tc>
      </w:tr>
    </w:tbl>
    <w:p>
      <w:pPr>
        <w:spacing w:after="60"/>
      </w:pPr>
    </w:p>
    <w:p>
      <w:pPr>
        <w:spacing w:after="120" w:before="60"/>
      </w:pPr>
      <w:r>
        <w:rPr>
          <w:rFonts w:ascii="Arial" w:cs="Arial" w:eastAsia="Arial" w:hAnsi="Arial"/>
          <w:b w:val="false"/>
          <w:bCs w:val="false"/>
          <w:i w:val="false"/>
          <w:iCs w:val="false"/>
          <w:color w:val="2C2C2C"/>
          <w:sz w:val="22"/>
          <w:szCs w:val="22"/>
        </w:rPr>
        <w:t xml:space="preserve">Partie 2 — La suggestion de réponse :</w:t>
      </w:r>
    </w:p>
    <w:p>
      <w:pPr>
        <w:spacing w:after="120" w:before="60"/>
      </w:pPr>
      <w:r>
        <w:rPr>
          <w:rFonts w:ascii="Arial" w:cs="Arial" w:eastAsia="Arial" w:hAnsi="Arial"/>
          <w:b w:val="false"/>
          <w:bCs w:val="false"/>
          <w:i w:val="false"/>
          <w:iCs w:val="false"/>
          <w:color w:val="2C2C2C"/>
          <w:sz w:val="22"/>
          <w:szCs w:val="22"/>
        </w:rPr>
        <w:t xml:space="preserve">L'outil génère automatiquement une réponse professionnelle dans la langue du client. Cette réponse est préfixée par 🤖 Agent :</w:t>
      </w:r>
    </w:p>
    <w:p>
      <w:pPr>
        <w:spacing w:after="60"/>
      </w:pPr>
    </w:p>
    <w:p>
      <w:pPr>
        <w:pStyle w:val="Heading2"/>
        <w:spacing w:after="120" w:before="280"/>
      </w:pPr>
      <w:r>
        <w:rPr>
          <w:rFonts w:ascii="Arial" w:cs="Arial" w:eastAsia="Arial" w:hAnsi="Arial"/>
          <w:b/>
          <w:bCs/>
          <w:color w:val="2E6DB4"/>
          <w:sz w:val="26"/>
          <w:szCs w:val="26"/>
        </w:rPr>
        <w:t xml:space="preserve">4.3 Vos 3 options de décision</w:t>
      </w:r>
    </w:p>
    <w:p>
      <w:pPr>
        <w:spacing w:after="120" w:before="60"/>
      </w:pPr>
      <w:r>
        <w:rPr>
          <w:rFonts w:ascii="Arial" w:cs="Arial" w:eastAsia="Arial" w:hAnsi="Arial"/>
          <w:b w:val="false"/>
          <w:bCs w:val="false"/>
          <w:i w:val="false"/>
          <w:iCs w:val="false"/>
          <w:color w:val="2C2C2C"/>
          <w:sz w:val="22"/>
          <w:szCs w:val="22"/>
        </w:rPr>
        <w:t xml:space="preserve">Après avoir lu la suggestion, vous avez trois options. Si le HITL est activé, l'outil vous demande votre décision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00"/>
      </w:tblGrid>
      <w:tr>
        <w:tc>
          <w:tcPr>
            <w:tcW w:type="dxa" w:w="1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Touche</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6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Quand l'utiliser</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[A]</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Accepter</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réponse est bonne telle quelle — envoyez-la au client</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[M]</w:t>
            </w:r>
          </w:p>
        </w:tc>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Modifier</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réponse est presque bonne — vous la corrigez avant d'envoyer</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[R]</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Rejeter</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réponse ne convient pas du tout — elle n'est pas enregistrée</w:t>
            </w:r>
          </w:p>
        </w:tc>
      </w:tr>
    </w:tbl>
    <w:p>
      <w:pPr>
        <w:spacing w:after="60"/>
      </w:pPr>
    </w:p>
    <w:p>
      <w:pPr>
        <w:pStyle w:val="Heading2"/>
        <w:spacing w:after="120" w:before="280"/>
      </w:pPr>
      <w:r>
        <w:rPr>
          <w:rFonts w:ascii="Arial" w:cs="Arial" w:eastAsia="Arial" w:hAnsi="Arial"/>
          <w:b/>
          <w:bCs/>
          <w:color w:val="2E6DB4"/>
          <w:sz w:val="26"/>
          <w:szCs w:val="26"/>
        </w:rPr>
        <w:t xml:space="preserve">4.4 Commandes spéciales disponibles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Commande</w:t>
            </w:r>
          </w:p>
        </w:tc>
        <w:tc>
          <w:tcPr>
            <w:tcW w:type="dxa" w:w="7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Effet</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quit</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Termine la session et affiche un résumé complet (types vus, urgences, langues)</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reset</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Efface la mémoire et démarre une nouvelle conversation (nouveau client)</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resume</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Affiche l'historique complet de la conversation en cours</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hitl</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Active ou désactive la validation manuelle de chaque réponse</w:t>
            </w:r>
          </w:p>
        </w:tc>
      </w:tr>
    </w:tbl>
    <w:p>
      <w:pPr>
        <w:spacing w:after="60"/>
      </w:pP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5. Exemples concrets</w:t>
      </w:r>
    </w:p>
    <w:p>
      <w:pPr>
        <w:pStyle w:val="Heading2"/>
        <w:spacing w:after="120" w:before="280"/>
      </w:pPr>
      <w:r>
        <w:rPr>
          <w:rFonts w:ascii="Arial" w:cs="Arial" w:eastAsia="Arial" w:hAnsi="Arial"/>
          <w:b/>
          <w:bCs/>
          <w:color w:val="2E6DB4"/>
          <w:sz w:val="26"/>
          <w:szCs w:val="26"/>
        </w:rPr>
        <w:t xml:space="preserve">Exemple 1 — Ticket en français (remboursement)</w:t>
      </w:r>
    </w:p>
    <w:p>
      <w:pPr>
        <w:spacing w:after="120" w:before="60"/>
      </w:pPr>
      <w:r>
        <w:rPr>
          <w:rFonts w:ascii="Arial" w:cs="Arial" w:eastAsia="Arial" w:hAnsi="Arial"/>
          <w:b w:val="false"/>
          <w:bCs w:val="false"/>
          <w:i w:val="false"/>
          <w:iCs w:val="false"/>
          <w:color w:val="2C2C2C"/>
          <w:sz w:val="22"/>
          <w:szCs w:val="22"/>
        </w:rPr>
        <w:t xml:space="preserve">Vous entrez : « Bonjour, j'ai commandé un article il y a 3 semaines et je n'ai toujours pas reçu mon remboursement. »</w:t>
      </w:r>
    </w:p>
    <w:p>
      <w:pPr>
        <w:spacing w:after="120" w:before="60"/>
      </w:pPr>
      <w:r>
        <w:rPr>
          <w:rFonts w:ascii="Arial" w:cs="Arial" w:eastAsia="Arial" w:hAnsi="Arial"/>
          <w:b w:val="false"/>
          <w:bCs w:val="false"/>
          <w:i w:val="false"/>
          <w:iCs w:val="false"/>
          <w:color w:val="2C2C2C"/>
          <w:sz w:val="22"/>
          <w:szCs w:val="22"/>
        </w:rPr>
        <w:t xml:space="preserve">L'outil affiche :</w:t>
      </w:r>
    </w:p>
    <w:p>
      <w:pPr>
        <w:pStyle w:val="ListParagraph"/>
        <w:numPr>
          <w:ilvl w:val="0"/>
          <w:numId w:val="2"/>
        </w:numPr>
        <w:spacing w:after="80"/>
      </w:pPr>
      <w:r>
        <w:rPr>
          <w:rFonts w:ascii="Arial" w:cs="Arial" w:eastAsia="Arial" w:hAnsi="Arial"/>
          <w:color w:val="2C2C2C"/>
          <w:sz w:val="22"/>
          <w:szCs w:val="22"/>
        </w:rPr>
        <w:t xml:space="preserve">Type : REFUND (100%) — ticket de remboursement</w:t>
      </w:r>
    </w:p>
    <w:p>
      <w:pPr>
        <w:pStyle w:val="ListParagraph"/>
        <w:numPr>
          <w:ilvl w:val="0"/>
          <w:numId w:val="2"/>
        </w:numPr>
        <w:spacing w:after="80"/>
      </w:pPr>
      <w:r>
        <w:rPr>
          <w:rFonts w:ascii="Arial" w:cs="Arial" w:eastAsia="Arial" w:hAnsi="Arial"/>
          <w:color w:val="2C2C2C"/>
          <w:sz w:val="22"/>
          <w:szCs w:val="22"/>
        </w:rPr>
        <w:t xml:space="preserve">Urgence : Incident → URGENT — à traiter en priorité</w:t>
      </w:r>
    </w:p>
    <w:p>
      <w:pPr>
        <w:pStyle w:val="ListParagraph"/>
        <w:numPr>
          <w:ilvl w:val="0"/>
          <w:numId w:val="2"/>
        </w:numPr>
        <w:spacing w:after="80"/>
      </w:pPr>
      <w:r>
        <w:rPr>
          <w:rFonts w:ascii="Arial" w:cs="Arial" w:eastAsia="Arial" w:hAnsi="Arial"/>
          <w:color w:val="2C2C2C"/>
          <w:sz w:val="22"/>
          <w:szCs w:val="22"/>
        </w:rPr>
        <w:t xml:space="preserve">Réponse suggérée en français : « Bonjour, je suis désolé d'apprendre ce problème. Votre demande de remboursement est en cours de traitement... »</w:t>
      </w:r>
    </w:p>
    <w:p>
      <w:pPr>
        <w:spacing w:after="60"/>
      </w:pPr>
    </w:p>
    <w:p>
      <w:pPr>
        <w:pStyle w:val="Heading2"/>
        <w:spacing w:after="120" w:before="280"/>
      </w:pPr>
      <w:r>
        <w:rPr>
          <w:rFonts w:ascii="Arial" w:cs="Arial" w:eastAsia="Arial" w:hAnsi="Arial"/>
          <w:b/>
          <w:bCs/>
          <w:color w:val="2E6DB4"/>
          <w:sz w:val="26"/>
          <w:szCs w:val="26"/>
        </w:rPr>
        <w:t xml:space="preserve">Exemple 2 — Ticket en anglais (accès au compte)</w:t>
      </w:r>
    </w:p>
    <w:p>
      <w:pPr>
        <w:spacing w:after="120" w:before="60"/>
      </w:pPr>
      <w:r>
        <w:rPr>
          <w:rFonts w:ascii="Arial" w:cs="Arial" w:eastAsia="Arial" w:hAnsi="Arial"/>
          <w:b w:val="false"/>
          <w:bCs w:val="false"/>
          <w:i w:val="false"/>
          <w:iCs w:val="false"/>
          <w:color w:val="2C2C2C"/>
          <w:sz w:val="22"/>
          <w:szCs w:val="22"/>
        </w:rPr>
        <w:t xml:space="preserve">Vous entrez : « Hello, I can't log into my account. I've tried resetting my password but it's not working. »</w:t>
      </w:r>
    </w:p>
    <w:p>
      <w:pPr>
        <w:spacing w:after="120" w:before="60"/>
      </w:pPr>
      <w:r>
        <w:rPr>
          <w:rFonts w:ascii="Arial" w:cs="Arial" w:eastAsia="Arial" w:hAnsi="Arial"/>
          <w:b w:val="false"/>
          <w:bCs w:val="false"/>
          <w:i w:val="false"/>
          <w:iCs w:val="false"/>
          <w:color w:val="2C2C2C"/>
          <w:sz w:val="22"/>
          <w:szCs w:val="22"/>
        </w:rPr>
        <w:t xml:space="preserve">L'outil affiche :</w:t>
      </w:r>
    </w:p>
    <w:p>
      <w:pPr>
        <w:pStyle w:val="ListParagraph"/>
        <w:numPr>
          <w:ilvl w:val="0"/>
          <w:numId w:val="2"/>
        </w:numPr>
        <w:spacing w:after="80"/>
      </w:pPr>
      <w:r>
        <w:rPr>
          <w:rFonts w:ascii="Arial" w:cs="Arial" w:eastAsia="Arial" w:hAnsi="Arial"/>
          <w:color w:val="2C2C2C"/>
          <w:sz w:val="22"/>
          <w:szCs w:val="22"/>
        </w:rPr>
        <w:t xml:space="preserve">Type : ACCOUNT (97%) — problème de compte</w:t>
      </w:r>
    </w:p>
    <w:p>
      <w:pPr>
        <w:pStyle w:val="ListParagraph"/>
        <w:numPr>
          <w:ilvl w:val="0"/>
          <w:numId w:val="2"/>
        </w:numPr>
        <w:spacing w:after="80"/>
      </w:pPr>
      <w:r>
        <w:rPr>
          <w:rFonts w:ascii="Arial" w:cs="Arial" w:eastAsia="Arial" w:hAnsi="Arial"/>
          <w:color w:val="2C2C2C"/>
          <w:sz w:val="22"/>
          <w:szCs w:val="22"/>
        </w:rPr>
        <w:t xml:space="preserve">Urgence : Problem → MEDIUM</w:t>
      </w:r>
    </w:p>
    <w:p>
      <w:pPr>
        <w:pStyle w:val="ListParagraph"/>
        <w:numPr>
          <w:ilvl w:val="0"/>
          <w:numId w:val="2"/>
        </w:numPr>
        <w:spacing w:after="80"/>
      </w:pPr>
      <w:r>
        <w:rPr>
          <w:rFonts w:ascii="Arial" w:cs="Arial" w:eastAsia="Arial" w:hAnsi="Arial"/>
          <w:color w:val="2C2C2C"/>
          <w:sz w:val="22"/>
          <w:szCs w:val="22"/>
        </w:rPr>
        <w:t xml:space="preserve">Réponse suggérée en anglais : « Hello! I'm sorry to hear you're having trouble accessing your account... »</w:t>
      </w:r>
    </w:p>
    <w:p>
      <w:pPr>
        <w:spacing w:after="60"/>
      </w:pPr>
    </w:p>
    <w:p>
      <w:pPr>
        <w:pStyle w:val="Heading2"/>
        <w:spacing w:after="120" w:before="280"/>
      </w:pPr>
      <w:r>
        <w:rPr>
          <w:rFonts w:ascii="Arial" w:cs="Arial" w:eastAsia="Arial" w:hAnsi="Arial"/>
          <w:b/>
          <w:bCs/>
          <w:color w:val="2E6DB4"/>
          <w:sz w:val="26"/>
          <w:szCs w:val="26"/>
        </w:rPr>
        <w:t xml:space="preserve">Exemple 3 — Conversation multi-tours</w:t>
      </w:r>
    </w:p>
    <w:p>
      <w:pPr>
        <w:spacing w:after="120" w:before="60"/>
      </w:pPr>
      <w:r>
        <w:rPr>
          <w:rFonts w:ascii="Arial" w:cs="Arial" w:eastAsia="Arial" w:hAnsi="Arial"/>
          <w:b w:val="false"/>
          <w:bCs w:val="false"/>
          <w:i w:val="false"/>
          <w:iCs w:val="false"/>
          <w:color w:val="2C2C2C"/>
          <w:sz w:val="22"/>
          <w:szCs w:val="22"/>
        </w:rPr>
        <w:t xml:space="preserve">L'outil mémorise les échanges précédents. Si le client pose plusieurs questions dans la même conversation, vous n'avez pas besoin de répéter le contexte.</w:t>
      </w:r>
    </w:p>
    <w:p>
      <w:pPr>
        <w:pStyle w:val="ListParagraph"/>
        <w:numPr>
          <w:ilvl w:val="0"/>
          <w:numId w:val="2"/>
        </w:numPr>
        <w:spacing w:after="80"/>
      </w:pPr>
      <w:r>
        <w:rPr>
          <w:rFonts w:ascii="Arial" w:cs="Arial" w:eastAsia="Arial" w:hAnsi="Arial"/>
          <w:color w:val="2C2C2C"/>
          <w:sz w:val="22"/>
          <w:szCs w:val="22"/>
        </w:rPr>
        <w:t xml:space="preserve">Tour 1 : Le client signale une livraison manquante → l'outil identifie ORDER + URGENT</w:t>
      </w:r>
    </w:p>
    <w:p>
      <w:pPr>
        <w:pStyle w:val="ListParagraph"/>
        <w:numPr>
          <w:ilvl w:val="0"/>
          <w:numId w:val="2"/>
        </w:numPr>
        <w:spacing w:after="80"/>
      </w:pPr>
      <w:r>
        <w:rPr>
          <w:rFonts w:ascii="Arial" w:cs="Arial" w:eastAsia="Arial" w:hAnsi="Arial"/>
          <w:color w:val="2C2C2C"/>
          <w:sz w:val="22"/>
          <w:szCs w:val="22"/>
        </w:rPr>
        <w:t xml:space="preserve">Tour 2 : Le client demande l'état de son remboursement → l'outil se souvient de la livraison et intègre ce contexte dans sa réponse</w:t>
      </w:r>
    </w:p>
    <w:p>
      <w:pPr>
        <w:pStyle w:val="ListParagraph"/>
        <w:numPr>
          <w:ilvl w:val="0"/>
          <w:numId w:val="2"/>
        </w:numPr>
        <w:spacing w:after="80"/>
      </w:pPr>
      <w:r>
        <w:rPr>
          <w:rFonts w:ascii="Arial" w:cs="Arial" w:eastAsia="Arial" w:hAnsi="Arial"/>
          <w:color w:val="2C2C2C"/>
          <w:sz w:val="22"/>
          <w:szCs w:val="22"/>
        </w:rPr>
        <w:t xml:space="preserve">Tour 3 : Le client change de langue (FR → EN) → l'outil bascule automatiquement en anglais</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6. Niveaux d'urgence — Guide de référence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 affiché</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5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Exemples de tickets concernés</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Incident → URGENT</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 Très haute</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Compte piraté, système en panne, perte de données, incident de sécurité</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Change → HIGH PRIORITY</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 Haute</w:t>
            </w:r>
          </w:p>
        </w:tc>
        <w:tc>
          <w:tcPr>
            <w:tcW w:type="dxa" w:w="5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Modification de configuration, changement d'adresse, mise à jour critique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Problem → MEDIUM</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 Moyenne</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Problème récurrent, dysfonctionnement persistant, erreur logicielle</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Request → LOW</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 Basse</w:t>
            </w:r>
          </w:p>
        </w:tc>
        <w:tc>
          <w:tcPr>
            <w:tcW w:type="dxa" w:w="5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Demande d'information, demande de fonctionnalité, question générale</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7. Problèmes fréquents et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 observé</w:t>
            </w:r>
          </w:p>
        </w:tc>
        <w:tc>
          <w:tcPr>
            <w:tcW w:type="dxa" w:w="5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L'outil ne répond pas / tourne longtemps</w:t>
            </w:r>
          </w:p>
        </w:tc>
        <w:tc>
          <w:tcPr>
            <w:tcW w:type="dxa" w:w="5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Attendez 10 secondes. Si ça bloque, l'API Groq est peut-être temporairement lente — réessayez.</w:t>
            </w:r>
          </w:p>
        </w:tc>
      </w:tr>
      <w:tr>
        <w:tc>
          <w:tcPr>
            <w:tcW w:type="dxa" w:w="3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Message d'erreur « Clé API invalide »</w:t>
            </w:r>
          </w:p>
        </w:tc>
        <w:tc>
          <w:tcPr>
            <w:tcW w:type="dxa" w:w="5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Contactez l'équipe technique pour obtenir une nouvelle clé Groq API valide.</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réponse est en anglais mais le client écrit en français</w:t>
            </w:r>
          </w:p>
        </w:tc>
        <w:tc>
          <w:tcPr>
            <w:tcW w:type="dxa" w:w="5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Tapez « reset » pour réinitialiser la session, puis entrez à nouveau le ticket du client.</w:t>
            </w:r>
          </w:p>
        </w:tc>
      </w:tr>
      <w:tr>
        <w:tc>
          <w:tcPr>
            <w:tcW w:type="dxa" w:w="3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 champ de saisie a disparu</w:t>
            </w:r>
          </w:p>
        </w:tc>
        <w:tc>
          <w:tcPr>
            <w:tcW w:type="dxa" w:w="5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session interactive s'est terminée. Ré-exécutez la cellule « 8.3 Mode conversation interactive ».</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FileNotFoundError » sur les modèles</w:t>
            </w:r>
          </w:p>
        </w:tc>
        <w:tc>
          <w:tcPr>
            <w:tcW w:type="dxa" w:w="5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Les modèles ne sont pas sur votre Drive. Contactez l'équipe technique pour les récupérer.</w:t>
            </w:r>
          </w:p>
        </w:tc>
      </w:tr>
      <w:tr>
        <w:tc>
          <w:tcPr>
            <w:tcW w:type="dxa" w:w="3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session Colab a expiré</w:t>
            </w:r>
          </w:p>
        </w:tc>
        <w:tc>
          <w:tcPr>
            <w:tcW w:type="dxa" w:w="5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Reconnectez-vous à Colab, remontez le Drive, et ré-exécutez toutes les cellules dans l'ordre depuis le début.</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8. Bonnes pratiques</w:t>
      </w:r>
    </w:p>
    <w:p>
      <w:pPr>
        <w:pStyle w:val="ListParagraph"/>
        <w:numPr>
          <w:ilvl w:val="0"/>
          <w:numId w:val="2"/>
        </w:numPr>
        <w:spacing w:after="80"/>
      </w:pPr>
      <w:r>
        <w:rPr>
          <w:rFonts w:ascii="Arial" w:cs="Arial" w:eastAsia="Arial" w:hAnsi="Arial"/>
          <w:color w:val="2C2C2C"/>
          <w:sz w:val="22"/>
          <w:szCs w:val="22"/>
        </w:rPr>
        <w:t xml:space="preserve">Toujours relire la suggestion avant de l'envoyer — l'outil peut parfois se tromper sur des cas ambigus.</w:t>
      </w:r>
    </w:p>
    <w:p>
      <w:pPr>
        <w:pStyle w:val="ListParagraph"/>
        <w:numPr>
          <w:ilvl w:val="0"/>
          <w:numId w:val="2"/>
        </w:numPr>
        <w:spacing w:after="80"/>
      </w:pPr>
      <w:r>
        <w:rPr>
          <w:rFonts w:ascii="Arial" w:cs="Arial" w:eastAsia="Arial" w:hAnsi="Arial"/>
          <w:color w:val="2C2C2C"/>
          <w:sz w:val="22"/>
          <w:szCs w:val="22"/>
        </w:rPr>
        <w:t xml:space="preserve">Si la confiance affichée est inférieure à 60%, vérifiez manuellement la catégorie et l'urgence.</w:t>
      </w:r>
    </w:p>
    <w:p>
      <w:pPr>
        <w:pStyle w:val="ListParagraph"/>
        <w:numPr>
          <w:ilvl w:val="0"/>
          <w:numId w:val="2"/>
        </w:numPr>
        <w:spacing w:after="80"/>
      </w:pPr>
      <w:r>
        <w:rPr>
          <w:rFonts w:ascii="Arial" w:cs="Arial" w:eastAsia="Arial" w:hAnsi="Arial"/>
          <w:color w:val="2C2C2C"/>
          <w:sz w:val="22"/>
          <w:szCs w:val="22"/>
        </w:rPr>
        <w:t xml:space="preserve">Utilisez la commande « reset » entre deux clients différents pour éviter que le contexte d'un client influence les réponses pour un autre.</w:t>
      </w:r>
    </w:p>
    <w:p>
      <w:pPr>
        <w:pStyle w:val="ListParagraph"/>
        <w:numPr>
          <w:ilvl w:val="0"/>
          <w:numId w:val="2"/>
        </w:numPr>
        <w:spacing w:after="80"/>
      </w:pPr>
      <w:r>
        <w:rPr>
          <w:rFonts w:ascii="Arial" w:cs="Arial" w:eastAsia="Arial" w:hAnsi="Arial"/>
          <w:color w:val="2C2C2C"/>
          <w:sz w:val="22"/>
          <w:szCs w:val="22"/>
        </w:rPr>
        <w:t xml:space="preserve">En cas de ticket avec plusieurs problèmes (ex: remboursement ET problème de compte), l'outil identifie le problème principal — vérifiez que c'est bien la priorité du client.</w:t>
      </w:r>
    </w:p>
    <w:p>
      <w:pPr>
        <w:pStyle w:val="ListParagraph"/>
        <w:numPr>
          <w:ilvl w:val="0"/>
          <w:numId w:val="2"/>
        </w:numPr>
        <w:spacing w:after="80"/>
      </w:pPr>
      <w:r>
        <w:rPr>
          <w:rFonts w:ascii="Arial" w:cs="Arial" w:eastAsia="Arial" w:hAnsi="Arial"/>
          <w:color w:val="2C2C2C"/>
          <w:sz w:val="22"/>
          <w:szCs w:val="22"/>
        </w:rPr>
        <w:t xml:space="preserve">Pour les tickets très courts (un seul mot), la détection de langue peut être moins fiable — vérifiez la langue affichée.</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9. Résumé de session</w:t>
      </w:r>
    </w:p>
    <w:p>
      <w:pPr>
        <w:spacing w:after="120" w:before="60"/>
      </w:pPr>
      <w:r>
        <w:rPr>
          <w:rFonts w:ascii="Arial" w:cs="Arial" w:eastAsia="Arial" w:hAnsi="Arial"/>
          <w:b w:val="false"/>
          <w:bCs w:val="false"/>
          <w:i w:val="false"/>
          <w:iCs w:val="false"/>
          <w:color w:val="2C2C2C"/>
          <w:sz w:val="22"/>
          <w:szCs w:val="22"/>
        </w:rPr>
        <w:t xml:space="preserve">En tapant « quit », l'outil affiche un résumé de votre session de travail :</w:t>
      </w:r>
    </w:p>
    <w:p>
      <w:pPr>
        <w:pStyle w:val="ListParagraph"/>
        <w:numPr>
          <w:ilvl w:val="0"/>
          <w:numId w:val="2"/>
        </w:numPr>
        <w:spacing w:after="80"/>
      </w:pPr>
      <w:r>
        <w:rPr>
          <w:rFonts w:ascii="Arial" w:cs="Arial" w:eastAsia="Arial" w:hAnsi="Arial"/>
          <w:color w:val="2C2C2C"/>
          <w:sz w:val="22"/>
          <w:szCs w:val="22"/>
        </w:rPr>
        <w:t xml:space="preserve">Nombre total de tickets traités</w:t>
      </w:r>
    </w:p>
    <w:p>
      <w:pPr>
        <w:pStyle w:val="ListParagraph"/>
        <w:numPr>
          <w:ilvl w:val="0"/>
          <w:numId w:val="2"/>
        </w:numPr>
        <w:spacing w:after="80"/>
      </w:pPr>
      <w:r>
        <w:rPr>
          <w:rFonts w:ascii="Arial" w:cs="Arial" w:eastAsia="Arial" w:hAnsi="Arial"/>
          <w:color w:val="2C2C2C"/>
          <w:sz w:val="22"/>
          <w:szCs w:val="22"/>
        </w:rPr>
        <w:t xml:space="preserve">Langue(s) utilisée(s) par les clients dans cette session</w:t>
      </w:r>
    </w:p>
    <w:p>
      <w:pPr>
        <w:pStyle w:val="ListParagraph"/>
        <w:numPr>
          <w:ilvl w:val="0"/>
          <w:numId w:val="2"/>
        </w:numPr>
        <w:spacing w:after="80"/>
      </w:pPr>
      <w:r>
        <w:rPr>
          <w:rFonts w:ascii="Arial" w:cs="Arial" w:eastAsia="Arial" w:hAnsi="Arial"/>
          <w:color w:val="2C2C2C"/>
          <w:sz w:val="22"/>
          <w:szCs w:val="22"/>
        </w:rPr>
        <w:t xml:space="preserve">Types de problèmes les plus fréquents (REFUND, ORDER, ACCOUNT, etc.)</w:t>
      </w:r>
    </w:p>
    <w:p>
      <w:pPr>
        <w:pStyle w:val="ListParagraph"/>
        <w:numPr>
          <w:ilvl w:val="0"/>
          <w:numId w:val="2"/>
        </w:numPr>
        <w:spacing w:after="80"/>
      </w:pPr>
      <w:r>
        <w:rPr>
          <w:rFonts w:ascii="Arial" w:cs="Arial" w:eastAsia="Arial" w:hAnsi="Arial"/>
          <w:color w:val="2C2C2C"/>
          <w:sz w:val="22"/>
          <w:szCs w:val="22"/>
        </w:rPr>
        <w:t xml:space="preserve">Niveau d'urgence maximal atteint dans la session</w:t>
      </w:r>
    </w:p>
    <w:p>
      <w:pPr>
        <w:pStyle w:val="ListParagraph"/>
        <w:numPr>
          <w:ilvl w:val="0"/>
          <w:numId w:val="2"/>
        </w:numPr>
        <w:spacing w:after="80"/>
      </w:pPr>
      <w:r>
        <w:rPr>
          <w:rFonts w:ascii="Arial" w:cs="Arial" w:eastAsia="Arial" w:hAnsi="Arial"/>
          <w:color w:val="2C2C2C"/>
          <w:sz w:val="22"/>
          <w:szCs w:val="22"/>
        </w:rPr>
        <w:t xml:space="preserve">Historique complet de tous les échanges</w:t>
      </w:r>
    </w:p>
    <w:p>
      <w:pPr>
        <w:spacing w:after="60"/>
      </w:pPr>
    </w:p>
    <w:p>
      <w:pPr>
        <w:spacing w:after="120" w:before="60"/>
      </w:pPr>
      <w:r>
        <w:rPr>
          <w:rFonts w:ascii="Arial" w:cs="Arial" w:eastAsia="Arial" w:hAnsi="Arial"/>
          <w:b w:val="false"/>
          <w:bCs w:val="false"/>
          <w:i w:val="false"/>
          <w:iCs w:val="false"/>
          <w:color w:val="2C2C2C"/>
          <w:sz w:val="22"/>
          <w:szCs w:val="22"/>
        </w:rPr>
        <w:t xml:space="preserve">Ce résumé peut être utile pour votre rapport de fin de journée ou pour identifier les tendances des demandes clients.</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spacing w:after="80"/>
    </w:pPr>
    <w:r>
      <w:rPr>
        <w:rFonts w:ascii="Arial" w:cs="Arial" w:eastAsia="Arial" w:hAnsi="Arial"/>
        <w:color w:val="2E6DB4"/>
        <w:sz w:val="18"/>
        <w:szCs w:val="18"/>
      </w:rPr>
      <w:t xml:space="preserve">Manuel Utilisateur — Pipeline NLP Support Client — Groupe 8 — Ramy Boulkaraa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2026-04-21T04:16:36.897Z</dcterms:created>
  <dcterms:modified xsi:type="dcterms:W3CDTF">2026-04-21T04:16:36.898Z</dcterms:modified>
</cp:coreProperties>
</file>

<file path=docProps/custom.xml><?xml version="1.0" encoding="utf-8"?>
<Properties xmlns="http://schemas.openxmlformats.org/officeDocument/2006/custom-properties" xmlns:vt="http://schemas.openxmlformats.org/officeDocument/2006/docPropsVTypes"/>
</file>