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40"/>
        <w:jc w:val="center"/>
      </w:pPr>
      <w:r>
        <w:rPr>
          <w:rFonts w:ascii="Arial" w:cs="Arial" w:eastAsia="Arial" w:hAnsi="Arial"/>
          <w:b/>
          <w:bCs/>
          <w:color w:val="2E6DB4"/>
          <w:sz w:val="20"/>
          <w:szCs w:val="20"/>
        </w:rPr>
        <w:t xml:space="preserve">COLLÈGE LA CITÉ — Programme : IA en Informatique</w:t>
      </w:r>
    </w:p>
    <w:p>
      <w:pPr>
        <w:spacing w:after="40"/>
        <w:jc w:val="center"/>
      </w:pPr>
      <w:r>
        <w:rPr>
          <w:rFonts w:ascii="Arial" w:cs="Arial" w:eastAsia="Arial" w:hAnsi="Arial"/>
          <w:color w:val="555555"/>
          <w:sz w:val="20"/>
          <w:szCs w:val="20"/>
        </w:rPr>
        <w:t xml:space="preserve">Cours 031119 IFM — Projet Capstone IA</w:t>
      </w:r>
    </w:p>
    <w:p>
      <w:pPr>
        <w:spacing w:after="60"/>
      </w:pPr>
    </w:p>
    <w:p>
      <w:pPr>
        <w:spacing w:after="60"/>
      </w:pPr>
    </w:p>
    <w:p>
      <w:pPr>
        <w:pBdr>
          <w:top w:val="single" w:color="1B3A6B" w:sz="6"/>
          <w:bottom w:val="single" w:color="1B3A6B" w:sz="6"/>
        </w:pBdr>
        <w:spacing w:after="120" w:before="120"/>
        <w:jc w:val="center"/>
      </w:pPr>
      <w:r>
        <w:rPr>
          <w:rFonts w:ascii="Arial" w:cs="Arial" w:eastAsia="Arial" w:hAnsi="Arial"/>
          <w:b/>
          <w:bCs/>
          <w:color w:val="1B3A6B"/>
          <w:sz w:val="40"/>
          <w:szCs w:val="40"/>
        </w:rPr>
        <w:t xml:space="preserve">PLAN DE MONITORING, SUIVI ET MAINTENANCE</w:t>
      </w:r>
    </w:p>
    <w:p>
      <w:pPr>
        <w:spacing w:after="60"/>
      </w:pPr>
    </w:p>
    <w:p>
      <w:pPr>
        <w:spacing w:after="60"/>
        <w:jc w:val="center"/>
      </w:pPr>
      <w:r>
        <w:rPr>
          <w:rFonts w:ascii="Arial" w:cs="Arial" w:eastAsia="Arial" w:hAnsi="Arial"/>
          <w:b/>
          <w:bCs/>
          <w:color w:val="2E6DB4"/>
          <w:sz w:val="28"/>
          <w:szCs w:val="28"/>
        </w:rPr>
        <w:t xml:space="preserve">Pipeline NLP — Support Client IA — Capstone Groupe 8</w:t>
      </w:r>
    </w:p>
    <w:p>
      <w:pPr>
        <w:spacing w:after="60"/>
      </w:pPr>
    </w:p>
    <w:p>
      <w:pPr>
        <w:spacing w:after="60"/>
      </w:pP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Auteurs</w:t>
            </w:r>
          </w:p>
        </w:tc>
        <w:tc>
          <w:tcPr>
            <w:tcW w:type="dxa" w:w="6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Mohamed Ramy Boulkaraa | Aksil Abdelkhalek</w:t>
            </w:r>
          </w:p>
        </w:tc>
      </w:tr>
      <w:tr>
        <w:tc>
          <w:tcPr>
            <w:tcW w:type="dxa" w:w="2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Cours</w:t>
            </w:r>
          </w:p>
        </w:tc>
        <w:tc>
          <w:tcPr>
            <w:tcW w:type="dxa" w:w="6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031119 IFM — Projet Capstone IA</w:t>
            </w:r>
          </w:p>
        </w:tc>
      </w:tr>
      <w:tr>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Professeure</w:t>
            </w:r>
          </w:p>
        </w:tc>
        <w:tc>
          <w:tcPr>
            <w:tcW w:type="dxa" w:w="6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Stéphanie N. Kahindo</w:t>
            </w:r>
          </w:p>
        </w:tc>
      </w:tr>
      <w:tr>
        <w:tc>
          <w:tcPr>
            <w:tcW w:type="dxa" w:w="2800"/>
            <w:tcBorders>
              <w:top w:val="single" w:color="C0C8D8" w:sz="1"/>
              <w:left w:val="single" w:color="C0C8D8" w:sz="1"/>
              <w:bottom w:val="single" w:color="C0C8D8" w:sz="1"/>
              <w:right w:val="single" w:color="C0C8D8" w:sz="1"/>
            </w:tcBorders>
            <w:shd w:fill="D6E4F7"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Version</w:t>
            </w:r>
          </w:p>
        </w:tc>
        <w:tc>
          <w:tcPr>
            <w:tcW w:type="dxa" w:w="6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Finale — Avril 2026</w:t>
            </w:r>
          </w:p>
        </w:tc>
      </w:tr>
      <w:tr>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 de remise</w:t>
            </w:r>
          </w:p>
        </w:tc>
        <w:tc>
          <w:tcPr>
            <w:tcW w:type="dxa" w:w="6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23 avril 2026</w:t>
            </w:r>
          </w:p>
        </w:tc>
      </w:tr>
    </w:tbl>
    <w:p>
      <w:pPr>
        <w:spacing w:after="60"/>
      </w:pPr>
    </w:p>
    <w:p>
      <w:pPr>
        <w:spacing w:after="60"/>
      </w:pPr>
    </w:p>
    <w:p>
      <w:r>
        <w:br w:type="page"/>
      </w:r>
    </w:p>
    <w:p>
      <w:pPr>
        <w:pStyle w:val="Heading1"/>
        <w:pBdr>
          <w:bottom w:val="single" w:color="2E6DB4" w:sz="6" w:space="6"/>
        </w:pBdr>
        <w:spacing w:after="180" w:before="360"/>
      </w:pPr>
      <w:r>
        <w:rPr>
          <w:rFonts w:ascii="Arial" w:cs="Arial" w:eastAsia="Arial" w:hAnsi="Arial"/>
          <w:b/>
          <w:bCs/>
          <w:color w:val="1B3A6B"/>
          <w:sz w:val="32"/>
          <w:szCs w:val="32"/>
        </w:rPr>
        <w:t xml:space="preserve">1. Introduction</w:t>
      </w:r>
    </w:p>
    <w:p>
      <w:pPr>
        <w:spacing w:after="120" w:before="60"/>
      </w:pPr>
      <w:r>
        <w:rPr>
          <w:rFonts w:ascii="Arial" w:cs="Arial" w:eastAsia="Arial" w:hAnsi="Arial"/>
          <w:b w:val="false"/>
          <w:bCs w:val="false"/>
          <w:i w:val="false"/>
          <w:iCs w:val="false"/>
          <w:color w:val="2C2C2C"/>
          <w:sz w:val="22"/>
          <w:szCs w:val="22"/>
        </w:rPr>
        <w:t xml:space="preserve">Ce document décrit le plan de monitoring, de suivi et de maintenance du pipeline NLP développé dans le cadre du Projet Capstone IA. Son objectif est de définir les indicateurs à surveiller, les procédures de maintenance à suivre et les mécanismes CI/CD mis en place pour assurer la durabilité de la solution après son déploiement.</w:t>
      </w:r>
    </w:p>
    <w:p>
      <w:pPr>
        <w:spacing w:after="60"/>
      </w:pPr>
    </w:p>
    <w:p>
      <w:pPr>
        <w:spacing w:after="120" w:before="60"/>
      </w:pPr>
      <w:r>
        <w:rPr>
          <w:rFonts w:ascii="Arial" w:cs="Arial" w:eastAsia="Arial" w:hAnsi="Arial"/>
          <w:b w:val="false"/>
          <w:bCs w:val="false"/>
          <w:i w:val="false"/>
          <w:iCs w:val="false"/>
          <w:color w:val="2C2C2C"/>
          <w:sz w:val="22"/>
          <w:szCs w:val="22"/>
        </w:rPr>
        <w:t xml:space="preserve">Le pipeline comprend trois modules interdépendants : classification du type de message (M1), classification de l'urgence (M2) et génération de suggestions de réponses (M3). Chaque module comporte ses propres risques de dégradation en production, qui sont adressés dans ce plan.</w:t>
      </w:r>
    </w:p>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2. Indicateurs de performance à surveiller (KPIs)</w:t>
      </w:r>
    </w:p>
    <w:p>
      <w:pPr>
        <w:pStyle w:val="Heading2"/>
        <w:spacing w:after="120" w:before="280"/>
      </w:pPr>
      <w:r>
        <w:rPr>
          <w:rFonts w:ascii="Arial" w:cs="Arial" w:eastAsia="Arial" w:hAnsi="Arial"/>
          <w:b/>
          <w:bCs/>
          <w:color w:val="2E6DB4"/>
          <w:sz w:val="26"/>
          <w:szCs w:val="26"/>
        </w:rPr>
        <w:t xml:space="preserve">2.1 Indicateurs techniques par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00"/>
      </w:tblGrid>
      <w:tr>
        <w:tc>
          <w:tcPr>
            <w:tcW w:type="dxa" w:w="12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28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Seuil critique</w:t>
            </w:r>
          </w:p>
        </w:tc>
        <w:tc>
          <w:tcPr>
            <w:tcW w:type="dxa" w:w="3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si dépassé</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M1</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F1 Macro classification</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0.90</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Alerte + ré-entraînement</w:t>
            </w:r>
          </w:p>
        </w:tc>
      </w:tr>
      <w:tr>
        <w:tc>
          <w:tcPr>
            <w:tcW w:type="dxa" w:w="1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M1</w:t>
            </w:r>
          </w:p>
        </w:tc>
        <w:tc>
          <w:tcPr>
            <w:tcW w:type="dxa" w:w="2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Taux de messages non classifiés</w:t>
            </w:r>
          </w:p>
        </w:tc>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&gt; 2%</w:t>
            </w:r>
          </w:p>
        </w:tc>
        <w:tc>
          <w:tcPr>
            <w:tcW w:type="dxa" w:w="3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Analyse des cas problématiques</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M2</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Recall classe Change</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0.80</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Ré-entraînement avec poids renforcés</w:t>
            </w:r>
          </w:p>
        </w:tc>
      </w:tr>
      <w:tr>
        <w:tc>
          <w:tcPr>
            <w:tcW w:type="dxa" w:w="1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M2</w:t>
            </w:r>
          </w:p>
        </w:tc>
        <w:tc>
          <w:tcPr>
            <w:tcW w:type="dxa" w:w="2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Taux faux négatifs sur Incident</w:t>
            </w:r>
          </w:p>
        </w:tc>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&gt; 5%</w:t>
            </w:r>
          </w:p>
        </w:tc>
        <w:tc>
          <w:tcPr>
            <w:tcW w:type="dxa" w:w="3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Révision manuelle + ajustement class weights</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M3</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Taux de rejet HITL (réponses rejetées)</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&gt; 30%</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Révision du prompt engineering</w:t>
            </w:r>
          </w:p>
        </w:tc>
      </w:tr>
      <w:tr>
        <w:tc>
          <w:tcPr>
            <w:tcW w:type="dxa" w:w="12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M3</w:t>
            </w:r>
          </w:p>
        </w:tc>
        <w:tc>
          <w:tcPr>
            <w:tcW w:type="dxa" w:w="28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Latence de génération LLM</w:t>
            </w:r>
          </w:p>
        </w:tc>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&gt; 15 secondes</w:t>
            </w:r>
          </w:p>
        </w:tc>
        <w:tc>
          <w:tcPr>
            <w:tcW w:type="dxa" w:w="3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Vérifier état API Groq + retry</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Global</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Taux d'erreurs API</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&gt; 5% des appels</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Vérifier la clé API + mécanisme retry</w:t>
            </w:r>
          </w:p>
        </w:tc>
      </w:tr>
    </w:tbl>
    <w:p>
      <w:pPr>
        <w:spacing w:after="60"/>
      </w:pPr>
    </w:p>
    <w:p>
      <w:pPr>
        <w:pStyle w:val="Heading2"/>
        <w:spacing w:after="120" w:before="280"/>
      </w:pPr>
      <w:r>
        <w:rPr>
          <w:rFonts w:ascii="Arial" w:cs="Arial" w:eastAsia="Arial" w:hAnsi="Arial"/>
          <w:b/>
          <w:bCs/>
          <w:color w:val="2E6DB4"/>
          <w:sz w:val="26"/>
          <w:szCs w:val="26"/>
        </w:rPr>
        <w:t xml:space="preserve">2.2 Indicateurs métier</w:t>
      </w:r>
    </w:p>
    <w:p>
      <w:pPr>
        <w:pStyle w:val="ListParagraph"/>
        <w:numPr>
          <w:ilvl w:val="0"/>
          <w:numId w:val="2"/>
        </w:numPr>
        <w:spacing w:after="80"/>
      </w:pPr>
      <w:r>
        <w:rPr>
          <w:rFonts w:ascii="Arial" w:cs="Arial" w:eastAsia="Arial" w:hAnsi="Arial"/>
          <w:color w:val="2C2C2C"/>
          <w:sz w:val="22"/>
          <w:szCs w:val="22"/>
        </w:rPr>
        <w:t xml:space="preserve">Temps moyen de traitement d'un ticket : objectif &lt; 2 minutes avec l'outil (vs &gt; 8 minutes manuellement)</w:t>
      </w:r>
    </w:p>
    <w:p>
      <w:pPr>
        <w:pStyle w:val="ListParagraph"/>
        <w:numPr>
          <w:ilvl w:val="0"/>
          <w:numId w:val="2"/>
        </w:numPr>
        <w:spacing w:after="80"/>
      </w:pPr>
      <w:r>
        <w:rPr>
          <w:rFonts w:ascii="Arial" w:cs="Arial" w:eastAsia="Arial" w:hAnsi="Arial"/>
          <w:color w:val="2C2C2C"/>
          <w:sz w:val="22"/>
          <w:szCs w:val="22"/>
        </w:rPr>
        <w:t xml:space="preserve">Taux d'acceptation des suggestions HITL : objectif &gt; 70% (suggère que les réponses sont pertinentes)</w:t>
      </w:r>
    </w:p>
    <w:p>
      <w:pPr>
        <w:pStyle w:val="ListParagraph"/>
        <w:numPr>
          <w:ilvl w:val="0"/>
          <w:numId w:val="2"/>
        </w:numPr>
        <w:spacing w:after="80"/>
      </w:pPr>
      <w:r>
        <w:rPr>
          <w:rFonts w:ascii="Arial" w:cs="Arial" w:eastAsia="Arial" w:hAnsi="Arial"/>
          <w:color w:val="2C2C2C"/>
          <w:sz w:val="22"/>
          <w:szCs w:val="22"/>
        </w:rPr>
        <w:t xml:space="preserve">Taux de satisfaction client après réponse : mesuré par les tickets de suivi du client</w:t>
      </w:r>
    </w:p>
    <w:p>
      <w:pPr>
        <w:pStyle w:val="ListParagraph"/>
        <w:numPr>
          <w:ilvl w:val="0"/>
          <w:numId w:val="2"/>
        </w:numPr>
        <w:spacing w:after="80"/>
      </w:pPr>
      <w:r>
        <w:rPr>
          <w:rFonts w:ascii="Arial" w:cs="Arial" w:eastAsia="Arial" w:hAnsi="Arial"/>
          <w:color w:val="2C2C2C"/>
          <w:sz w:val="22"/>
          <w:szCs w:val="22"/>
        </w:rPr>
        <w:t xml:space="preserve">Nombre de tickets critiques (Incident/Change) traités en moins de 5 minutes</w:t>
      </w:r>
    </w:p>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3. Détection du data drift et du model drift</w:t>
      </w:r>
    </w:p>
    <w:p>
      <w:pPr>
        <w:pStyle w:val="Heading2"/>
        <w:spacing w:after="120" w:before="280"/>
      </w:pPr>
      <w:r>
        <w:rPr>
          <w:rFonts w:ascii="Arial" w:cs="Arial" w:eastAsia="Arial" w:hAnsi="Arial"/>
          <w:b/>
          <w:bCs/>
          <w:color w:val="2E6DB4"/>
          <w:sz w:val="26"/>
          <w:szCs w:val="26"/>
        </w:rPr>
        <w:t xml:space="preserve">3.1 Data drift — Dérive des données</w:t>
      </w:r>
    </w:p>
    <w:p>
      <w:pPr>
        <w:spacing w:after="120" w:before="60"/>
      </w:pPr>
      <w:r>
        <w:rPr>
          <w:rFonts w:ascii="Arial" w:cs="Arial" w:eastAsia="Arial" w:hAnsi="Arial"/>
          <w:b w:val="false"/>
          <w:bCs w:val="false"/>
          <w:i w:val="false"/>
          <w:iCs w:val="false"/>
          <w:color w:val="2C2C2C"/>
          <w:sz w:val="22"/>
          <w:szCs w:val="22"/>
        </w:rPr>
        <w:t xml:space="preserve">La dérive des données se produit lorsque les nouvelles requêtes de clients diffèrent significativement des données sur lesquelles les modèles ont été entraînés. Dans le contexte du support client, cela peut arriver si :</w:t>
      </w:r>
    </w:p>
    <w:p>
      <w:pPr>
        <w:pStyle w:val="ListParagraph"/>
        <w:numPr>
          <w:ilvl w:val="0"/>
          <w:numId w:val="2"/>
        </w:numPr>
        <w:spacing w:after="80"/>
      </w:pPr>
      <w:r>
        <w:rPr>
          <w:rFonts w:ascii="Arial" w:cs="Arial" w:eastAsia="Arial" w:hAnsi="Arial"/>
          <w:color w:val="2C2C2C"/>
          <w:sz w:val="22"/>
          <w:szCs w:val="22"/>
        </w:rPr>
        <w:t xml:space="preserve">De nouveaux types de tickets apparaissent (ex: nouveaux produits lancés par l'entreprise)</w:t>
      </w:r>
    </w:p>
    <w:p>
      <w:pPr>
        <w:pStyle w:val="ListParagraph"/>
        <w:numPr>
          <w:ilvl w:val="0"/>
          <w:numId w:val="2"/>
        </w:numPr>
        <w:spacing w:after="80"/>
      </w:pPr>
      <w:r>
        <w:rPr>
          <w:rFonts w:ascii="Arial" w:cs="Arial" w:eastAsia="Arial" w:hAnsi="Arial"/>
          <w:color w:val="2C2C2C"/>
          <w:sz w:val="22"/>
          <w:szCs w:val="22"/>
        </w:rPr>
        <w:t xml:space="preserve">Le vocabulaire des clients évolue (nouveaux termes, argot, abréviations)</w:t>
      </w:r>
    </w:p>
    <w:p>
      <w:pPr>
        <w:pStyle w:val="ListParagraph"/>
        <w:numPr>
          <w:ilvl w:val="0"/>
          <w:numId w:val="2"/>
        </w:numPr>
        <w:spacing w:after="80"/>
      </w:pPr>
      <w:r>
        <w:rPr>
          <w:rFonts w:ascii="Arial" w:cs="Arial" w:eastAsia="Arial" w:hAnsi="Arial"/>
          <w:color w:val="2C2C2C"/>
          <w:sz w:val="22"/>
          <w:szCs w:val="22"/>
        </w:rPr>
        <w:t xml:space="preserve">La proportion des langues change (ex: augmentation des tickets en espagnol ou autre)</w:t>
      </w:r>
    </w:p>
    <w:p>
      <w:pPr>
        <w:spacing w:after="60"/>
      </w:pPr>
    </w:p>
    <w:p>
      <w:pPr>
        <w:spacing w:after="120" w:before="60"/>
      </w:pPr>
      <w:r>
        <w:rPr>
          <w:rFonts w:ascii="Arial" w:cs="Arial" w:eastAsia="Arial" w:hAnsi="Arial"/>
          <w:b w:val="false"/>
          <w:bCs w:val="false"/>
          <w:i w:val="false"/>
          <w:iCs w:val="false"/>
          <w:color w:val="2C2C2C"/>
          <w:sz w:val="22"/>
          <w:szCs w:val="22"/>
        </w:rPr>
        <w:t xml:space="preserve">Méthode de détection recommandée :</w:t>
      </w:r>
    </w:p>
    <w:p>
      <w:pPr>
        <w:pStyle w:val="ListParagraph"/>
        <w:numPr>
          <w:ilvl w:val="0"/>
          <w:numId w:val="2"/>
        </w:numPr>
        <w:spacing w:after="80"/>
      </w:pPr>
      <w:r>
        <w:rPr>
          <w:rFonts w:ascii="Arial" w:cs="Arial" w:eastAsia="Arial" w:hAnsi="Arial"/>
          <w:color w:val="2C2C2C"/>
          <w:sz w:val="22"/>
          <w:szCs w:val="22"/>
        </w:rPr>
        <w:t xml:space="preserve">Toutes les deux semaines : analyser la distribution des types de tickets classifiés et comparer à la distribution d'entraînement (référence : M1 = 11 catégories, proportions du dataset Bitext)</w:t>
      </w:r>
    </w:p>
    <w:p>
      <w:pPr>
        <w:pStyle w:val="ListParagraph"/>
        <w:numPr>
          <w:ilvl w:val="0"/>
          <w:numId w:val="2"/>
        </w:numPr>
        <w:spacing w:after="80"/>
      </w:pPr>
      <w:r>
        <w:rPr>
          <w:rFonts w:ascii="Arial" w:cs="Arial" w:eastAsia="Arial" w:hAnsi="Arial"/>
          <w:color w:val="2C2C2C"/>
          <w:sz w:val="22"/>
          <w:szCs w:val="22"/>
        </w:rPr>
        <w:t xml:space="preserve">Si la proportion d'une catégorie change de plus de 10 points de pourcentage → alerte de data drift</w:t>
      </w:r>
    </w:p>
    <w:p>
      <w:pPr>
        <w:pStyle w:val="ListParagraph"/>
        <w:numPr>
          <w:ilvl w:val="0"/>
          <w:numId w:val="2"/>
        </w:numPr>
        <w:spacing w:after="80"/>
      </w:pPr>
      <w:r>
        <w:rPr>
          <w:rFonts w:ascii="Arial" w:cs="Arial" w:eastAsia="Arial" w:hAnsi="Arial"/>
          <w:color w:val="2C2C2C"/>
          <w:sz w:val="22"/>
          <w:szCs w:val="22"/>
        </w:rPr>
        <w:t xml:space="preserve">Mensuel : analyse qualitative d'un échantillon de 50 tickets récents pour détecter des types non couverts</w:t>
      </w:r>
    </w:p>
    <w:p>
      <w:pPr>
        <w:spacing w:after="60"/>
      </w:pPr>
    </w:p>
    <w:p>
      <w:pPr>
        <w:pStyle w:val="Heading2"/>
        <w:spacing w:after="120" w:before="280"/>
      </w:pPr>
      <w:r>
        <w:rPr>
          <w:rFonts w:ascii="Arial" w:cs="Arial" w:eastAsia="Arial" w:hAnsi="Arial"/>
          <w:b/>
          <w:bCs/>
          <w:color w:val="2E6DB4"/>
          <w:sz w:val="26"/>
          <w:szCs w:val="26"/>
        </w:rPr>
        <w:t xml:space="preserve">3.2 Model drift — Dégradation du modèle</w:t>
      </w:r>
    </w:p>
    <w:p>
      <w:pPr>
        <w:spacing w:after="120" w:before="60"/>
      </w:pPr>
      <w:r>
        <w:rPr>
          <w:rFonts w:ascii="Arial" w:cs="Arial" w:eastAsia="Arial" w:hAnsi="Arial"/>
          <w:b w:val="false"/>
          <w:bCs w:val="false"/>
          <w:i w:val="false"/>
          <w:iCs w:val="false"/>
          <w:color w:val="2C2C2C"/>
          <w:sz w:val="22"/>
          <w:szCs w:val="22"/>
        </w:rPr>
        <w:t xml:space="preserve">Le model drift se produit lorsque les performances du modèle baissent sur de nouvelles données, même si la distribution d'entrée est stable.</w:t>
      </w:r>
    </w:p>
    <w:p>
      <w:pPr>
        <w:pStyle w:val="ListParagraph"/>
        <w:numPr>
          <w:ilvl w:val="0"/>
          <w:numId w:val="2"/>
        </w:numPr>
        <w:spacing w:after="80"/>
      </w:pPr>
      <w:r>
        <w:rPr>
          <w:rFonts w:ascii="Arial" w:cs="Arial" w:eastAsia="Arial" w:hAnsi="Arial"/>
          <w:color w:val="2C2C2C"/>
          <w:sz w:val="22"/>
          <w:szCs w:val="22"/>
        </w:rPr>
        <w:t xml:space="preserve">Hebdomadaire : calculer le F1 Macro de M1 et le Recall Change de M2 sur un échantillon annoté de 100 tickets réels</w:t>
      </w:r>
    </w:p>
    <w:p>
      <w:pPr>
        <w:pStyle w:val="ListParagraph"/>
        <w:numPr>
          <w:ilvl w:val="0"/>
          <w:numId w:val="2"/>
        </w:numPr>
        <w:spacing w:after="80"/>
      </w:pPr>
      <w:r>
        <w:rPr>
          <w:rFonts w:ascii="Arial" w:cs="Arial" w:eastAsia="Arial" w:hAnsi="Arial"/>
          <w:color w:val="2C2C2C"/>
          <w:sz w:val="22"/>
          <w:szCs w:val="22"/>
        </w:rPr>
        <w:t xml:space="preserve">Si F1 M1 &lt; 0.90 ou Recall M2 &lt; 0.80 → déclencher un ré-entraînement</w:t>
      </w:r>
    </w:p>
    <w:p>
      <w:pPr>
        <w:pStyle w:val="ListParagraph"/>
        <w:numPr>
          <w:ilvl w:val="0"/>
          <w:numId w:val="2"/>
        </w:numPr>
        <w:spacing w:after="80"/>
      </w:pPr>
      <w:r>
        <w:rPr>
          <w:rFonts w:ascii="Arial" w:cs="Arial" w:eastAsia="Arial" w:hAnsi="Arial"/>
          <w:color w:val="2C2C2C"/>
          <w:sz w:val="22"/>
          <w:szCs w:val="22"/>
        </w:rPr>
        <w:t xml:space="preserve">Comparer les résultats au tableau de référence MLflow (baseline : F1=1.000 pour M1, Recall=0.8306 pour M2)</w:t>
      </w:r>
    </w:p>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4. Plan de ré-entraînement et mise à jour</w:t>
      </w:r>
    </w:p>
    <w:p>
      <w:pPr>
        <w:pStyle w:val="Heading2"/>
        <w:spacing w:after="120" w:before="280"/>
      </w:pPr>
      <w:r>
        <w:rPr>
          <w:rFonts w:ascii="Arial" w:cs="Arial" w:eastAsia="Arial" w:hAnsi="Arial"/>
          <w:b/>
          <w:bCs/>
          <w:color w:val="2E6DB4"/>
          <w:sz w:val="26"/>
          <w:szCs w:val="26"/>
        </w:rPr>
        <w:t xml:space="preserve">4.1 Fréquence de ré-entraînement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Déclencheur</w:t>
            </w:r>
          </w:p>
        </w:tc>
        <w:tc>
          <w:tcPr>
            <w:tcW w:type="dxa" w:w="2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Fréquence</w:t>
            </w:r>
          </w:p>
        </w:tc>
        <w:tc>
          <w:tcPr>
            <w:tcW w:type="dxa" w:w="4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Dérive détectée (KPI sous seuil)</w:t>
            </w:r>
          </w:p>
        </w:tc>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Dès détection</w:t>
            </w:r>
          </w:p>
        </w:tc>
        <w:tc>
          <w:tcPr>
            <w:tcW w:type="dxa" w:w="4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Ré-entraînement immédiat sur données augmentées</w:t>
            </w:r>
          </w:p>
        </w:tc>
      </w:tr>
      <w:tr>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Maintenance préventive</w:t>
            </w:r>
          </w:p>
        </w:tc>
        <w:tc>
          <w:tcPr>
            <w:tcW w:type="dxa" w:w="2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Trimestriel</w:t>
            </w:r>
          </w:p>
        </w:tc>
        <w:tc>
          <w:tcPr>
            <w:tcW w:type="dxa" w:w="4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Ré-entraînement sur 3 mois de tickets réels annotés</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Nouveau type de ticket identifié</w:t>
            </w:r>
          </w:p>
        </w:tc>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Dès identification</w:t>
            </w:r>
          </w:p>
        </w:tc>
        <w:tc>
          <w:tcPr>
            <w:tcW w:type="dxa" w:w="4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Ajout de la nouvelle classe + ré-entraînement M1</w:t>
            </w:r>
          </w:p>
        </w:tc>
      </w:tr>
      <w:tr>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Changement du modèle LLM Groq</w:t>
            </w:r>
          </w:p>
        </w:tc>
        <w:tc>
          <w:tcPr>
            <w:tcW w:type="dxa" w:w="2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Si changement API</w:t>
            </w:r>
          </w:p>
        </w:tc>
        <w:tc>
          <w:tcPr>
            <w:tcW w:type="dxa" w:w="4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Test du nouveau modèle sur le test set M3 + validation</w:t>
            </w:r>
          </w:p>
        </w:tc>
      </w:tr>
    </w:tbl>
    <w:p>
      <w:pPr>
        <w:spacing w:after="60"/>
      </w:pPr>
    </w:p>
    <w:p>
      <w:pPr>
        <w:pStyle w:val="Heading2"/>
        <w:spacing w:after="120" w:before="280"/>
      </w:pPr>
      <w:r>
        <w:rPr>
          <w:rFonts w:ascii="Arial" w:cs="Arial" w:eastAsia="Arial" w:hAnsi="Arial"/>
          <w:b/>
          <w:bCs/>
          <w:color w:val="2E6DB4"/>
          <w:sz w:val="26"/>
          <w:szCs w:val="26"/>
        </w:rPr>
        <w:t xml:space="preserve">4.2 Procédure de ré-entraînement</w:t>
      </w:r>
    </w:p>
    <w:p>
      <w:pPr>
        <w:pStyle w:val="ListParagraph"/>
        <w:numPr>
          <w:ilvl w:val="0"/>
          <w:numId w:val="2"/>
        </w:numPr>
        <w:spacing w:after="80"/>
      </w:pPr>
      <w:r>
        <w:rPr>
          <w:rFonts w:ascii="Arial" w:cs="Arial" w:eastAsia="Arial" w:hAnsi="Arial"/>
          <w:color w:val="2C2C2C"/>
          <w:sz w:val="22"/>
          <w:szCs w:val="22"/>
        </w:rPr>
        <w:t xml:space="preserve">Étape 1 : Annoter au moins 500 nouveaux tickets (type + urgence) avec un agent expérimenté</w:t>
      </w:r>
    </w:p>
    <w:p>
      <w:pPr>
        <w:pStyle w:val="ListParagraph"/>
        <w:numPr>
          <w:ilvl w:val="0"/>
          <w:numId w:val="2"/>
        </w:numPr>
        <w:spacing w:after="80"/>
      </w:pPr>
      <w:r>
        <w:rPr>
          <w:rFonts w:ascii="Arial" w:cs="Arial" w:eastAsia="Arial" w:hAnsi="Arial"/>
          <w:color w:val="2C2C2C"/>
          <w:sz w:val="22"/>
          <w:szCs w:val="22"/>
        </w:rPr>
        <w:t xml:space="preserve">Étape 2 : Ajouter les nouvelles données au dataset d'entraînement existant</w:t>
      </w:r>
    </w:p>
    <w:p>
      <w:pPr>
        <w:pStyle w:val="ListParagraph"/>
        <w:numPr>
          <w:ilvl w:val="0"/>
          <w:numId w:val="2"/>
        </w:numPr>
        <w:spacing w:after="80"/>
      </w:pPr>
      <w:r>
        <w:rPr>
          <w:rFonts w:ascii="Arial" w:cs="Arial" w:eastAsia="Arial" w:hAnsi="Arial"/>
          <w:color w:val="2C2C2C"/>
          <w:sz w:val="22"/>
          <w:szCs w:val="22"/>
        </w:rPr>
        <w:t xml:space="preserve">Étape 3 : Lancer le notebook correspondant (Module 1 ou Module 2) sur Google Colab</w:t>
      </w:r>
    </w:p>
    <w:p>
      <w:pPr>
        <w:pStyle w:val="ListParagraph"/>
        <w:numPr>
          <w:ilvl w:val="0"/>
          <w:numId w:val="2"/>
        </w:numPr>
        <w:spacing w:after="80"/>
      </w:pPr>
      <w:r>
        <w:rPr>
          <w:rFonts w:ascii="Arial" w:cs="Arial" w:eastAsia="Arial" w:hAnsi="Arial"/>
          <w:color w:val="2C2C2C"/>
          <w:sz w:val="22"/>
          <w:szCs w:val="22"/>
        </w:rPr>
        <w:t xml:space="preserve">Étape 4 : Comparer les métriques du nouveau modèle avec l'ancien via MLflow</w:t>
      </w:r>
    </w:p>
    <w:p>
      <w:pPr>
        <w:pStyle w:val="ListParagraph"/>
        <w:numPr>
          <w:ilvl w:val="0"/>
          <w:numId w:val="2"/>
        </w:numPr>
        <w:spacing w:after="80"/>
      </w:pPr>
      <w:r>
        <w:rPr>
          <w:rFonts w:ascii="Arial" w:cs="Arial" w:eastAsia="Arial" w:hAnsi="Arial"/>
          <w:color w:val="2C2C2C"/>
          <w:sz w:val="22"/>
          <w:szCs w:val="22"/>
        </w:rPr>
        <w:t xml:space="preserve">Étape 5 : Si le nouveau modèle est meilleur sur tous les KPIs → remplacer le checkpoint</w:t>
      </w:r>
    </w:p>
    <w:p>
      <w:pPr>
        <w:pStyle w:val="ListParagraph"/>
        <w:numPr>
          <w:ilvl w:val="0"/>
          <w:numId w:val="2"/>
        </w:numPr>
        <w:spacing w:after="80"/>
      </w:pPr>
      <w:r>
        <w:rPr>
          <w:rFonts w:ascii="Arial" w:cs="Arial" w:eastAsia="Arial" w:hAnsi="Arial"/>
          <w:color w:val="2C2C2C"/>
          <w:sz w:val="22"/>
          <w:szCs w:val="22"/>
        </w:rPr>
        <w:t xml:space="preserve">Étape 6 : Logger le nouveau run dans MLflow avec tag "ré-entraînement" et date</w:t>
      </w:r>
    </w:p>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5. Gestion des versions</w:t>
      </w:r>
    </w:p>
    <w:p>
      <w:pPr>
        <w:pStyle w:val="Heading2"/>
        <w:spacing w:after="120" w:before="280"/>
      </w:pPr>
      <w:r>
        <w:rPr>
          <w:rFonts w:ascii="Arial" w:cs="Arial" w:eastAsia="Arial" w:hAnsi="Arial"/>
          <w:b/>
          <w:bCs/>
          <w:color w:val="2E6DB4"/>
          <w:sz w:val="26"/>
          <w:szCs w:val="26"/>
        </w:rPr>
        <w:t xml:space="preserve">5.1 Convention de nommage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de version</w:t>
            </w:r>
          </w:p>
        </w:tc>
        <w:tc>
          <w:tcPr>
            <w:tcW w:type="dxa" w:w="6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Convention</w:t>
            </w:r>
          </w:p>
        </w:tc>
      </w:tr>
      <w:tr>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Version majeure</w:t>
            </w:r>
          </w:p>
        </w:tc>
        <w:tc>
          <w:tcPr>
            <w:tcW w:type="dxa" w:w="6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v1.0, v2.0 — Changement d'architecture ou de modèle de base</w:t>
            </w:r>
          </w:p>
        </w:tc>
      </w:tr>
      <w:tr>
        <w:tc>
          <w:tcPr>
            <w:tcW w:type="dxa" w:w="2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Version mineure</w:t>
            </w:r>
          </w:p>
        </w:tc>
        <w:tc>
          <w:tcPr>
            <w:tcW w:type="dxa" w:w="6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v1.1, v1.2 — Ré-entraînement avec nouvelles données, ajout classe</w:t>
            </w:r>
          </w:p>
        </w:tc>
      </w:tr>
      <w:tr>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Patch</w:t>
            </w:r>
          </w:p>
        </w:tc>
        <w:tc>
          <w:tcPr>
            <w:tcW w:type="dxa" w:w="6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v1.0.1 — Correction de bug, ajustement de poids, fix prompt</w:t>
            </w:r>
          </w:p>
        </w:tc>
      </w:tr>
    </w:tbl>
    <w:p>
      <w:pPr>
        <w:spacing w:after="60"/>
      </w:pPr>
    </w:p>
    <w:p>
      <w:pPr>
        <w:spacing w:after="120" w:before="60"/>
      </w:pPr>
      <w:r>
        <w:rPr>
          <w:rFonts w:ascii="Arial" w:cs="Arial" w:eastAsia="Arial" w:hAnsi="Arial"/>
          <w:b w:val="false"/>
          <w:bCs w:val="false"/>
          <w:i w:val="false"/>
          <w:iCs w:val="false"/>
          <w:color w:val="2C2C2C"/>
          <w:sz w:val="22"/>
          <w:szCs w:val="22"/>
        </w:rPr>
        <w:t xml:space="preserve">Versions actuelles en production :</w:t>
      </w:r>
    </w:p>
    <w:p>
      <w:pPr>
        <w:pStyle w:val="ListParagraph"/>
        <w:numPr>
          <w:ilvl w:val="0"/>
          <w:numId w:val="2"/>
        </w:numPr>
        <w:spacing w:after="80"/>
      </w:pPr>
      <w:r>
        <w:rPr>
          <w:rFonts w:ascii="Arial" w:cs="Arial" w:eastAsia="Arial" w:hAnsi="Arial"/>
          <w:color w:val="2C2C2C"/>
          <w:sz w:val="22"/>
          <w:szCs w:val="22"/>
        </w:rPr>
        <w:t xml:space="preserve">Module 1 : v1.0 — XLM-RoBERTa fine-tuné, checkpoint-2688, F1=1.000, 11 classes</w:t>
      </w:r>
    </w:p>
    <w:p>
      <w:pPr>
        <w:pStyle w:val="ListParagraph"/>
        <w:numPr>
          <w:ilvl w:val="0"/>
          <w:numId w:val="2"/>
        </w:numPr>
        <w:spacing w:after="80"/>
      </w:pPr>
      <w:r>
        <w:rPr>
          <w:rFonts w:ascii="Arial" w:cs="Arial" w:eastAsia="Arial" w:hAnsi="Arial"/>
          <w:color w:val="2C2C2C"/>
          <w:sz w:val="22"/>
          <w:szCs w:val="22"/>
        </w:rPr>
        <w:t xml:space="preserve">Module 2 : v1.0 — XLM-RoBERTa WeightedTrainer, checkpoint-3714, Recall=0.8306, 4 classes</w:t>
      </w:r>
    </w:p>
    <w:p>
      <w:pPr>
        <w:pStyle w:val="ListParagraph"/>
        <w:numPr>
          <w:ilvl w:val="0"/>
          <w:numId w:val="2"/>
        </w:numPr>
        <w:spacing w:after="80"/>
      </w:pPr>
      <w:r>
        <w:rPr>
          <w:rFonts w:ascii="Arial" w:cs="Arial" w:eastAsia="Arial" w:hAnsi="Arial"/>
          <w:color w:val="2C2C2C"/>
          <w:sz w:val="22"/>
          <w:szCs w:val="22"/>
        </w:rPr>
        <w:t xml:space="preserve">Module 3 : v1.0 — Pipeline RAG BM25+FAISS + Groq llama-3.1-8b-instant</w:t>
      </w:r>
    </w:p>
    <w:p>
      <w:pPr>
        <w:spacing w:after="60"/>
      </w:pPr>
    </w:p>
    <w:p>
      <w:pPr>
        <w:pStyle w:val="Heading2"/>
        <w:spacing w:after="120" w:before="280"/>
      </w:pPr>
      <w:r>
        <w:rPr>
          <w:rFonts w:ascii="Arial" w:cs="Arial" w:eastAsia="Arial" w:hAnsi="Arial"/>
          <w:b/>
          <w:bCs/>
          <w:color w:val="2E6DB4"/>
          <w:sz w:val="26"/>
          <w:szCs w:val="26"/>
        </w:rPr>
        <w:t xml:space="preserve">5.2 Traçabilité via MLflow et Git</w:t>
      </w:r>
    </w:p>
    <w:p>
      <w:pPr>
        <w:pStyle w:val="ListParagraph"/>
        <w:numPr>
          <w:ilvl w:val="0"/>
          <w:numId w:val="2"/>
        </w:numPr>
        <w:spacing w:after="80"/>
      </w:pPr>
      <w:r>
        <w:rPr>
          <w:rFonts w:ascii="Arial" w:cs="Arial" w:eastAsia="Arial" w:hAnsi="Arial"/>
          <w:color w:val="2C2C2C"/>
          <w:sz w:val="22"/>
          <w:szCs w:val="22"/>
        </w:rPr>
        <w:t xml:space="preserve">Chaque nouveau run est enregistré dans MLflow (DagsHub : boulkaraamohamedramy/capstone-ia-groupe8.mlflow)</w:t>
      </w:r>
    </w:p>
    <w:p>
      <w:pPr>
        <w:pStyle w:val="ListParagraph"/>
        <w:numPr>
          <w:ilvl w:val="0"/>
          <w:numId w:val="2"/>
        </w:numPr>
        <w:spacing w:after="80"/>
      </w:pPr>
      <w:r>
        <w:rPr>
          <w:rFonts w:ascii="Arial" w:cs="Arial" w:eastAsia="Arial" w:hAnsi="Arial"/>
          <w:color w:val="2C2C2C"/>
          <w:sz w:val="22"/>
          <w:szCs w:val="22"/>
        </w:rPr>
        <w:t xml:space="preserve">Le checkpoint retenu est sauvegardé sur Google Drive avec la date et la version</w:t>
      </w:r>
    </w:p>
    <w:p>
      <w:pPr>
        <w:pStyle w:val="ListParagraph"/>
        <w:numPr>
          <w:ilvl w:val="0"/>
          <w:numId w:val="2"/>
        </w:numPr>
        <w:spacing w:after="80"/>
      </w:pPr>
      <w:r>
        <w:rPr>
          <w:rFonts w:ascii="Arial" w:cs="Arial" w:eastAsia="Arial" w:hAnsi="Arial"/>
          <w:color w:val="2C2C2C"/>
          <w:sz w:val="22"/>
          <w:szCs w:val="22"/>
        </w:rPr>
        <w:t xml:space="preserve">Le notebook correspondant est commité sur GitHub avec un message de commit explicite (ex: "M1 v1.1 — ajout 500 nouveaux tickets annotés")</w:t>
      </w:r>
    </w:p>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6. Squelette CI/CD</w:t>
      </w:r>
    </w:p>
    <w:p>
      <w:pPr>
        <w:pStyle w:val="Heading2"/>
        <w:spacing w:after="120" w:before="280"/>
      </w:pPr>
      <w:r>
        <w:rPr>
          <w:rFonts w:ascii="Arial" w:cs="Arial" w:eastAsia="Arial" w:hAnsi="Arial"/>
          <w:b/>
          <w:bCs/>
          <w:color w:val="2E6DB4"/>
          <w:sz w:val="26"/>
          <w:szCs w:val="26"/>
        </w:rPr>
        <w:t xml:space="preserve">6.1 Architecture CI/CD proposée</w:t>
      </w:r>
    </w:p>
    <w:p>
      <w:pPr>
        <w:spacing w:after="120" w:before="60"/>
      </w:pPr>
      <w:r>
        <w:rPr>
          <w:rFonts w:ascii="Arial" w:cs="Arial" w:eastAsia="Arial" w:hAnsi="Arial"/>
          <w:b w:val="false"/>
          <w:bCs w:val="false"/>
          <w:i w:val="false"/>
          <w:iCs w:val="false"/>
          <w:color w:val="2C2C2C"/>
          <w:sz w:val="22"/>
          <w:szCs w:val="22"/>
        </w:rPr>
        <w:t xml:space="preserve">Le pipeline CI/CD est défini en tant que workflow GitHub Actions (.github/workflows/ci_capstone.yml). Il s'exécute automatiquement à chaque push sur la branche main.</w:t>
      </w:r>
    </w:p>
    <w:p>
      <w:pPr>
        <w:spacing w:after="60"/>
      </w:pPr>
    </w:p>
    <w:p>
      <w:pPr>
        <w:spacing w:after="120" w:before="60"/>
      </w:pPr>
      <w:r>
        <w:rPr>
          <w:rFonts w:ascii="Arial" w:cs="Arial" w:eastAsia="Arial" w:hAnsi="Arial"/>
          <w:b w:val="false"/>
          <w:bCs w:val="false"/>
          <w:i w:val="false"/>
          <w:iCs w:val="false"/>
          <w:color w:val="2C2C2C"/>
          <w:sz w:val="22"/>
          <w:szCs w:val="22"/>
        </w:rPr>
        <w:t xml:space="preserve">Étapes du pipeline CI/CD :</w:t>
      </w:r>
    </w:p>
    <w:p>
      <w:pPr>
        <w:pStyle w:val="ListParagraph"/>
        <w:numPr>
          <w:ilvl w:val="0"/>
          <w:numId w:val="2"/>
        </w:numPr>
        <w:spacing w:after="80"/>
      </w:pPr>
      <w:r>
        <w:rPr>
          <w:rFonts w:ascii="Arial" w:cs="Arial" w:eastAsia="Arial" w:hAnsi="Arial"/>
          <w:color w:val="2C2C2C"/>
          <w:sz w:val="22"/>
          <w:szCs w:val="22"/>
        </w:rPr>
        <w:t xml:space="preserve">Étape 1 — Lint et validation syntaxique : vérification de la syntaxe Python des notebooks avec flake8 et ast.parse()</w:t>
      </w:r>
    </w:p>
    <w:p>
      <w:pPr>
        <w:pStyle w:val="ListParagraph"/>
        <w:numPr>
          <w:ilvl w:val="0"/>
          <w:numId w:val="2"/>
        </w:numPr>
        <w:spacing w:after="80"/>
      </w:pPr>
      <w:r>
        <w:rPr>
          <w:rFonts w:ascii="Arial" w:cs="Arial" w:eastAsia="Arial" w:hAnsi="Arial"/>
          <w:color w:val="2C2C2C"/>
          <w:sz w:val="22"/>
          <w:szCs w:val="22"/>
        </w:rPr>
        <w:t xml:space="preserve">Étape 2 — Tests unitaires : validation des fonctions critiques (detecter_langue, classifier_module, recuperer_docs)</w:t>
      </w:r>
    </w:p>
    <w:p>
      <w:pPr>
        <w:pStyle w:val="ListParagraph"/>
        <w:numPr>
          <w:ilvl w:val="0"/>
          <w:numId w:val="2"/>
        </w:numPr>
        <w:spacing w:after="80"/>
      </w:pPr>
      <w:r>
        <w:rPr>
          <w:rFonts w:ascii="Arial" w:cs="Arial" w:eastAsia="Arial" w:hAnsi="Arial"/>
          <w:color w:val="2C2C2C"/>
          <w:sz w:val="22"/>
          <w:szCs w:val="22"/>
        </w:rPr>
        <w:t xml:space="preserve">Étape 3 — Test d'intégration : exécution du pipeline complet sur 5 tickets de test prédéfinis</w:t>
      </w:r>
    </w:p>
    <w:p>
      <w:pPr>
        <w:pStyle w:val="ListParagraph"/>
        <w:numPr>
          <w:ilvl w:val="0"/>
          <w:numId w:val="2"/>
        </w:numPr>
        <w:spacing w:after="80"/>
      </w:pPr>
      <w:r>
        <w:rPr>
          <w:rFonts w:ascii="Arial" w:cs="Arial" w:eastAsia="Arial" w:hAnsi="Arial"/>
          <w:color w:val="2C2C2C"/>
          <w:sz w:val="22"/>
          <w:szCs w:val="22"/>
        </w:rPr>
        <w:t xml:space="preserve">Étape 4 — Rapport automatique : génération d'un rapport de métriques et envoi par e-mail si un KPI est sous le seuil</w:t>
      </w:r>
    </w:p>
    <w:p>
      <w:pPr>
        <w:spacing w:after="60"/>
      </w:pPr>
    </w:p>
    <w:p>
      <w:pPr>
        <w:pStyle w:val="Heading2"/>
        <w:spacing w:after="120" w:before="280"/>
      </w:pPr>
      <w:r>
        <w:rPr>
          <w:rFonts w:ascii="Arial" w:cs="Arial" w:eastAsia="Arial" w:hAnsi="Arial"/>
          <w:b/>
          <w:bCs/>
          <w:color w:val="2E6DB4"/>
          <w:sz w:val="26"/>
          <w:szCs w:val="26"/>
        </w:rPr>
        <w:t xml:space="preserve">6.2 Fichier YAML du workflow CI/CD</w:t>
      </w:r>
    </w:p>
    <w:p>
      <w:pPr>
        <w:spacing w:after="120" w:before="60"/>
      </w:pPr>
      <w:r>
        <w:rPr>
          <w:rFonts w:ascii="Arial" w:cs="Arial" w:eastAsia="Arial" w:hAnsi="Arial"/>
          <w:b w:val="false"/>
          <w:bCs w:val="false"/>
          <w:i w:val="false"/>
          <w:iCs w:val="false"/>
          <w:color w:val="2C2C2C"/>
          <w:sz w:val="22"/>
          <w:szCs w:val="22"/>
        </w:rPr>
        <w:t xml:space="preserve">Le fichier ci_capstone.yml a été créé et committé sur GitHub. Il contient les étapes suivantes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Étape YAML</w:t>
            </w:r>
          </w:p>
        </w:tc>
        <w:tc>
          <w:tcPr>
            <w:tcW w:type="dxa" w:w="6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on: push / pull_request</w:t>
            </w:r>
          </w:p>
        </w:tc>
        <w:tc>
          <w:tcPr>
            <w:tcW w:type="dxa" w:w="6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Déclenché à chaque modification du code sur la branche main</w:t>
            </w:r>
          </w:p>
        </w:tc>
      </w:tr>
      <w:tr>
        <w:tc>
          <w:tcPr>
            <w:tcW w:type="dxa" w:w="2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setup-python</w:t>
            </w:r>
          </w:p>
        </w:tc>
        <w:tc>
          <w:tcPr>
            <w:tcW w:type="dxa" w:w="6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Installation Python 3.10 + dépendances (transformers, faiss, etc.)</w:t>
            </w:r>
          </w:p>
        </w:tc>
      </w:tr>
      <w:tr>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lint-check</w:t>
            </w:r>
          </w:p>
        </w:tc>
        <w:tc>
          <w:tcPr>
            <w:tcW w:type="dxa" w:w="6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Vérification syntaxique de tous les notebooks via ast.parse()</w:t>
            </w:r>
          </w:p>
        </w:tc>
      </w:tr>
      <w:tr>
        <w:tc>
          <w:tcPr>
            <w:tcW w:type="dxa" w:w="2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unit-tests</w:t>
            </w:r>
          </w:p>
        </w:tc>
        <w:tc>
          <w:tcPr>
            <w:tcW w:type="dxa" w:w="6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Tests des fonctions detecter_langue(), classifier_module(), evaluer()</w:t>
            </w:r>
          </w:p>
        </w:tc>
      </w:tr>
      <w:tr>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integration-test</w:t>
            </w:r>
          </w:p>
        </w:tc>
        <w:tc>
          <w:tcPr>
            <w:tcW w:type="dxa" w:w="6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Exécution du pipeline sur 5 tickets FR/EN prédéfinis</w:t>
            </w:r>
          </w:p>
        </w:tc>
      </w:tr>
      <w:tr>
        <w:tc>
          <w:tcPr>
            <w:tcW w:type="dxa" w:w="2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metrics-report</w:t>
            </w:r>
          </w:p>
        </w:tc>
        <w:tc>
          <w:tcPr>
            <w:tcW w:type="dxa" w:w="6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Log automatique des métriques dans MLflow + alerte si dérive</w:t>
            </w:r>
          </w:p>
        </w:tc>
      </w:tr>
    </w:tbl>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7. Documentation technique</w:t>
      </w:r>
    </w:p>
    <w:p>
      <w:pPr>
        <w:pStyle w:val="Heading2"/>
        <w:spacing w:after="120" w:before="280"/>
      </w:pPr>
      <w:r>
        <w:rPr>
          <w:rFonts w:ascii="Arial" w:cs="Arial" w:eastAsia="Arial" w:hAnsi="Arial"/>
          <w:b/>
          <w:bCs/>
          <w:color w:val="2E6DB4"/>
          <w:sz w:val="26"/>
          <w:szCs w:val="26"/>
        </w:rPr>
        <w:t xml:space="preserve">7.1 Architecture des fichiers</w:t>
      </w:r>
    </w:p>
    <w:p>
      <w:pPr>
        <w:spacing w:after="120" w:before="60"/>
      </w:pPr>
      <w:r>
        <w:rPr>
          <w:rFonts w:ascii="Arial" w:cs="Arial" w:eastAsia="Arial" w:hAnsi="Arial"/>
          <w:b w:val="false"/>
          <w:bCs w:val="false"/>
          <w:i w:val="false"/>
          <w:iCs w:val="false"/>
          <w:color w:val="2C2C2C"/>
          <w:sz w:val="22"/>
          <w:szCs w:val="22"/>
        </w:rPr>
        <w:t xml:space="preserve">Structure du dépôt GitHub (Capstone_IA_Groupe8/) :</w:t>
      </w:r>
    </w:p>
    <w:p>
      <w:pPr>
        <w:pStyle w:val="ListParagraph"/>
        <w:numPr>
          <w:ilvl w:val="0"/>
          <w:numId w:val="2"/>
        </w:numPr>
        <w:spacing w:after="80"/>
      </w:pPr>
      <w:r>
        <w:rPr>
          <w:rFonts w:ascii="Arial" w:cs="Arial" w:eastAsia="Arial" w:hAnsi="Arial"/>
          <w:color w:val="2C2C2C"/>
          <w:sz w:val="22"/>
          <w:szCs w:val="22"/>
        </w:rPr>
        <w:t xml:space="preserve">notebooks/ — Module1_Classification_Type_Message_FINAL.ipynb, Module2_Classification_Urgence_FINAL.ipynb, Module3_Generation_Reponses_FINAL.ipynb</w:t>
      </w:r>
    </w:p>
    <w:p>
      <w:pPr>
        <w:pStyle w:val="ListParagraph"/>
        <w:numPr>
          <w:ilvl w:val="0"/>
          <w:numId w:val="2"/>
        </w:numPr>
        <w:spacing w:after="80"/>
      </w:pPr>
      <w:r>
        <w:rPr>
          <w:rFonts w:ascii="Arial" w:cs="Arial" w:eastAsia="Arial" w:hAnsi="Arial"/>
          <w:color w:val="2C2C2C"/>
          <w:sz w:val="22"/>
          <w:szCs w:val="22"/>
        </w:rPr>
        <w:t xml:space="preserve">data/ — classMessage.csv, classUrgence.csv, Answers.csv (non committés, stockés sur Drive)</w:t>
      </w:r>
    </w:p>
    <w:p>
      <w:pPr>
        <w:pStyle w:val="ListParagraph"/>
        <w:numPr>
          <w:ilvl w:val="0"/>
          <w:numId w:val="2"/>
        </w:numPr>
        <w:spacing w:after="80"/>
      </w:pPr>
      <w:r>
        <w:rPr>
          <w:rFonts w:ascii="Arial" w:cs="Arial" w:eastAsia="Arial" w:hAnsi="Arial"/>
          <w:color w:val="2C2C2C"/>
          <w:sz w:val="22"/>
          <w:szCs w:val="22"/>
        </w:rPr>
        <w:t xml:space="preserve">models/ — module1_final/, module2_final/, module3_rag/ (non committés, stockés sur Drive)</w:t>
      </w:r>
    </w:p>
    <w:p>
      <w:pPr>
        <w:pStyle w:val="ListParagraph"/>
        <w:numPr>
          <w:ilvl w:val="0"/>
          <w:numId w:val="2"/>
        </w:numPr>
        <w:spacing w:after="80"/>
      </w:pPr>
      <w:r>
        <w:rPr>
          <w:rFonts w:ascii="Arial" w:cs="Arial" w:eastAsia="Arial" w:hAnsi="Arial"/>
          <w:color w:val="2C2C2C"/>
          <w:sz w:val="22"/>
          <w:szCs w:val="22"/>
        </w:rPr>
        <w:t xml:space="preserve">.github/workflows/ — ci_capstone.yml</w:t>
      </w:r>
    </w:p>
    <w:p>
      <w:pPr>
        <w:pStyle w:val="ListParagraph"/>
        <w:numPr>
          <w:ilvl w:val="0"/>
          <w:numId w:val="2"/>
        </w:numPr>
        <w:spacing w:after="80"/>
      </w:pPr>
      <w:r>
        <w:rPr>
          <w:rFonts w:ascii="Arial" w:cs="Arial" w:eastAsia="Arial" w:hAnsi="Arial"/>
          <w:color w:val="2C2C2C"/>
          <w:sz w:val="22"/>
          <w:szCs w:val="22"/>
        </w:rPr>
        <w:t xml:space="preserve">docs/ — Rapport_Final, Cahier_des_charges, Manuel_Utilisateur, Plan_Monitoring, Journal_Bord</w:t>
      </w:r>
    </w:p>
    <w:p>
      <w:pPr>
        <w:spacing w:after="60"/>
      </w:pPr>
    </w:p>
    <w:p>
      <w:pPr>
        <w:pStyle w:val="Heading2"/>
        <w:spacing w:after="120" w:before="280"/>
      </w:pPr>
      <w:r>
        <w:rPr>
          <w:rFonts w:ascii="Arial" w:cs="Arial" w:eastAsia="Arial" w:hAnsi="Arial"/>
          <w:b/>
          <w:bCs/>
          <w:color w:val="2E6DB4"/>
          <w:sz w:val="26"/>
          <w:szCs w:val="26"/>
        </w:rPr>
        <w:t xml:space="preserve">7.2 Comment lancer le projet</w:t>
      </w:r>
    </w:p>
    <w:p>
      <w:pPr>
        <w:pStyle w:val="ListParagraph"/>
        <w:numPr>
          <w:ilvl w:val="0"/>
          <w:numId w:val="2"/>
        </w:numPr>
        <w:spacing w:after="80"/>
      </w:pPr>
      <w:r>
        <w:rPr>
          <w:rFonts w:ascii="Arial" w:cs="Arial" w:eastAsia="Arial" w:hAnsi="Arial"/>
          <w:color w:val="2C2C2C"/>
          <w:sz w:val="22"/>
          <w:szCs w:val="22"/>
        </w:rPr>
        <w:t xml:space="preserve">Prérequis : compte Google, accès Google Colab, GPU activé (Tesla T4), clé Groq API</w:t>
      </w:r>
    </w:p>
    <w:p>
      <w:pPr>
        <w:pStyle w:val="ListParagraph"/>
        <w:numPr>
          <w:ilvl w:val="0"/>
          <w:numId w:val="2"/>
        </w:numPr>
        <w:spacing w:after="80"/>
      </w:pPr>
      <w:r>
        <w:rPr>
          <w:rFonts w:ascii="Arial" w:cs="Arial" w:eastAsia="Arial" w:hAnsi="Arial"/>
          <w:color w:val="2C2C2C"/>
          <w:sz w:val="22"/>
          <w:szCs w:val="22"/>
        </w:rPr>
        <w:t xml:space="preserve">Étape 1 : Ouvrir Module1_Classification_Type_Message_FINAL.ipynb dans Colab</w:t>
      </w:r>
    </w:p>
    <w:p>
      <w:pPr>
        <w:pStyle w:val="ListParagraph"/>
        <w:numPr>
          <w:ilvl w:val="0"/>
          <w:numId w:val="2"/>
        </w:numPr>
        <w:spacing w:after="80"/>
      </w:pPr>
      <w:r>
        <w:rPr>
          <w:rFonts w:ascii="Arial" w:cs="Arial" w:eastAsia="Arial" w:hAnsi="Arial"/>
          <w:color w:val="2C2C2C"/>
          <w:sz w:val="22"/>
          <w:szCs w:val="22"/>
        </w:rPr>
        <w:t xml:space="preserve">Étape 2 : Exécuter toutes les cellules dans l'ordre (Exécution &gt; Tout exécuter)</w:t>
      </w:r>
    </w:p>
    <w:p>
      <w:pPr>
        <w:pStyle w:val="ListParagraph"/>
        <w:numPr>
          <w:ilvl w:val="0"/>
          <w:numId w:val="2"/>
        </w:numPr>
        <w:spacing w:after="80"/>
      </w:pPr>
      <w:r>
        <w:rPr>
          <w:rFonts w:ascii="Arial" w:cs="Arial" w:eastAsia="Arial" w:hAnsi="Arial"/>
          <w:color w:val="2C2C2C"/>
          <w:sz w:val="22"/>
          <w:szCs w:val="22"/>
        </w:rPr>
        <w:t xml:space="preserve">Étape 3 : Répéter pour Module 2, puis Module 3</w:t>
      </w:r>
    </w:p>
    <w:p>
      <w:pPr>
        <w:pStyle w:val="ListParagraph"/>
        <w:numPr>
          <w:ilvl w:val="0"/>
          <w:numId w:val="2"/>
        </w:numPr>
        <w:spacing w:after="80"/>
      </w:pPr>
      <w:r>
        <w:rPr>
          <w:rFonts w:ascii="Arial" w:cs="Arial" w:eastAsia="Arial" w:hAnsi="Arial"/>
          <w:color w:val="2C2C2C"/>
          <w:sz w:val="22"/>
          <w:szCs w:val="22"/>
        </w:rPr>
        <w:t xml:space="preserve">Étape 4 : Pour le mode interactif, exécuter la cellule « 8.3 Conversation interactive » du Module 3</w:t>
      </w:r>
    </w:p>
    <w:p>
      <w:pPr>
        <w:spacing w:after="60"/>
      </w:pPr>
    </w:p>
    <w:p>
      <w:pPr>
        <w:pStyle w:val="Heading2"/>
        <w:spacing w:after="120" w:before="280"/>
      </w:pPr>
      <w:r>
        <w:rPr>
          <w:rFonts w:ascii="Arial" w:cs="Arial" w:eastAsia="Arial" w:hAnsi="Arial"/>
          <w:b/>
          <w:bCs/>
          <w:color w:val="2E6DB4"/>
          <w:sz w:val="26"/>
          <w:szCs w:val="26"/>
        </w:rPr>
        <w:t xml:space="preserve">7.3 Comment tester les modèles</w:t>
      </w:r>
    </w:p>
    <w:p>
      <w:pPr>
        <w:pStyle w:val="ListParagraph"/>
        <w:numPr>
          <w:ilvl w:val="0"/>
          <w:numId w:val="2"/>
        </w:numPr>
        <w:spacing w:after="80"/>
      </w:pPr>
      <w:r>
        <w:rPr>
          <w:rFonts w:ascii="Arial" w:cs="Arial" w:eastAsia="Arial" w:hAnsi="Arial"/>
          <w:color w:val="2C2C2C"/>
          <w:sz w:val="22"/>
          <w:szCs w:val="22"/>
        </w:rPr>
        <w:t xml:space="preserve">Test Module 1 : cellule « 6.1 Démonstration d'inférence » — 6 messages FR/EN prédéfinis</w:t>
      </w:r>
    </w:p>
    <w:p>
      <w:pPr>
        <w:pStyle w:val="ListParagraph"/>
        <w:numPr>
          <w:ilvl w:val="0"/>
          <w:numId w:val="2"/>
        </w:numPr>
        <w:spacing w:after="80"/>
      </w:pPr>
      <w:r>
        <w:rPr>
          <w:rFonts w:ascii="Arial" w:cs="Arial" w:eastAsia="Arial" w:hAnsi="Arial"/>
          <w:color w:val="2C2C2C"/>
          <w:sz w:val="22"/>
          <w:szCs w:val="22"/>
        </w:rPr>
        <w:t xml:space="preserve">Test Module 2 : cellule « 7.1 Démonstration d'inférence » — 8 tickets avec urgences variées</w:t>
      </w:r>
    </w:p>
    <w:p>
      <w:pPr>
        <w:pStyle w:val="ListParagraph"/>
        <w:numPr>
          <w:ilvl w:val="0"/>
          <w:numId w:val="2"/>
        </w:numPr>
        <w:spacing w:after="80"/>
      </w:pPr>
      <w:r>
        <w:rPr>
          <w:rFonts w:ascii="Arial" w:cs="Arial" w:eastAsia="Arial" w:hAnsi="Arial"/>
          <w:color w:val="2C2C2C"/>
          <w:sz w:val="22"/>
          <w:szCs w:val="22"/>
        </w:rPr>
        <w:t xml:space="preserve">Test Module 3 : cellule « 8.2 Démonstration automatique » — 5 tours de conversation</w:t>
      </w:r>
    </w:p>
    <w:p>
      <w:pPr>
        <w:spacing w:after="60"/>
      </w:pPr>
    </w:p>
    <w:p>
      <w:pPr>
        <w:pStyle w:val="Heading1"/>
        <w:pBdr>
          <w:bottom w:val="single" w:color="2E6DB4" w:sz="6" w:space="6"/>
        </w:pBdr>
        <w:spacing w:after="180" w:before="360"/>
      </w:pPr>
      <w:r>
        <w:rPr>
          <w:rFonts w:ascii="Arial" w:cs="Arial" w:eastAsia="Arial" w:hAnsi="Arial"/>
          <w:b/>
          <w:bCs/>
          <w:color w:val="1B3A6B"/>
          <w:sz w:val="32"/>
          <w:szCs w:val="32"/>
        </w:rPr>
        <w:t xml:space="preserve">8. Procédures d'incidents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Incident</w:t>
            </w:r>
          </w:p>
        </w:tc>
        <w:tc>
          <w:tcPr>
            <w:tcW w:type="dxa" w:w="20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Gravité</w:t>
            </w:r>
          </w:p>
        </w:tc>
        <w:tc>
          <w:tcPr>
            <w:tcW w:type="dxa" w:w="4500"/>
            <w:tcBorders>
              <w:top w:val="single" w:color="C0C8D8" w:sz="1"/>
              <w:left w:val="single" w:color="C0C8D8" w:sz="1"/>
              <w:bottom w:val="single" w:color="C0C8D8" w:sz="1"/>
              <w:right w:val="single" w:color="C0C8D8"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Procédure</w:t>
            </w:r>
          </w:p>
        </w:tc>
      </w:tr>
      <w:tr>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 Groq indisponible</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Haute</w:t>
            </w:r>
          </w:p>
        </w:tc>
        <w:tc>
          <w:tcPr>
            <w:tcW w:type="dxa" w:w="4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Le mécanisme de retry (3 tentatives, backoff 2s→4s→8s) est automatique. Si échec persistant → vérifier statut Groq sur status.groq.com</w:t>
            </w:r>
          </w:p>
        </w:tc>
      </w:tr>
      <w:tr>
        <w:tc>
          <w:tcPr>
            <w:tcW w:type="dxa" w:w="2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Modèle M1 ou M2 introuvable</w:t>
            </w:r>
          </w:p>
        </w:tc>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Haute</w:t>
            </w:r>
          </w:p>
        </w:tc>
        <w:tc>
          <w:tcPr>
            <w:tcW w:type="dxa" w:w="4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Vérifier le chemin Drive → remonter le Drive → relancer la cellule de chargement</w:t>
            </w:r>
          </w:p>
        </w:tc>
      </w:tr>
      <w:tr>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Réponse en mauvaise langue</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Moyenne</w:t>
            </w:r>
          </w:p>
        </w:tc>
        <w:tc>
          <w:tcPr>
            <w:tcW w:type="dxa" w:w="4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Taper « reset » dans le mode interactif pour réinitialiser la session</w:t>
            </w:r>
          </w:p>
        </w:tc>
      </w:tr>
      <w:tr>
        <w:tc>
          <w:tcPr>
            <w:tcW w:type="dxa" w:w="2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F1 M1 &lt; 0.90 en production</w:t>
            </w:r>
          </w:p>
        </w:tc>
        <w:tc>
          <w:tcPr>
            <w:tcW w:type="dxa" w:w="20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Haute</w:t>
            </w:r>
          </w:p>
        </w:tc>
        <w:tc>
          <w:tcPr>
            <w:tcW w:type="dxa" w:w="4500"/>
            <w:tcBorders>
              <w:top w:val="single" w:color="C0C8D8" w:sz="1"/>
              <w:left w:val="single" w:color="C0C8D8" w:sz="1"/>
              <w:bottom w:val="single" w:color="C0C8D8" w:sz="1"/>
              <w:right w:val="single" w:color="C0C8D8" w:sz="1"/>
            </w:tcBorders>
            <w:shd w:fill="F5F7FA"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Déclencher ré-entraînement selon la procédure section 4.2</w:t>
            </w:r>
          </w:p>
        </w:tc>
      </w:tr>
      <w:tr>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Session Colab expirée</w:t>
            </w:r>
          </w:p>
        </w:tc>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Basse</w:t>
            </w:r>
          </w:p>
        </w:tc>
        <w:tc>
          <w:tcPr>
            <w:tcW w:type="dxa" w:w="4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Reconnecter + remonter Drive + ré-exécuter toutes les cellules</w:t>
            </w:r>
          </w:p>
        </w:tc>
      </w:tr>
    </w:tbl>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4"/>
      </w:pBdr>
      <w:spacing w:after="80"/>
    </w:pPr>
    <w:r>
      <w:rPr>
        <w:rFonts w:ascii="Arial" w:cs="Arial" w:eastAsia="Arial" w:hAnsi="Arial"/>
        <w:color w:val="2E6DB4"/>
        <w:sz w:val="18"/>
        <w:szCs w:val="18"/>
      </w:rPr>
      <w:t xml:space="preserve">Plan de Monitoring &amp; Maintenance — Capstone IA Groupe 8 — Boulkaraa &amp; Aksil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2026-04-21T04:21:13.423Z</dcterms:created>
  <dcterms:modified xsi:type="dcterms:W3CDTF">2026-04-21T04:21:13.424Z</dcterms:modified>
</cp:coreProperties>
</file>

<file path=docProps/custom.xml><?xml version="1.0" encoding="utf-8"?>
<Properties xmlns="http://schemas.openxmlformats.org/officeDocument/2006/custom-properties" xmlns:vt="http://schemas.openxmlformats.org/officeDocument/2006/docPropsVTypes"/>
</file>