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40"/>
        <w:jc w:val="center"/>
      </w:pPr>
      <w:r>
        <w:rPr>
          <w:rFonts w:ascii="Arial" w:cs="Arial" w:eastAsia="Arial" w:hAnsi="Arial"/>
          <w:b/>
          <w:bCs/>
          <w:color w:val="2E6DB4"/>
          <w:sz w:val="20"/>
          <w:szCs w:val="20"/>
        </w:rPr>
        <w:t xml:space="preserve">COLLÈGE LA CITÉ</w:t>
      </w:r>
    </w:p>
    <w:p>
      <w:pPr>
        <w:spacing w:after="40"/>
        <w:jc w:val="center"/>
      </w:pPr>
      <w:r>
        <w:rPr>
          <w:rFonts w:ascii="Arial" w:cs="Arial" w:eastAsia="Arial" w:hAnsi="Arial"/>
          <w:color w:val="555555"/>
          <w:sz w:val="20"/>
          <w:szCs w:val="20"/>
        </w:rPr>
        <w:t xml:space="preserve">Programme : Intelligence Artificielle en Informatique</w:t>
      </w:r>
    </w:p>
    <w:p>
      <w:pPr>
        <w:spacing w:after="40"/>
        <w:jc w:val="center"/>
      </w:pPr>
      <w:r>
        <w:rPr>
          <w:rFonts w:ascii="Arial" w:cs="Arial" w:eastAsia="Arial" w:hAnsi="Arial"/>
          <w:color w:val="555555"/>
          <w:sz w:val="20"/>
          <w:szCs w:val="20"/>
        </w:rPr>
        <w:t xml:space="preserve">Cours : 031119 IFM — Projet Capstone IA</w:t>
      </w:r>
    </w:p>
    <w:p>
      <w:pPr>
        <w:spacing w:after="60"/>
      </w:pPr>
    </w:p>
    <w:p>
      <w:pPr>
        <w:spacing w:after="60"/>
      </w:pPr>
    </w:p>
    <w:p>
      <w:pPr>
        <w:pBdr>
          <w:top w:val="single" w:color="1B3A6B" w:sz="6"/>
          <w:bottom w:val="single" w:color="1B3A6B" w:sz="6"/>
        </w:pBdr>
        <w:spacing w:after="120" w:before="120"/>
        <w:jc w:val="center"/>
      </w:pPr>
      <w:r>
        <w:rPr>
          <w:rFonts w:ascii="Arial" w:cs="Arial" w:eastAsia="Arial" w:hAnsi="Arial"/>
          <w:b/>
          <w:bCs/>
          <w:color w:val="1B3A6B"/>
          <w:sz w:val="52"/>
          <w:szCs w:val="52"/>
        </w:rPr>
        <w:t xml:space="preserve">RAPPORT FINAL</w:t>
      </w:r>
    </w:p>
    <w:p>
      <w:pPr>
        <w:spacing w:after="60"/>
      </w:pPr>
    </w:p>
    <w:p>
      <w:pPr>
        <w:spacing w:after="60"/>
        <w:jc w:val="center"/>
      </w:pPr>
      <w:r>
        <w:rPr>
          <w:rFonts w:ascii="Arial" w:cs="Arial" w:eastAsia="Arial" w:hAnsi="Arial"/>
          <w:b/>
          <w:bCs/>
          <w:color w:val="2E6DB4"/>
          <w:sz w:val="32"/>
          <w:szCs w:val="32"/>
        </w:rPr>
        <w:t xml:space="preserve">Pipeline NLP automatisé pour le traitement des tickets</w:t>
      </w:r>
    </w:p>
    <w:p>
      <w:pPr>
        <w:spacing w:after="60"/>
        <w:jc w:val="center"/>
      </w:pPr>
      <w:r>
        <w:rPr>
          <w:rFonts w:ascii="Arial" w:cs="Arial" w:eastAsia="Arial" w:hAnsi="Arial"/>
          <w:b/>
          <w:bCs/>
          <w:color w:val="2E6DB4"/>
          <w:sz w:val="32"/>
          <w:szCs w:val="32"/>
        </w:rPr>
        <w:t xml:space="preserve">de support client — Classification et génération de réponses</w:t>
      </w:r>
    </w:p>
    <w:p>
      <w:pPr>
        <w:spacing w:after="60"/>
      </w:pPr>
    </w:p>
    <w:p>
      <w:pPr>
        <w:spacing w:after="60"/>
      </w:pP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Auteurs</w:t>
            </w:r>
          </w:p>
        </w:tc>
        <w:tc>
          <w:tcPr>
            <w:tcW w:type="dxa" w:w="6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Mohamed Ramy Boulkaraa | Aksil Abdelkhalek</w:t>
            </w:r>
          </w:p>
        </w:tc>
      </w:tr>
      <w:tr>
        <w:tc>
          <w:tcPr>
            <w:tcW w:type="dxa" w:w="2800"/>
            <w:tcBorders>
              <w:top w:val="single" w:color="C0C8D8" w:sz="1"/>
              <w:left w:val="single" w:color="C0C8D8" w:sz="1"/>
              <w:bottom w:val="single" w:color="C0C8D8" w:sz="1"/>
              <w:right w:val="single" w:color="C0C8D8" w:sz="1"/>
            </w:tcBorders>
            <w:shd w:fill="D6E4F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Programme</w:t>
            </w:r>
          </w:p>
        </w:tc>
        <w:tc>
          <w:tcPr>
            <w:tcW w:type="dxa" w:w="62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DEC Intelligence Artificielle en Informatique</w:t>
            </w:r>
          </w:p>
        </w:tc>
      </w:tr>
      <w:tr>
        <w:tc>
          <w:tcPr>
            <w:tcW w:type="dxa" w:w="28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Cours</w:t>
            </w:r>
          </w:p>
        </w:tc>
        <w:tc>
          <w:tcPr>
            <w:tcW w:type="dxa" w:w="6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031119 IFM — Projet Capstone IA</w:t>
            </w:r>
          </w:p>
        </w:tc>
      </w:tr>
      <w:tr>
        <w:tc>
          <w:tcPr>
            <w:tcW w:type="dxa" w:w="2800"/>
            <w:tcBorders>
              <w:top w:val="single" w:color="C0C8D8" w:sz="1"/>
              <w:left w:val="single" w:color="C0C8D8" w:sz="1"/>
              <w:bottom w:val="single" w:color="C0C8D8" w:sz="1"/>
              <w:right w:val="single" w:color="C0C8D8" w:sz="1"/>
            </w:tcBorders>
            <w:shd w:fill="D6E4F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Professeure</w:t>
            </w:r>
          </w:p>
        </w:tc>
        <w:tc>
          <w:tcPr>
            <w:tcW w:type="dxa" w:w="62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Stéphanie N. Kahindo</w:t>
            </w:r>
          </w:p>
        </w:tc>
      </w:tr>
      <w:tr>
        <w:tc>
          <w:tcPr>
            <w:tcW w:type="dxa" w:w="28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Date de remise</w:t>
            </w:r>
          </w:p>
        </w:tc>
        <w:tc>
          <w:tcPr>
            <w:tcW w:type="dxa" w:w="6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23 avril 2026</w:t>
            </w:r>
          </w:p>
        </w:tc>
      </w:tr>
      <w:tr>
        <w:tc>
          <w:tcPr>
            <w:tcW w:type="dxa" w:w="2800"/>
            <w:tcBorders>
              <w:top w:val="single" w:color="C0C8D8" w:sz="1"/>
              <w:left w:val="single" w:color="C0C8D8" w:sz="1"/>
              <w:bottom w:val="single" w:color="C0C8D8" w:sz="1"/>
              <w:right w:val="single" w:color="C0C8D8" w:sz="1"/>
            </w:tcBorders>
            <w:shd w:fill="D6E4F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Session</w:t>
            </w:r>
          </w:p>
        </w:tc>
        <w:tc>
          <w:tcPr>
            <w:tcW w:type="dxa" w:w="62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Hiver 2026</w:t>
            </w:r>
          </w:p>
        </w:tc>
      </w:tr>
    </w:tbl>
    <w:p>
      <w:pPr>
        <w:spacing w:after="60"/>
      </w:pPr>
    </w:p>
    <w:p>
      <w:pPr>
        <w:spacing w:after="60"/>
      </w:pPr>
    </w:p>
    <w:p>
      <w:pPr>
        <w:spacing w:after="60"/>
      </w:pPr>
    </w:p>
    <w:p>
      <w:pPr>
        <w:jc w:val="center"/>
      </w:pPr>
      <w:r>
        <w:rPr>
          <w:rFonts w:ascii="Arial" w:cs="Arial" w:eastAsia="Arial" w:hAnsi="Arial"/>
          <w:color w:val="888888"/>
          <w:sz w:val="20"/>
          <w:szCs w:val="20"/>
        </w:rPr>
        <w:t xml:space="preserve">Groupe 8 — Capstone IA 2026</w:t>
      </w:r>
    </w:p>
    <w:p>
      <w:r>
        <w:br w:type="page"/>
      </w:r>
    </w:p>
    <w:p>
      <w:pPr>
        <w:pStyle w:val="Heading1"/>
        <w:pBdr>
          <w:bottom w:val="single" w:color="2E6DB4" w:sz="6" w:space="6"/>
        </w:pBdr>
        <w:spacing w:after="180" w:before="360"/>
      </w:pPr>
      <w:r>
        <w:rPr>
          <w:rFonts w:ascii="Arial" w:cs="Arial" w:eastAsia="Arial" w:hAnsi="Arial"/>
          <w:b/>
          <w:bCs/>
          <w:color w:val="1B3A6B"/>
          <w:sz w:val="32"/>
          <w:szCs w:val="32"/>
        </w:rPr>
        <w:t xml:space="preserve">1. Résumé exécutif</w:t>
      </w:r>
    </w:p>
    <w:p>
      <w:pPr>
        <w:spacing w:after="120" w:before="60"/>
      </w:pPr>
      <w:r>
        <w:rPr>
          <w:rFonts w:ascii="Arial" w:cs="Arial" w:eastAsia="Arial" w:hAnsi="Arial"/>
          <w:b w:val="false"/>
          <w:bCs w:val="false"/>
          <w:i w:val="false"/>
          <w:iCs w:val="false"/>
          <w:color w:val="2C2C2C"/>
          <w:sz w:val="22"/>
          <w:szCs w:val="22"/>
        </w:rPr>
        <w:t xml:space="preserve">Ce projet Capstone développe un pipeline NLP automatisé en trois modules complémentaires pour le traitement intelligent des tickets de support client. Le problème métier adressé est la gestion manuelle des tickets entrants, une tâche chronophage qui ralentit les équipes de support et dégrade l'expérience client.</w:t>
      </w:r>
    </w:p>
    <w:p>
      <w:pPr>
        <w:spacing w:after="60"/>
      </w:pPr>
    </w:p>
    <w:p>
      <w:pPr>
        <w:spacing w:after="120" w:before="60"/>
      </w:pPr>
      <w:r>
        <w:rPr>
          <w:rFonts w:ascii="Arial" w:cs="Arial" w:eastAsia="Arial" w:hAnsi="Arial"/>
          <w:b w:val="false"/>
          <w:bCs w:val="false"/>
          <w:i w:val="false"/>
          <w:iCs w:val="false"/>
          <w:color w:val="2C2C2C"/>
          <w:sz w:val="22"/>
          <w:szCs w:val="22"/>
        </w:rPr>
        <w:t xml:space="preserve">Le pipeline proposé automatise trois étapes critiques :</w:t>
      </w:r>
    </w:p>
    <w:p>
      <w:pPr>
        <w:pStyle w:val="ListParagraph"/>
        <w:numPr>
          <w:ilvl w:val="0"/>
          <w:numId w:val="2"/>
        </w:numPr>
        <w:spacing w:after="80"/>
      </w:pPr>
      <w:r>
        <w:rPr>
          <w:rFonts w:ascii="Arial" w:cs="Arial" w:eastAsia="Arial" w:hAnsi="Arial"/>
          <w:color w:val="2C2C2C"/>
          <w:sz w:val="22"/>
          <w:szCs w:val="22"/>
        </w:rPr>
        <w:t xml:space="preserve">Module 1 — Classification du type de message (11 catégories : ACCOUNT, ORDER, REFUND, etc.) avec XLM-RoBERTa fine-tuné, atteignant 100% d'accuracy sur 26 872 messages bilingues FR/EN.</w:t>
      </w:r>
    </w:p>
    <w:p>
      <w:pPr>
        <w:pStyle w:val="ListParagraph"/>
        <w:numPr>
          <w:ilvl w:val="0"/>
          <w:numId w:val="2"/>
        </w:numPr>
        <w:spacing w:after="80"/>
      </w:pPr>
      <w:r>
        <w:rPr>
          <w:rFonts w:ascii="Arial" w:cs="Arial" w:eastAsia="Arial" w:hAnsi="Arial"/>
          <w:color w:val="2C2C2C"/>
          <w:sz w:val="22"/>
          <w:szCs w:val="22"/>
        </w:rPr>
        <w:t xml:space="preserve">Module 2 — Classification du niveau d'urgence (4 niveaux : Incident, Request, Problem, Change) avec WeightedTrainer et recall sur la classe Change de 83,06%, répondant à l'objectif métier de ne manquer aucun cas critique.</w:t>
      </w:r>
    </w:p>
    <w:p>
      <w:pPr>
        <w:pStyle w:val="ListParagraph"/>
        <w:numPr>
          <w:ilvl w:val="0"/>
          <w:numId w:val="2"/>
        </w:numPr>
        <w:spacing w:after="80"/>
      </w:pPr>
      <w:r>
        <w:rPr>
          <w:rFonts w:ascii="Arial" w:cs="Arial" w:eastAsia="Arial" w:hAnsi="Arial"/>
          <w:color w:val="2C2C2C"/>
          <w:sz w:val="22"/>
          <w:szCs w:val="22"/>
        </w:rPr>
        <w:t xml:space="preserve">Module 3 — Génération de suggestions de réponses contextuelles via RAG hybride (BM25 + FAISS) et LLM Groq/Llama, avec validation humaine (Human-in-the-Loop) avant envoi.</w:t>
      </w:r>
    </w:p>
    <w:p>
      <w:pPr>
        <w:spacing w:after="60"/>
      </w:pPr>
    </w:p>
    <w:p>
      <w:pPr>
        <w:spacing w:after="120" w:before="60"/>
      </w:pPr>
      <w:r>
        <w:rPr>
          <w:rFonts w:ascii="Arial" w:cs="Arial" w:eastAsia="Arial" w:hAnsi="Arial"/>
          <w:b/>
          <w:bCs/>
          <w:color w:val="2C2C2C"/>
          <w:sz w:val="22"/>
          <w:szCs w:val="22"/>
        </w:rPr>
        <w:t xml:space="preserve">Résultats obtenus : </w:t>
      </w:r>
      <w:r>
        <w:rPr>
          <w:rFonts w:ascii="Arial" w:cs="Arial" w:eastAsia="Arial" w:hAnsi="Arial"/>
          <w:color w:val="2C2C2C"/>
          <w:sz w:val="22"/>
          <w:szCs w:val="22"/>
        </w:rPr>
        <w:t xml:space="preserve">F1 macro = 1.000 (Module 1), Recall Critique = 0.8306 (Module 2), ROUGE-L = 0.1989 sur pipeline complet (Module 3). La solution est opérationnelle, bilingue FR/EN, et tracée via MLflow sur DagsHub.</w:t>
      </w:r>
    </w:p>
    <w:p>
      <w:r>
        <w:br w:type="page"/>
      </w:r>
    </w:p>
    <w:p>
      <w:pPr>
        <w:pStyle w:val="Heading1"/>
        <w:pBdr>
          <w:bottom w:val="single" w:color="2E6DB4" w:sz="6" w:space="6"/>
        </w:pBdr>
        <w:spacing w:after="180" w:before="360"/>
      </w:pPr>
      <w:r>
        <w:rPr>
          <w:rFonts w:ascii="Arial" w:cs="Arial" w:eastAsia="Arial" w:hAnsi="Arial"/>
          <w:b/>
          <w:bCs/>
          <w:color w:val="1B3A6B"/>
          <w:sz w:val="32"/>
          <w:szCs w:val="32"/>
        </w:rPr>
        <w:t xml:space="preserve">2. Introduction et contexte</w:t>
      </w:r>
    </w:p>
    <w:p>
      <w:pPr>
        <w:pStyle w:val="Heading2"/>
        <w:spacing w:after="120" w:before="280"/>
      </w:pPr>
      <w:r>
        <w:rPr>
          <w:rFonts w:ascii="Arial" w:cs="Arial" w:eastAsia="Arial" w:hAnsi="Arial"/>
          <w:b/>
          <w:bCs/>
          <w:color w:val="2E6DB4"/>
          <w:sz w:val="26"/>
          <w:szCs w:val="26"/>
        </w:rPr>
        <w:t xml:space="preserve">2.1 Problème métier</w:t>
      </w:r>
    </w:p>
    <w:p>
      <w:pPr>
        <w:spacing w:after="120" w:before="60"/>
      </w:pPr>
      <w:r>
        <w:rPr>
          <w:rFonts w:ascii="Arial" w:cs="Arial" w:eastAsia="Arial" w:hAnsi="Arial"/>
          <w:b w:val="false"/>
          <w:bCs w:val="false"/>
          <w:i w:val="false"/>
          <w:iCs w:val="false"/>
          <w:color w:val="2C2C2C"/>
          <w:sz w:val="22"/>
          <w:szCs w:val="22"/>
        </w:rPr>
        <w:t xml:space="preserve">Dans les centres de support client modernes, les agents reçoivent quotidiennement des centaines de tickets de natures très diverses — demandes de remboursement, signalements d'incidents critiques, questions de facturation, demandes de modification. Le traitement manuel de ces tickets présente trois problèmes majeurs :</w:t>
      </w:r>
    </w:p>
    <w:p>
      <w:pPr>
        <w:pStyle w:val="ListParagraph"/>
        <w:numPr>
          <w:ilvl w:val="0"/>
          <w:numId w:val="2"/>
        </w:numPr>
        <w:spacing w:after="80"/>
      </w:pPr>
      <w:r>
        <w:rPr>
          <w:rFonts w:ascii="Arial" w:cs="Arial" w:eastAsia="Arial" w:hAnsi="Arial"/>
          <w:color w:val="2C2C2C"/>
          <w:sz w:val="22"/>
          <w:szCs w:val="22"/>
        </w:rPr>
        <w:t xml:space="preserve">Perte de temps : chaque ticket doit être lu, catégorisé et priorisé manuellement avant d'être assigné au bon département.</w:t>
      </w:r>
    </w:p>
    <w:p>
      <w:pPr>
        <w:pStyle w:val="ListParagraph"/>
        <w:numPr>
          <w:ilvl w:val="0"/>
          <w:numId w:val="2"/>
        </w:numPr>
        <w:spacing w:after="80"/>
      </w:pPr>
      <w:r>
        <w:rPr>
          <w:rFonts w:ascii="Arial" w:cs="Arial" w:eastAsia="Arial" w:hAnsi="Arial"/>
          <w:color w:val="2C2C2C"/>
          <w:sz w:val="22"/>
          <w:szCs w:val="22"/>
        </w:rPr>
        <w:t xml:space="preserve">Risque de manquer des urgences : un incident critique mal étiqueté peut rester sans réponse pendant des heures, causant une perte de clients.</w:t>
      </w:r>
    </w:p>
    <w:p>
      <w:pPr>
        <w:pStyle w:val="ListParagraph"/>
        <w:numPr>
          <w:ilvl w:val="0"/>
          <w:numId w:val="2"/>
        </w:numPr>
        <w:spacing w:after="80"/>
      </w:pPr>
      <w:r>
        <w:rPr>
          <w:rFonts w:ascii="Arial" w:cs="Arial" w:eastAsia="Arial" w:hAnsi="Arial"/>
          <w:color w:val="2C2C2C"/>
          <w:sz w:val="22"/>
          <w:szCs w:val="22"/>
        </w:rPr>
        <w:t xml:space="preserve">Inconsistance des réponses : des agents différents répondent différemment au même type de problème, nuisant à la qualité du service.</w:t>
      </w:r>
    </w:p>
    <w:p>
      <w:pPr>
        <w:spacing w:after="60"/>
      </w:pPr>
    </w:p>
    <w:p>
      <w:pPr>
        <w:pStyle w:val="Heading2"/>
        <w:spacing w:after="120" w:before="280"/>
      </w:pPr>
      <w:r>
        <w:rPr>
          <w:rFonts w:ascii="Arial" w:cs="Arial" w:eastAsia="Arial" w:hAnsi="Arial"/>
          <w:b/>
          <w:bCs/>
          <w:color w:val="2E6DB4"/>
          <w:sz w:val="26"/>
          <w:szCs w:val="26"/>
        </w:rPr>
        <w:t xml:space="preserve">2.2 Solution proposée</w:t>
      </w:r>
    </w:p>
    <w:p>
      <w:pPr>
        <w:spacing w:after="120" w:before="60"/>
      </w:pPr>
      <w:r>
        <w:rPr>
          <w:rFonts w:ascii="Arial" w:cs="Arial" w:eastAsia="Arial" w:hAnsi="Arial"/>
          <w:b w:val="false"/>
          <w:bCs w:val="false"/>
          <w:i w:val="false"/>
          <w:iCs w:val="false"/>
          <w:color w:val="2C2C2C"/>
          <w:sz w:val="22"/>
          <w:szCs w:val="22"/>
        </w:rPr>
        <w:t xml:space="preserve">Ce projet propose un pipeline NLP automatisé en trois étapes séquentielles qui s'exécutent à la réception de chaque ticket :</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400"/>
      </w:tblGrid>
      <w:tr>
        <w:tc>
          <w:tcPr>
            <w:tcW w:type="dxa" w:w="14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Étape</w:t>
            </w:r>
          </w:p>
        </w:tc>
        <w:tc>
          <w:tcPr>
            <w:tcW w:type="dxa" w:w="22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Module</w:t>
            </w:r>
          </w:p>
        </w:tc>
        <w:tc>
          <w:tcPr>
            <w:tcW w:type="dxa" w:w="54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Rôle</w:t>
            </w:r>
          </w:p>
        </w:tc>
      </w:tr>
      <w:tr>
        <w:tc>
          <w:tcPr>
            <w:tcW w:type="dxa" w:w="14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w:t>
            </w:r>
          </w:p>
        </w:tc>
        <w:tc>
          <w:tcPr>
            <w:tcW w:type="dxa" w:w="2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Classification type</w:t>
            </w:r>
          </w:p>
        </w:tc>
        <w:tc>
          <w:tcPr>
            <w:tcW w:type="dxa" w:w="54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Identifier la catégorie du message (ORDER, REFUND, ACCOUNT…)</w:t>
            </w:r>
          </w:p>
        </w:tc>
      </w:tr>
      <w:tr>
        <w:tc>
          <w:tcPr>
            <w:tcW w:type="dxa" w:w="14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2</w:t>
            </w:r>
          </w:p>
        </w:tc>
        <w:tc>
          <w:tcPr>
            <w:tcW w:type="dxa" w:w="22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Classification urgence</w:t>
            </w:r>
          </w:p>
        </w:tc>
        <w:tc>
          <w:tcPr>
            <w:tcW w:type="dxa" w:w="54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Évaluer le niveau de priorité (Incident, Change, Problem, Request)</w:t>
            </w:r>
          </w:p>
        </w:tc>
      </w:tr>
      <w:tr>
        <w:tc>
          <w:tcPr>
            <w:tcW w:type="dxa" w:w="14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3</w:t>
            </w:r>
          </w:p>
        </w:tc>
        <w:tc>
          <w:tcPr>
            <w:tcW w:type="dxa" w:w="2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Génération réponse</w:t>
            </w:r>
          </w:p>
        </w:tc>
        <w:tc>
          <w:tcPr>
            <w:tcW w:type="dxa" w:w="54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Suggérer une réponse contextuelle via RAG + LLM pour l'agent</w:t>
            </w:r>
          </w:p>
        </w:tc>
      </w:tr>
    </w:tbl>
    <w:p>
      <w:pPr>
        <w:spacing w:after="60"/>
      </w:pPr>
    </w:p>
    <w:p>
      <w:pPr>
        <w:pStyle w:val="Heading2"/>
        <w:spacing w:after="120" w:before="280"/>
      </w:pPr>
      <w:r>
        <w:rPr>
          <w:rFonts w:ascii="Arial" w:cs="Arial" w:eastAsia="Arial" w:hAnsi="Arial"/>
          <w:b/>
          <w:bCs/>
          <w:color w:val="2E6DB4"/>
          <w:sz w:val="26"/>
          <w:szCs w:val="26"/>
        </w:rPr>
        <w:t xml:space="preserve">2.3 Objectifs et périmètre</w:t>
      </w:r>
    </w:p>
    <w:p>
      <w:pPr>
        <w:spacing w:after="120" w:before="60"/>
      </w:pPr>
      <w:r>
        <w:rPr>
          <w:rFonts w:ascii="Arial" w:cs="Arial" w:eastAsia="Arial" w:hAnsi="Arial"/>
          <w:b/>
          <w:bCs/>
          <w:color w:val="2C2C2C"/>
          <w:sz w:val="22"/>
          <w:szCs w:val="22"/>
        </w:rPr>
        <w:t xml:space="preserve">Objectif principal : </w:t>
      </w:r>
      <w:r>
        <w:rPr>
          <w:rFonts w:ascii="Arial" w:cs="Arial" w:eastAsia="Arial" w:hAnsi="Arial"/>
          <w:color w:val="2C2C2C"/>
          <w:sz w:val="22"/>
          <w:szCs w:val="22"/>
        </w:rPr>
        <w:t xml:space="preserve">Automatiser le triage et l'assistance à la rédaction pour les agents de support, sans se substituer à la décision humaine finale.</w:t>
      </w:r>
    </w:p>
    <w:p>
      <w:pPr>
        <w:spacing w:after="60"/>
      </w:pPr>
    </w:p>
    <w:p>
      <w:pPr>
        <w:spacing w:after="120" w:before="60"/>
      </w:pPr>
      <w:r>
        <w:rPr>
          <w:rFonts w:ascii="Arial" w:cs="Arial" w:eastAsia="Arial" w:hAnsi="Arial"/>
          <w:b w:val="false"/>
          <w:bCs w:val="false"/>
          <w:i w:val="false"/>
          <w:iCs w:val="false"/>
          <w:color w:val="2C2C2C"/>
          <w:sz w:val="22"/>
          <w:szCs w:val="22"/>
        </w:rPr>
        <w:t xml:space="preserve">Le projet est volontairement limité à ces trois fonctionnalités — aucune fonctionnalité bonus n'a été ajoutée, conformément au cadre académique du cours. La solution fonctionne en mode offline sur Google Colab avec les modèles stockés sur Google Drive.</w:t>
      </w:r>
    </w:p>
    <w:p>
      <w:r>
        <w:br w:type="page"/>
      </w:r>
    </w:p>
    <w:p>
      <w:pPr>
        <w:pStyle w:val="Heading1"/>
        <w:pBdr>
          <w:bottom w:val="single" w:color="2E6DB4" w:sz="6" w:space="6"/>
        </w:pBdr>
        <w:spacing w:after="180" w:before="360"/>
      </w:pPr>
      <w:r>
        <w:rPr>
          <w:rFonts w:ascii="Arial" w:cs="Arial" w:eastAsia="Arial" w:hAnsi="Arial"/>
          <w:b/>
          <w:bCs/>
          <w:color w:val="1B3A6B"/>
          <w:sz w:val="32"/>
          <w:szCs w:val="32"/>
        </w:rPr>
        <w:t xml:space="preserve">3. Données et prétraitement</w:t>
      </w:r>
    </w:p>
    <w:p>
      <w:pPr>
        <w:pStyle w:val="Heading2"/>
        <w:spacing w:after="120" w:before="280"/>
      </w:pPr>
      <w:r>
        <w:rPr>
          <w:rFonts w:ascii="Arial" w:cs="Arial" w:eastAsia="Arial" w:hAnsi="Arial"/>
          <w:b/>
          <w:bCs/>
          <w:color w:val="2E6DB4"/>
          <w:sz w:val="26"/>
          <w:szCs w:val="26"/>
        </w:rPr>
        <w:t xml:space="preserve">3.1 Sources de données</w:t>
      </w:r>
    </w:p>
    <w:p>
      <w:pPr>
        <w:spacing w:after="120" w:before="60"/>
      </w:pPr>
      <w:r>
        <w:rPr>
          <w:rFonts w:ascii="Arial" w:cs="Arial" w:eastAsia="Arial" w:hAnsi="Arial"/>
          <w:b w:val="false"/>
          <w:bCs w:val="false"/>
          <w:i w:val="false"/>
          <w:iCs w:val="false"/>
          <w:color w:val="2C2C2C"/>
          <w:sz w:val="22"/>
          <w:szCs w:val="22"/>
        </w:rPr>
        <w:t xml:space="preserve">Trois datasets distincts ont été sélectionnés, chacun adapté à son module respectif :</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3500"/>
      </w:tblGrid>
      <w:tr>
        <w:tc>
          <w:tcPr>
            <w:tcW w:type="dxa" w:w="20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Module</w:t>
            </w:r>
          </w:p>
        </w:tc>
        <w:tc>
          <w:tcPr>
            <w:tcW w:type="dxa" w:w="20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Dataset</w:t>
            </w:r>
          </w:p>
        </w:tc>
        <w:tc>
          <w:tcPr>
            <w:tcW w:type="dxa" w:w="15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Volume</w:t>
            </w:r>
          </w:p>
        </w:tc>
        <w:tc>
          <w:tcPr>
            <w:tcW w:type="dxa" w:w="35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Usage</w:t>
            </w:r>
          </w:p>
        </w:tc>
      </w:tr>
      <w:tr>
        <w:tc>
          <w:tcPr>
            <w:tcW w:type="dxa" w:w="2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Module 1</w:t>
            </w:r>
          </w:p>
        </w:tc>
        <w:tc>
          <w:tcPr>
            <w:tcW w:type="dxa" w:w="2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Bitext Customer Service</w:t>
            </w:r>
          </w:p>
        </w:tc>
        <w:tc>
          <w:tcPr>
            <w:tcW w:type="dxa" w:w="15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26 872 messages</w:t>
            </w:r>
          </w:p>
        </w:tc>
        <w:tc>
          <w:tcPr>
            <w:tcW w:type="dxa" w:w="35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Classification 11 types de messages</w:t>
            </w:r>
          </w:p>
        </w:tc>
      </w:tr>
      <w:tr>
        <w:tc>
          <w:tcPr>
            <w:tcW w:type="dxa" w:w="20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Module 2</w:t>
            </w:r>
          </w:p>
        </w:tc>
        <w:tc>
          <w:tcPr>
            <w:tcW w:type="dxa" w:w="20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Customer Support Ticket Dataset</w:t>
            </w:r>
          </w:p>
        </w:tc>
        <w:tc>
          <w:tcPr>
            <w:tcW w:type="dxa" w:w="15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24 749 tickets</w:t>
            </w:r>
          </w:p>
        </w:tc>
        <w:tc>
          <w:tcPr>
            <w:tcW w:type="dxa" w:w="35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Classification 4 niveaux d'urgence</w:t>
            </w:r>
          </w:p>
        </w:tc>
      </w:tr>
      <w:tr>
        <w:tc>
          <w:tcPr>
            <w:tcW w:type="dxa" w:w="2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Module 3</w:t>
            </w:r>
          </w:p>
        </w:tc>
        <w:tc>
          <w:tcPr>
            <w:tcW w:type="dxa" w:w="2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Twitter Customer Support</w:t>
            </w:r>
          </w:p>
        </w:tc>
        <w:tc>
          <w:tcPr>
            <w:tcW w:type="dxa" w:w="15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93 tweets (74 RAG / 19 test)</w:t>
            </w:r>
          </w:p>
        </w:tc>
        <w:tc>
          <w:tcPr>
            <w:tcW w:type="dxa" w:w="35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Base de connaissances RAG</w:t>
            </w:r>
          </w:p>
        </w:tc>
      </w:tr>
    </w:tbl>
    <w:p>
      <w:pPr>
        <w:spacing w:after="60"/>
      </w:pPr>
    </w:p>
    <w:p>
      <w:pPr>
        <w:pStyle w:val="Heading2"/>
        <w:spacing w:after="120" w:before="280"/>
      </w:pPr>
      <w:r>
        <w:rPr>
          <w:rFonts w:ascii="Arial" w:cs="Arial" w:eastAsia="Arial" w:hAnsi="Arial"/>
          <w:b/>
          <w:bCs/>
          <w:color w:val="2E6DB4"/>
          <w:sz w:val="26"/>
          <w:szCs w:val="26"/>
        </w:rPr>
        <w:t xml:space="preserve">3.2 Module 1 — Dataset Bitext</w:t>
      </w:r>
    </w:p>
    <w:p>
      <w:pPr>
        <w:spacing w:after="120" w:before="60"/>
      </w:pPr>
      <w:r>
        <w:rPr>
          <w:rFonts w:ascii="Arial" w:cs="Arial" w:eastAsia="Arial" w:hAnsi="Arial"/>
          <w:b/>
          <w:bCs/>
          <w:color w:val="2C2C2C"/>
          <w:sz w:val="22"/>
          <w:szCs w:val="22"/>
        </w:rPr>
        <w:t xml:space="preserve">Structure : </w:t>
      </w:r>
      <w:r>
        <w:rPr>
          <w:rFonts w:ascii="Arial" w:cs="Arial" w:eastAsia="Arial" w:hAnsi="Arial"/>
          <w:color w:val="2C2C2C"/>
          <w:sz w:val="22"/>
          <w:szCs w:val="22"/>
        </w:rPr>
        <w:t xml:space="preserve">26 872 messages × 5 colonnes (flags, instruction, category, intent, response). Zéro valeur manquante.</w:t>
      </w:r>
    </w:p>
    <w:p>
      <w:pPr>
        <w:spacing w:after="120" w:before="60"/>
      </w:pPr>
      <w:r>
        <w:rPr>
          <w:rFonts w:ascii="Arial" w:cs="Arial" w:eastAsia="Arial" w:hAnsi="Arial"/>
          <w:b w:val="false"/>
          <w:bCs w:val="false"/>
          <w:i w:val="false"/>
          <w:iCs w:val="false"/>
          <w:color w:val="2C2C2C"/>
          <w:sz w:val="22"/>
          <w:szCs w:val="22"/>
        </w:rPr>
        <w:t xml:space="preserve">Le dataset est bilingue (99,5% EN / 0,5% FR), équilibré sur 11 catégories avec un léger déséquilibre — ACCOUNT représente 22,3% contre CANCEL 3,5%.</w:t>
      </w:r>
    </w:p>
    <w:p>
      <w:pPr>
        <w:spacing w:after="60"/>
      </w:pPr>
    </w:p>
    <w:p>
      <w:pPr>
        <w:spacing w:after="120" w:before="60"/>
      </w:pPr>
      <w:r>
        <w:rPr>
          <w:rFonts w:ascii="Arial" w:cs="Arial" w:eastAsia="Arial" w:hAnsi="Arial"/>
          <w:b w:val="false"/>
          <w:bCs w:val="false"/>
          <w:i w:val="false"/>
          <w:iCs w:val="false"/>
          <w:color w:val="2C2C2C"/>
          <w:sz w:val="22"/>
          <w:szCs w:val="22"/>
        </w:rPr>
        <w:t xml:space="preserve">Distribution des 11 catégories observées lors de l'EDA :</w:t>
      </w:r>
    </w:p>
    <w:p>
      <w:pPr>
        <w:pStyle w:val="ListParagraph"/>
        <w:numPr>
          <w:ilvl w:val="0"/>
          <w:numId w:val="2"/>
        </w:numPr>
        <w:spacing w:after="80"/>
      </w:pPr>
      <w:r>
        <w:rPr>
          <w:rFonts w:ascii="Arial" w:cs="Arial" w:eastAsia="Arial" w:hAnsi="Arial"/>
          <w:color w:val="2C2C2C"/>
          <w:sz w:val="22"/>
          <w:szCs w:val="22"/>
        </w:rPr>
        <w:t xml:space="preserve">ACCOUNT : 5 986 messages (22,3%) — catégorie majoritaire</w:t>
      </w:r>
    </w:p>
    <w:p>
      <w:pPr>
        <w:pStyle w:val="ListParagraph"/>
        <w:numPr>
          <w:ilvl w:val="0"/>
          <w:numId w:val="2"/>
        </w:numPr>
        <w:spacing w:after="80"/>
      </w:pPr>
      <w:r>
        <w:rPr>
          <w:rFonts w:ascii="Arial" w:cs="Arial" w:eastAsia="Arial" w:hAnsi="Arial"/>
          <w:color w:val="2C2C2C"/>
          <w:sz w:val="22"/>
          <w:szCs w:val="22"/>
        </w:rPr>
        <w:t xml:space="preserve">ORDER : 3 988 (14,8%), REFUND : 2 992 (11,1%)</w:t>
      </w:r>
    </w:p>
    <w:p>
      <w:pPr>
        <w:pStyle w:val="ListParagraph"/>
        <w:numPr>
          <w:ilvl w:val="0"/>
          <w:numId w:val="2"/>
        </w:numPr>
        <w:spacing w:after="80"/>
      </w:pPr>
      <w:r>
        <w:rPr>
          <w:rFonts w:ascii="Arial" w:cs="Arial" w:eastAsia="Arial" w:hAnsi="Arial"/>
          <w:color w:val="2C2C2C"/>
          <w:sz w:val="22"/>
          <w:szCs w:val="22"/>
        </w:rPr>
        <w:t xml:space="preserve">CONTACT, INVOICE, PAYMENT, FEEDBACK, DELIVERY : ~7,4% chacune</w:t>
      </w:r>
    </w:p>
    <w:p>
      <w:pPr>
        <w:pStyle w:val="ListParagraph"/>
        <w:numPr>
          <w:ilvl w:val="0"/>
          <w:numId w:val="2"/>
        </w:numPr>
        <w:spacing w:after="80"/>
      </w:pPr>
      <w:r>
        <w:rPr>
          <w:rFonts w:ascii="Arial" w:cs="Arial" w:eastAsia="Arial" w:hAnsi="Arial"/>
          <w:color w:val="2C2C2C"/>
          <w:sz w:val="22"/>
          <w:szCs w:val="22"/>
        </w:rPr>
        <w:t xml:space="preserve">SHIPPING : 7,3%, SUBSCRIPTION : 3,7%, CANCEL : 3,5%</w:t>
      </w:r>
    </w:p>
    <w:p>
      <w:pPr>
        <w:spacing w:after="60"/>
      </w:pPr>
    </w:p>
    <w:p>
      <w:pPr>
        <w:spacing w:after="120" w:before="60"/>
      </w:pPr>
      <w:r>
        <w:rPr>
          <w:rFonts w:ascii="Arial" w:cs="Arial" w:eastAsia="Arial" w:hAnsi="Arial"/>
          <w:b/>
          <w:bCs/>
          <w:color w:val="2C2C2C"/>
          <w:sz w:val="22"/>
          <w:szCs w:val="22"/>
        </w:rPr>
        <w:t xml:space="preserve">Longueur des messages : </w:t>
      </w:r>
      <w:r>
        <w:rPr>
          <w:rFonts w:ascii="Arial" w:cs="Arial" w:eastAsia="Arial" w:hAnsi="Arial"/>
          <w:color w:val="2C2C2C"/>
          <w:sz w:val="22"/>
          <w:szCs w:val="22"/>
        </w:rPr>
        <w:t xml:space="preserve">Minimum 1 mot, maximum 16 mots, médiane 9 mots, P95 = 13 mots. Ce P95 a guidé le choix de max_length=128 tokens — largement suffisant.</w:t>
      </w:r>
    </w:p>
    <w:p>
      <w:pPr>
        <w:spacing w:after="60"/>
      </w:pPr>
    </w:p>
    <w:p>
      <w:pPr>
        <w:pStyle w:val="Heading2"/>
        <w:spacing w:after="120" w:before="280"/>
      </w:pPr>
      <w:r>
        <w:rPr>
          <w:rFonts w:ascii="Arial" w:cs="Arial" w:eastAsia="Arial" w:hAnsi="Arial"/>
          <w:b/>
          <w:bCs/>
          <w:color w:val="2E6DB4"/>
          <w:sz w:val="26"/>
          <w:szCs w:val="26"/>
        </w:rPr>
        <w:t xml:space="preserve">3.3 Module 2 — Dataset classUrgence</w:t>
      </w:r>
    </w:p>
    <w:p>
      <w:pPr>
        <w:spacing w:after="120" w:before="60"/>
      </w:pPr>
      <w:r>
        <w:rPr>
          <w:rFonts w:ascii="Arial" w:cs="Arial" w:eastAsia="Arial" w:hAnsi="Arial"/>
          <w:b/>
          <w:bCs/>
          <w:color w:val="2C2C2C"/>
          <w:sz w:val="22"/>
          <w:szCs w:val="22"/>
        </w:rPr>
        <w:t xml:space="preserve">Structure : </w:t>
      </w:r>
      <w:r>
        <w:rPr>
          <w:rFonts w:ascii="Arial" w:cs="Arial" w:eastAsia="Arial" w:hAnsi="Arial"/>
          <w:color w:val="2C2C2C"/>
          <w:sz w:val="22"/>
          <w:szCs w:val="22"/>
        </w:rPr>
        <w:t xml:space="preserve">28 587 lignes initiales × 16 colonnes. Après nettoyage : 24 749 messages utilisables (3 838 lignes supprimées pour valeurs manquantes).</w:t>
      </w:r>
    </w:p>
    <w:p>
      <w:pPr>
        <w:spacing w:after="60"/>
      </w:pPr>
    </w:p>
    <w:p>
      <w:pPr>
        <w:spacing w:after="120" w:before="60"/>
      </w:pPr>
      <w:r>
        <w:rPr>
          <w:rFonts w:ascii="Arial" w:cs="Arial" w:eastAsia="Arial" w:hAnsi="Arial"/>
          <w:b w:val="false"/>
          <w:bCs w:val="false"/>
          <w:i w:val="false"/>
          <w:iCs w:val="false"/>
          <w:color w:val="2C2C2C"/>
          <w:sz w:val="22"/>
          <w:szCs w:val="22"/>
        </w:rPr>
        <w:t xml:space="preserve">Le dataset contient des tickets en anglais (EN : 57%) et en allemand (DE : 43%), avec quatre types de tickets :</w:t>
      </w:r>
    </w:p>
    <w:p>
      <w:pPr>
        <w:pStyle w:val="ListParagraph"/>
        <w:numPr>
          <w:ilvl w:val="0"/>
          <w:numId w:val="2"/>
        </w:numPr>
        <w:spacing w:after="80"/>
      </w:pPr>
      <w:r>
        <w:rPr>
          <w:rFonts w:ascii="Arial" w:cs="Arial" w:eastAsia="Arial" w:hAnsi="Arial"/>
          <w:color w:val="2C2C2C"/>
          <w:sz w:val="22"/>
          <w:szCs w:val="22"/>
        </w:rPr>
        <w:t xml:space="preserve">Incident : 9 951 (40,2%) — pannes, incidents critiques</w:t>
      </w:r>
    </w:p>
    <w:p>
      <w:pPr>
        <w:pStyle w:val="ListParagraph"/>
        <w:numPr>
          <w:ilvl w:val="0"/>
          <w:numId w:val="2"/>
        </w:numPr>
        <w:spacing w:after="80"/>
      </w:pPr>
      <w:r>
        <w:rPr>
          <w:rFonts w:ascii="Arial" w:cs="Arial" w:eastAsia="Arial" w:hAnsi="Arial"/>
          <w:color w:val="2C2C2C"/>
          <w:sz w:val="22"/>
          <w:szCs w:val="22"/>
        </w:rPr>
        <w:t xml:space="preserve">Request : 7 081 (28,6%) — demandes de service</w:t>
      </w:r>
    </w:p>
    <w:p>
      <w:pPr>
        <w:pStyle w:val="ListParagraph"/>
        <w:numPr>
          <w:ilvl w:val="0"/>
          <w:numId w:val="2"/>
        </w:numPr>
        <w:spacing w:after="80"/>
      </w:pPr>
      <w:r>
        <w:rPr>
          <w:rFonts w:ascii="Arial" w:cs="Arial" w:eastAsia="Arial" w:hAnsi="Arial"/>
          <w:color w:val="2C2C2C"/>
          <w:sz w:val="22"/>
          <w:szCs w:val="22"/>
        </w:rPr>
        <w:t xml:space="preserve">Problem : 5 233 (21,1%) — problèmes récurrents</w:t>
      </w:r>
    </w:p>
    <w:p>
      <w:pPr>
        <w:pStyle w:val="ListParagraph"/>
        <w:numPr>
          <w:ilvl w:val="0"/>
          <w:numId w:val="2"/>
        </w:numPr>
        <w:spacing w:after="80"/>
      </w:pPr>
      <w:r>
        <w:rPr>
          <w:rFonts w:ascii="Arial" w:cs="Arial" w:eastAsia="Arial" w:hAnsi="Arial"/>
          <w:color w:val="2C2C2C"/>
          <w:sz w:val="22"/>
          <w:szCs w:val="22"/>
        </w:rPr>
        <w:t xml:space="preserve">Change : 2 484 (10,0%) — modifications de configuration — classe minoritaire critique</w:t>
      </w:r>
    </w:p>
    <w:p>
      <w:pPr>
        <w:spacing w:after="60"/>
      </w:pPr>
    </w:p>
    <w:p>
      <w:pPr>
        <w:spacing w:after="120" w:before="60"/>
      </w:pPr>
      <w:r>
        <w:rPr>
          <w:rFonts w:ascii="Arial" w:cs="Arial" w:eastAsia="Arial" w:hAnsi="Arial"/>
          <w:b/>
          <w:bCs/>
          <w:color w:val="2C2C2C"/>
          <w:sz w:val="22"/>
          <w:szCs w:val="22"/>
        </w:rPr>
        <w:t xml:space="preserve">Déséquilibre identifié : </w:t>
      </w:r>
      <w:r>
        <w:rPr>
          <w:rFonts w:ascii="Arial" w:cs="Arial" w:eastAsia="Arial" w:hAnsi="Arial"/>
          <w:color w:val="2C2C2C"/>
          <w:sz w:val="22"/>
          <w:szCs w:val="22"/>
        </w:rPr>
        <w:t xml:space="preserve">La classe Change ne représente que 10% du dataset, ce qui justifie l'utilisation de class weights (Change = 4.0) dans le Module 2.</w:t>
      </w:r>
    </w:p>
    <w:p>
      <w:pPr>
        <w:spacing w:after="60"/>
      </w:pPr>
    </w:p>
    <w:p>
      <w:pPr>
        <w:pStyle w:val="Heading2"/>
        <w:spacing w:after="120" w:before="280"/>
      </w:pPr>
      <w:r>
        <w:rPr>
          <w:rFonts w:ascii="Arial" w:cs="Arial" w:eastAsia="Arial" w:hAnsi="Arial"/>
          <w:b/>
          <w:bCs/>
          <w:color w:val="2E6DB4"/>
          <w:sz w:val="26"/>
          <w:szCs w:val="26"/>
        </w:rPr>
        <w:t xml:space="preserve">3.4 Module 3 — Dataset Answers.csv</w:t>
      </w:r>
    </w:p>
    <w:p>
      <w:pPr>
        <w:spacing w:after="120" w:before="60"/>
      </w:pPr>
      <w:r>
        <w:rPr>
          <w:rFonts w:ascii="Arial" w:cs="Arial" w:eastAsia="Arial" w:hAnsi="Arial"/>
          <w:b/>
          <w:bCs/>
          <w:color w:val="2C2C2C"/>
          <w:sz w:val="22"/>
          <w:szCs w:val="22"/>
        </w:rPr>
        <w:t xml:space="preserve">Structure : </w:t>
      </w:r>
      <w:r>
        <w:rPr>
          <w:rFonts w:ascii="Arial" w:cs="Arial" w:eastAsia="Arial" w:hAnsi="Arial"/>
          <w:color w:val="2C2C2C"/>
          <w:sz w:val="22"/>
          <w:szCs w:val="22"/>
        </w:rPr>
        <w:t xml:space="preserve">93 tweets × 7 colonnes (format Twitter : tweet_id, author_id, inbound, text, response_tweet_id).</w:t>
      </w:r>
    </w:p>
    <w:p>
      <w:pPr>
        <w:spacing w:after="120" w:before="60"/>
      </w:pPr>
      <w:r>
        <w:rPr>
          <w:rFonts w:ascii="Arial" w:cs="Arial" w:eastAsia="Arial" w:hAnsi="Arial"/>
          <w:b w:val="false"/>
          <w:bCs w:val="false"/>
          <w:i w:val="false"/>
          <w:iCs w:val="false"/>
          <w:color w:val="2C2C2C"/>
          <w:sz w:val="22"/>
          <w:szCs w:val="22"/>
        </w:rPr>
        <w:t xml:space="preserve">Le dataset a été reconstruit en paires Question-Réponse via jointure sur tweet_id. La base de connaissances RAG contient 74 paires, le test set 19 questions.</w:t>
      </w:r>
    </w:p>
    <w:p>
      <w:pPr>
        <w:spacing w:after="60"/>
      </w:pPr>
    </w:p>
    <w:p>
      <w:pPr>
        <w:pStyle w:val="Heading2"/>
        <w:spacing w:after="120" w:before="280"/>
      </w:pPr>
      <w:r>
        <w:rPr>
          <w:rFonts w:ascii="Arial" w:cs="Arial" w:eastAsia="Arial" w:hAnsi="Arial"/>
          <w:b/>
          <w:bCs/>
          <w:color w:val="2E6DB4"/>
          <w:sz w:val="26"/>
          <w:szCs w:val="26"/>
        </w:rPr>
        <w:t xml:space="preserve">3.5 Prétraitement</w:t>
      </w:r>
    </w:p>
    <w:p>
      <w:pPr>
        <w:spacing w:after="120" w:before="60"/>
      </w:pPr>
      <w:r>
        <w:rPr>
          <w:rFonts w:ascii="Arial" w:cs="Arial" w:eastAsia="Arial" w:hAnsi="Arial"/>
          <w:b w:val="false"/>
          <w:bCs w:val="false"/>
          <w:i w:val="false"/>
          <w:iCs w:val="false"/>
          <w:color w:val="2C2C2C"/>
          <w:sz w:val="22"/>
          <w:szCs w:val="22"/>
        </w:rPr>
        <w:t xml:space="preserve">Le prétraitement a été volontairement minimal et justifié pour chaque module :</w:t>
      </w:r>
    </w:p>
    <w:p>
      <w:pPr>
        <w:pStyle w:val="ListParagraph"/>
        <w:numPr>
          <w:ilvl w:val="0"/>
          <w:numId w:val="2"/>
        </w:numPr>
        <w:spacing w:after="80"/>
      </w:pPr>
      <w:r>
        <w:rPr>
          <w:rFonts w:ascii="Arial" w:cs="Arial" w:eastAsia="Arial" w:hAnsi="Arial"/>
          <w:color w:val="2C2C2C"/>
          <w:sz w:val="22"/>
          <w:szCs w:val="22"/>
        </w:rPr>
        <w:t xml:space="preserve">Module 1 : suppression des doublons et valeurs manquantes (0 supprimé), normalisation des espaces. Aucun stemming ni lemmatisation — XLM-RoBERTa travaille au niveau des sous-mots.</w:t>
      </w:r>
    </w:p>
    <w:p>
      <w:pPr>
        <w:pStyle w:val="ListParagraph"/>
        <w:numPr>
          <w:ilvl w:val="0"/>
          <w:numId w:val="2"/>
        </w:numPr>
        <w:spacing w:after="80"/>
      </w:pPr>
      <w:r>
        <w:rPr>
          <w:rFonts w:ascii="Arial" w:cs="Arial" w:eastAsia="Arial" w:hAnsi="Arial"/>
          <w:color w:val="2C2C2C"/>
          <w:sz w:val="22"/>
          <w:szCs w:val="22"/>
        </w:rPr>
        <w:t xml:space="preserve">Module 2 : nettoyage des 3 838 lignes avec valeurs manquantes sur les colonnes texte/label, encodage des 4 classes, class weights calculés proportionnellement à la fréquence inverse.</w:t>
      </w:r>
    </w:p>
    <w:p>
      <w:pPr>
        <w:pStyle w:val="ListParagraph"/>
        <w:numPr>
          <w:ilvl w:val="0"/>
          <w:numId w:val="2"/>
        </w:numPr>
        <w:spacing w:after="80"/>
      </w:pPr>
      <w:r>
        <w:rPr>
          <w:rFonts w:ascii="Arial" w:cs="Arial" w:eastAsia="Arial" w:hAnsi="Arial"/>
          <w:color w:val="2C2C2C"/>
          <w:sz w:val="22"/>
          <w:szCs w:val="22"/>
        </w:rPr>
        <w:t xml:space="preserve">Module 3 : reconstruction des paires Q-R via jointure inbound/tweet_id, filtrage des textes de moins de 5 caractères.</w:t>
      </w:r>
    </w:p>
    <w:p>
      <w:pPr>
        <w:spacing w:after="60"/>
      </w:pPr>
    </w:p>
    <w:p>
      <w:pPr>
        <w:pStyle w:val="Heading2"/>
        <w:spacing w:after="120" w:before="280"/>
      </w:pPr>
      <w:r>
        <w:rPr>
          <w:rFonts w:ascii="Arial" w:cs="Arial" w:eastAsia="Arial" w:hAnsi="Arial"/>
          <w:b/>
          <w:bCs/>
          <w:color w:val="2E6DB4"/>
          <w:sz w:val="26"/>
          <w:szCs w:val="26"/>
        </w:rPr>
        <w:t xml:space="preserve">3.6 Splits train/validation/test</w:t>
      </w:r>
    </w:p>
    <w:p>
      <w:pPr>
        <w:spacing w:after="120" w:before="60"/>
      </w:pPr>
      <w:r>
        <w:rPr>
          <w:rFonts w:ascii="Arial" w:cs="Arial" w:eastAsia="Arial" w:hAnsi="Arial"/>
          <w:b w:val="false"/>
          <w:bCs w:val="false"/>
          <w:i w:val="false"/>
          <w:iCs w:val="false"/>
          <w:color w:val="2C2C2C"/>
          <w:sz w:val="22"/>
          <w:szCs w:val="22"/>
        </w:rPr>
        <w:t xml:space="preserve">Un split stratifié 80/10/10 avec seed=42 a été appliqué sur les Modules 1 et 2 pour garantir la reproductibilité et l'absence de fuite de données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000"/>
      </w:tblGrid>
      <w:tr>
        <w:tc>
          <w:tcPr>
            <w:tcW w:type="dxa" w:w="20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Module</w:t>
            </w:r>
          </w:p>
        </w:tc>
        <w:tc>
          <w:tcPr>
            <w:tcW w:type="dxa" w:w="20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Train</w:t>
            </w:r>
          </w:p>
        </w:tc>
        <w:tc>
          <w:tcPr>
            <w:tcW w:type="dxa" w:w="20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w:t>
            </w:r>
          </w:p>
        </w:tc>
        <w:tc>
          <w:tcPr>
            <w:tcW w:type="dxa" w:w="30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w:t>
            </w:r>
          </w:p>
        </w:tc>
      </w:tr>
      <w:tr>
        <w:tc>
          <w:tcPr>
            <w:tcW w:type="dxa" w:w="2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M1 (26 872)</w:t>
            </w:r>
          </w:p>
        </w:tc>
        <w:tc>
          <w:tcPr>
            <w:tcW w:type="dxa" w:w="2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21 497 (80%)</w:t>
            </w:r>
          </w:p>
        </w:tc>
        <w:tc>
          <w:tcPr>
            <w:tcW w:type="dxa" w:w="2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2 687 (10%)</w:t>
            </w:r>
          </w:p>
        </w:tc>
        <w:tc>
          <w:tcPr>
            <w:tcW w:type="dxa" w:w="3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2 688 (10%)</w:t>
            </w:r>
          </w:p>
        </w:tc>
      </w:tr>
      <w:tr>
        <w:tc>
          <w:tcPr>
            <w:tcW w:type="dxa" w:w="20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M2 (24 749)</w:t>
            </w:r>
          </w:p>
        </w:tc>
        <w:tc>
          <w:tcPr>
            <w:tcW w:type="dxa" w:w="20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19 799 (80%)</w:t>
            </w:r>
          </w:p>
        </w:tc>
        <w:tc>
          <w:tcPr>
            <w:tcW w:type="dxa" w:w="20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2 475 (10%)</w:t>
            </w:r>
          </w:p>
        </w:tc>
        <w:tc>
          <w:tcPr>
            <w:tcW w:type="dxa" w:w="30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2 475 (10%)</w:t>
            </w:r>
          </w:p>
        </w:tc>
      </w:tr>
      <w:tr>
        <w:tc>
          <w:tcPr>
            <w:tcW w:type="dxa" w:w="2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M3 (93)</w:t>
            </w:r>
          </w:p>
        </w:tc>
        <w:tc>
          <w:tcPr>
            <w:tcW w:type="dxa" w:w="2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74 (base RAG)</w:t>
            </w:r>
          </w:p>
        </w:tc>
        <w:tc>
          <w:tcPr>
            <w:tcW w:type="dxa" w:w="2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w:t>
            </w:r>
          </w:p>
        </w:tc>
        <w:tc>
          <w:tcPr>
            <w:tcW w:type="dxa" w:w="3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19 questions</w:t>
            </w:r>
          </w:p>
        </w:tc>
      </w:tr>
    </w:tbl>
    <w:p>
      <w:r>
        <w:br w:type="page"/>
      </w:r>
    </w:p>
    <w:p>
      <w:pPr>
        <w:pStyle w:val="Heading1"/>
        <w:pBdr>
          <w:bottom w:val="single" w:color="2E6DB4" w:sz="6" w:space="6"/>
        </w:pBdr>
        <w:spacing w:after="180" w:before="360"/>
      </w:pPr>
      <w:r>
        <w:rPr>
          <w:rFonts w:ascii="Arial" w:cs="Arial" w:eastAsia="Arial" w:hAnsi="Arial"/>
          <w:b/>
          <w:bCs/>
          <w:color w:val="1B3A6B"/>
          <w:sz w:val="32"/>
          <w:szCs w:val="32"/>
        </w:rPr>
        <w:t xml:space="preserve">4. Méthodologie et modélisation</w:t>
      </w:r>
    </w:p>
    <w:p>
      <w:pPr>
        <w:pStyle w:val="Heading2"/>
        <w:spacing w:after="120" w:before="280"/>
      </w:pPr>
      <w:r>
        <w:rPr>
          <w:rFonts w:ascii="Arial" w:cs="Arial" w:eastAsia="Arial" w:hAnsi="Arial"/>
          <w:b/>
          <w:bCs/>
          <w:color w:val="2E6DB4"/>
          <w:sz w:val="26"/>
          <w:szCs w:val="26"/>
        </w:rPr>
        <w:t xml:space="preserve">4.1 Module 1 — Classification du type de message</w:t>
      </w:r>
    </w:p>
    <w:p>
      <w:pPr>
        <w:pStyle w:val="Heading3"/>
        <w:spacing w:after="80" w:before="200"/>
      </w:pPr>
      <w:r>
        <w:rPr>
          <w:rFonts w:ascii="Arial" w:cs="Arial" w:eastAsia="Arial" w:hAnsi="Arial"/>
          <w:b/>
          <w:bCs/>
          <w:color w:val="1B3A6B"/>
          <w:sz w:val="24"/>
          <w:szCs w:val="24"/>
        </w:rPr>
        <w:t xml:space="preserve">4.1.1 Baseline — TF-IDF + Régression Logistique</w:t>
      </w:r>
    </w:p>
    <w:p>
      <w:pPr>
        <w:spacing w:after="120" w:before="60"/>
      </w:pPr>
      <w:r>
        <w:rPr>
          <w:rFonts w:ascii="Arial" w:cs="Arial" w:eastAsia="Arial" w:hAnsi="Arial"/>
          <w:b w:val="false"/>
          <w:bCs w:val="false"/>
          <w:i w:val="false"/>
          <w:iCs w:val="false"/>
          <w:color w:val="2C2C2C"/>
          <w:sz w:val="22"/>
          <w:szCs w:val="22"/>
        </w:rPr>
        <w:t xml:space="preserve">Une baseline classique a d'abord été établie pour fournir un point de comparaison objectif. Le pipeline Scikit-learn utilise :</w:t>
      </w:r>
    </w:p>
    <w:p>
      <w:pPr>
        <w:pStyle w:val="ListParagraph"/>
        <w:numPr>
          <w:ilvl w:val="0"/>
          <w:numId w:val="2"/>
        </w:numPr>
        <w:spacing w:after="80"/>
      </w:pPr>
      <w:r>
        <w:rPr>
          <w:rFonts w:ascii="Arial" w:cs="Arial" w:eastAsia="Arial" w:hAnsi="Arial"/>
          <w:color w:val="2C2C2C"/>
          <w:sz w:val="22"/>
          <w:szCs w:val="22"/>
        </w:rPr>
        <w:t xml:space="preserve">TF-IDF : max_features=30 000, ngram_range=(1,2), sublinear_tf=True</w:t>
      </w:r>
    </w:p>
    <w:p>
      <w:pPr>
        <w:pStyle w:val="ListParagraph"/>
        <w:numPr>
          <w:ilvl w:val="0"/>
          <w:numId w:val="2"/>
        </w:numPr>
        <w:spacing w:after="80"/>
      </w:pPr>
      <w:r>
        <w:rPr>
          <w:rFonts w:ascii="Arial" w:cs="Arial" w:eastAsia="Arial" w:hAnsi="Arial"/>
          <w:color w:val="2C2C2C"/>
          <w:sz w:val="22"/>
          <w:szCs w:val="22"/>
        </w:rPr>
        <w:t xml:space="preserve">Logistic Regression : max_iter=1000, C=5.0, class_weight='balanced', seed=42</w:t>
      </w:r>
    </w:p>
    <w:p>
      <w:pPr>
        <w:spacing w:after="120" w:before="60"/>
      </w:pPr>
      <w:r>
        <w:rPr>
          <w:rFonts w:ascii="Arial" w:cs="Arial" w:eastAsia="Arial" w:hAnsi="Arial"/>
          <w:b/>
          <w:bCs/>
          <w:color w:val="2C2C2C"/>
          <w:sz w:val="22"/>
          <w:szCs w:val="22"/>
        </w:rPr>
        <w:t xml:space="preserve">Résultats baseline : </w:t>
      </w:r>
      <w:r>
        <w:rPr>
          <w:rFonts w:ascii="Arial" w:cs="Arial" w:eastAsia="Arial" w:hAnsi="Arial"/>
          <w:color w:val="2C2C2C"/>
          <w:sz w:val="22"/>
          <w:szCs w:val="22"/>
        </w:rPr>
        <w:t xml:space="preserve">Accuracy = 99,85%, F1 macro = 0,9988. Ce résultat excellent s'explique par la nature très structurée du dataset Bitext, où chaque catégorie a des termes caractéristiques bien distincts.</w:t>
      </w:r>
    </w:p>
    <w:p>
      <w:pPr>
        <w:spacing w:after="60"/>
      </w:pPr>
    </w:p>
    <w:p>
      <w:pPr>
        <w:pStyle w:val="Heading3"/>
        <w:spacing w:after="80" w:before="200"/>
      </w:pPr>
      <w:r>
        <w:rPr>
          <w:rFonts w:ascii="Arial" w:cs="Arial" w:eastAsia="Arial" w:hAnsi="Arial"/>
          <w:b/>
          <w:bCs/>
          <w:color w:val="1B3A6B"/>
          <w:sz w:val="24"/>
          <w:szCs w:val="24"/>
        </w:rPr>
        <w:t xml:space="preserve">4.1.2 Modèle avancé — XLM-RoBERTa fine-tuné</w:t>
      </w:r>
    </w:p>
    <w:p>
      <w:pPr>
        <w:spacing w:after="120" w:before="60"/>
      </w:pPr>
      <w:r>
        <w:rPr>
          <w:rFonts w:ascii="Arial" w:cs="Arial" w:eastAsia="Arial" w:hAnsi="Arial"/>
          <w:b w:val="false"/>
          <w:bCs w:val="false"/>
          <w:i w:val="false"/>
          <w:iCs w:val="false"/>
          <w:color w:val="2C2C2C"/>
          <w:sz w:val="22"/>
          <w:szCs w:val="22"/>
        </w:rPr>
        <w:t xml:space="preserve">XLM-RoBERTa (xlm-roberta-base, ~279M paramètres) a été sélectionné pour ses capacités multilingues natives, permettant de gérer les messages FR et EN sans prétraitement spécifique.</w:t>
      </w:r>
    </w:p>
    <w:p>
      <w:pPr>
        <w:spacing w:after="120" w:before="60"/>
      </w:pPr>
      <w:r>
        <w:rPr>
          <w:rFonts w:ascii="Arial" w:cs="Arial" w:eastAsia="Arial" w:hAnsi="Arial"/>
          <w:b w:val="false"/>
          <w:bCs w:val="false"/>
          <w:i w:val="false"/>
          <w:iCs w:val="false"/>
          <w:color w:val="2C2C2C"/>
          <w:sz w:val="22"/>
          <w:szCs w:val="22"/>
        </w:rPr>
        <w:t xml:space="preserve">Configuration d'entraînement :</w:t>
      </w:r>
    </w:p>
    <w:p>
      <w:pPr>
        <w:pStyle w:val="ListParagraph"/>
        <w:numPr>
          <w:ilvl w:val="0"/>
          <w:numId w:val="2"/>
        </w:numPr>
        <w:spacing w:after="80"/>
      </w:pPr>
      <w:r>
        <w:rPr>
          <w:rFonts w:ascii="Arial" w:cs="Arial" w:eastAsia="Arial" w:hAnsi="Arial"/>
          <w:color w:val="2C2C2C"/>
          <w:sz w:val="22"/>
          <w:szCs w:val="22"/>
        </w:rPr>
        <w:t xml:space="preserve">max_length = 128 tokens (couvre le P95 des messages)</w:t>
      </w:r>
    </w:p>
    <w:p>
      <w:pPr>
        <w:pStyle w:val="ListParagraph"/>
        <w:numPr>
          <w:ilvl w:val="0"/>
          <w:numId w:val="2"/>
        </w:numPr>
        <w:spacing w:after="80"/>
      </w:pPr>
      <w:r>
        <w:rPr>
          <w:rFonts w:ascii="Arial" w:cs="Arial" w:eastAsia="Arial" w:hAnsi="Arial"/>
          <w:color w:val="2C2C2C"/>
          <w:sz w:val="22"/>
          <w:szCs w:val="22"/>
        </w:rPr>
        <w:t xml:space="preserve">learning_rate = 2e-5, batch_size = 16, epochs = 3 + EarlyStopping patience=2</w:t>
      </w:r>
    </w:p>
    <w:p>
      <w:pPr>
        <w:pStyle w:val="ListParagraph"/>
        <w:numPr>
          <w:ilvl w:val="0"/>
          <w:numId w:val="2"/>
        </w:numPr>
        <w:spacing w:after="80"/>
      </w:pPr>
      <w:r>
        <w:rPr>
          <w:rFonts w:ascii="Arial" w:cs="Arial" w:eastAsia="Arial" w:hAnsi="Arial"/>
          <w:color w:val="2C2C2C"/>
          <w:sz w:val="22"/>
          <w:szCs w:val="22"/>
        </w:rPr>
        <w:t xml:space="preserve">Métrique pilote : F1 macro, GPU Tesla T4 16 GB, fp16 activé</w:t>
      </w:r>
    </w:p>
    <w:p>
      <w:pPr>
        <w:pStyle w:val="ListParagraph"/>
        <w:numPr>
          <w:ilvl w:val="0"/>
          <w:numId w:val="2"/>
        </w:numPr>
        <w:spacing w:after="80"/>
      </w:pPr>
      <w:r>
        <w:rPr>
          <w:rFonts w:ascii="Arial" w:cs="Arial" w:eastAsia="Arial" w:hAnsi="Arial"/>
          <w:color w:val="2C2C2C"/>
          <w:sz w:val="22"/>
          <w:szCs w:val="22"/>
        </w:rPr>
        <w:t xml:space="preserve">Durée d'entraînement : 627 secondes (~10 minutes)</w:t>
      </w:r>
    </w:p>
    <w:p>
      <w:pPr>
        <w:spacing w:after="60"/>
      </w:pPr>
    </w:p>
    <w:p>
      <w:pPr>
        <w:pStyle w:val="Heading3"/>
        <w:spacing w:after="80" w:before="200"/>
      </w:pPr>
      <w:r>
        <w:rPr>
          <w:rFonts w:ascii="Arial" w:cs="Arial" w:eastAsia="Arial" w:hAnsi="Arial"/>
          <w:b/>
          <w:bCs/>
          <w:color w:val="1B3A6B"/>
          <w:sz w:val="24"/>
          <w:szCs w:val="24"/>
        </w:rPr>
        <w:t xml:space="preserve">4.1.3 Pipeline d'intention enrichi</w:t>
      </w:r>
    </w:p>
    <w:p>
      <w:pPr>
        <w:spacing w:after="120" w:before="60"/>
      </w:pPr>
      <w:r>
        <w:rPr>
          <w:rFonts w:ascii="Arial" w:cs="Arial" w:eastAsia="Arial" w:hAnsi="Arial"/>
          <w:b w:val="false"/>
          <w:bCs w:val="false"/>
          <w:i w:val="false"/>
          <w:iCs w:val="false"/>
          <w:color w:val="2C2C2C"/>
          <w:sz w:val="22"/>
          <w:szCs w:val="22"/>
        </w:rPr>
        <w:t xml:space="preserve">Une innovation clé du Module 1 est le pipeline de détection d'intention, qui résout le problème des messages multi-intentions (ex: "J'ai reçu mon remboursement, mais je veux annuler mon abonnement"). Le pipeline :</w:t>
      </w:r>
    </w:p>
    <w:p>
      <w:pPr>
        <w:pStyle w:val="ListParagraph"/>
        <w:numPr>
          <w:ilvl w:val="0"/>
          <w:numId w:val="2"/>
        </w:numPr>
        <w:spacing w:after="80"/>
      </w:pPr>
      <w:r>
        <w:rPr>
          <w:rFonts w:ascii="Arial" w:cs="Arial" w:eastAsia="Arial" w:hAnsi="Arial"/>
          <w:color w:val="2C2C2C"/>
          <w:sz w:val="22"/>
          <w:szCs w:val="22"/>
        </w:rPr>
        <w:t xml:space="preserve">Découpe le message en proposition principale et contexte</w:t>
      </w:r>
    </w:p>
    <w:p>
      <w:pPr>
        <w:pStyle w:val="ListParagraph"/>
        <w:numPr>
          <w:ilvl w:val="0"/>
          <w:numId w:val="2"/>
        </w:numPr>
        <w:spacing w:after="80"/>
      </w:pPr>
      <w:r>
        <w:rPr>
          <w:rFonts w:ascii="Arial" w:cs="Arial" w:eastAsia="Arial" w:hAnsi="Arial"/>
          <w:color w:val="2C2C2C"/>
          <w:sz w:val="22"/>
          <w:szCs w:val="22"/>
        </w:rPr>
        <w:t xml:space="preserve">Attribue un poids de 0.909 à l'intention principale et 0.091 au contexte</w:t>
      </w:r>
    </w:p>
    <w:p>
      <w:pPr>
        <w:pStyle w:val="ListParagraph"/>
        <w:numPr>
          <w:ilvl w:val="0"/>
          <w:numId w:val="2"/>
        </w:numPr>
        <w:spacing w:after="80"/>
      </w:pPr>
      <w:r>
        <w:rPr>
          <w:rFonts w:ascii="Arial" w:cs="Arial" w:eastAsia="Arial" w:hAnsi="Arial"/>
          <w:color w:val="2C2C2C"/>
          <w:sz w:val="22"/>
          <w:szCs w:val="22"/>
        </w:rPr>
        <w:t xml:space="preserve">Applique des règles d'action basées sur des regex (annuler, cancel, track, etc.)</w:t>
      </w:r>
    </w:p>
    <w:p>
      <w:pPr>
        <w:spacing w:after="120" w:before="60"/>
      </w:pPr>
      <w:r>
        <w:rPr>
          <w:rFonts w:ascii="Arial" w:cs="Arial" w:eastAsia="Arial" w:hAnsi="Arial"/>
          <w:b/>
          <w:bCs/>
          <w:color w:val="2C2C2C"/>
          <w:sz w:val="22"/>
          <w:szCs w:val="22"/>
        </w:rPr>
        <w:t xml:space="preserve">Résultat : </w:t>
      </w:r>
      <w:r>
        <w:rPr>
          <w:rFonts w:ascii="Arial" w:cs="Arial" w:eastAsia="Arial" w:hAnsi="Arial"/>
          <w:color w:val="2C2C2C"/>
          <w:sz w:val="22"/>
          <w:szCs w:val="22"/>
        </w:rPr>
        <w:t xml:space="preserve">Score 10/10 sur les cas multi-intentions complexes (vs 2/6 pour XLM-RoBERTa standard).</w:t>
      </w:r>
    </w:p>
    <w:p>
      <w:pPr>
        <w:spacing w:after="60"/>
      </w:pPr>
    </w:p>
    <w:p>
      <w:pPr>
        <w:pStyle w:val="Heading2"/>
        <w:spacing w:after="120" w:before="280"/>
      </w:pPr>
      <w:r>
        <w:rPr>
          <w:rFonts w:ascii="Arial" w:cs="Arial" w:eastAsia="Arial" w:hAnsi="Arial"/>
          <w:b/>
          <w:bCs/>
          <w:color w:val="2E6DB4"/>
          <w:sz w:val="26"/>
          <w:szCs w:val="26"/>
        </w:rPr>
        <w:t xml:space="preserve">4.2 Module 2 — Classification du niveau d'urgence</w:t>
      </w:r>
    </w:p>
    <w:p>
      <w:pPr>
        <w:pStyle w:val="Heading3"/>
        <w:spacing w:after="80" w:before="200"/>
      </w:pPr>
      <w:r>
        <w:rPr>
          <w:rFonts w:ascii="Arial" w:cs="Arial" w:eastAsia="Arial" w:hAnsi="Arial"/>
          <w:b/>
          <w:bCs/>
          <w:color w:val="1B3A6B"/>
          <w:sz w:val="24"/>
          <w:szCs w:val="24"/>
        </w:rPr>
        <w:t xml:space="preserve">4.2.1 Baseline — TF-IDF + Régression Logistique</w:t>
      </w:r>
    </w:p>
    <w:p>
      <w:pPr>
        <w:spacing w:after="120" w:before="60"/>
      </w:pPr>
      <w:r>
        <w:rPr>
          <w:rFonts w:ascii="Arial" w:cs="Arial" w:eastAsia="Arial" w:hAnsi="Arial"/>
          <w:b/>
          <w:bCs/>
          <w:color w:val="2C2C2C"/>
          <w:sz w:val="22"/>
          <w:szCs w:val="22"/>
        </w:rPr>
        <w:t xml:space="preserve">Résultats baseline : </w:t>
      </w:r>
      <w:r>
        <w:rPr>
          <w:rFonts w:ascii="Arial" w:cs="Arial" w:eastAsia="Arial" w:hAnsi="Arial"/>
          <w:color w:val="2C2C2C"/>
          <w:sz w:val="22"/>
          <w:szCs w:val="22"/>
        </w:rPr>
        <w:t xml:space="preserve">Accuracy = 73,54%, F1 macro = 0,7300, Recall Change = 0,8145.</w:t>
      </w:r>
    </w:p>
    <w:p>
      <w:pPr>
        <w:spacing w:after="60"/>
      </w:pPr>
    </w:p>
    <w:p>
      <w:pPr>
        <w:pStyle w:val="Heading3"/>
        <w:spacing w:after="80" w:before="200"/>
      </w:pPr>
      <w:r>
        <w:rPr>
          <w:rFonts w:ascii="Arial" w:cs="Arial" w:eastAsia="Arial" w:hAnsi="Arial"/>
          <w:b/>
          <w:bCs/>
          <w:color w:val="1B3A6B"/>
          <w:sz w:val="24"/>
          <w:szCs w:val="24"/>
        </w:rPr>
        <w:t xml:space="preserve">4.2.2 XLM-RoBERTa V1 — Class weights automatiques</w:t>
      </w:r>
    </w:p>
    <w:p>
      <w:pPr>
        <w:spacing w:after="120" w:before="60"/>
      </w:pPr>
      <w:r>
        <w:rPr>
          <w:rFonts w:ascii="Arial" w:cs="Arial" w:eastAsia="Arial" w:hAnsi="Arial"/>
          <w:b w:val="false"/>
          <w:bCs w:val="false"/>
          <w:i w:val="false"/>
          <w:iCs w:val="false"/>
          <w:color w:val="2C2C2C"/>
          <w:sz w:val="22"/>
          <w:szCs w:val="22"/>
        </w:rPr>
        <w:t xml:space="preserve">Premier entraînement avec WeightedTrainer et class weights calculés automatiquement (proportionnels à la fréquence inverse) :</w:t>
      </w:r>
    </w:p>
    <w:p>
      <w:pPr>
        <w:pStyle w:val="ListParagraph"/>
        <w:numPr>
          <w:ilvl w:val="0"/>
          <w:numId w:val="2"/>
        </w:numPr>
        <w:spacing w:after="80"/>
      </w:pPr>
      <w:r>
        <w:rPr>
          <w:rFonts w:ascii="Arial" w:cs="Arial" w:eastAsia="Arial" w:hAnsi="Arial"/>
          <w:color w:val="2C2C2C"/>
          <w:sz w:val="22"/>
          <w:szCs w:val="22"/>
        </w:rPr>
        <w:t xml:space="preserve">Incident : weight = 0.6217 | Request : 0.8737 | Problem : 1.1825 | Change : 2.4911</w:t>
      </w:r>
    </w:p>
    <w:p>
      <w:pPr>
        <w:spacing w:after="120" w:before="60"/>
      </w:pPr>
      <w:r>
        <w:rPr>
          <w:rFonts w:ascii="Arial" w:cs="Arial" w:eastAsia="Arial" w:hAnsi="Arial"/>
          <w:b/>
          <w:bCs/>
          <w:color w:val="2C2C2C"/>
          <w:sz w:val="22"/>
          <w:szCs w:val="22"/>
        </w:rPr>
        <w:t xml:space="preserve">Résultats V1 : </w:t>
      </w:r>
      <w:r>
        <w:rPr>
          <w:rFonts w:ascii="Arial" w:cs="Arial" w:eastAsia="Arial" w:hAnsi="Arial"/>
          <w:color w:val="2C2C2C"/>
          <w:sz w:val="22"/>
          <w:szCs w:val="22"/>
        </w:rPr>
        <w:t xml:space="preserve">Accuracy = 71,56%, F1 macro = 0,7332, Recall Change = 0,8024. F1 légèrement meilleur que la baseline, mais recall Change légèrement inférieur.</w:t>
      </w:r>
    </w:p>
    <w:p>
      <w:pPr>
        <w:spacing w:after="60"/>
      </w:pPr>
    </w:p>
    <w:p>
      <w:pPr>
        <w:pStyle w:val="Heading3"/>
        <w:spacing w:after="80" w:before="200"/>
      </w:pPr>
      <w:r>
        <w:rPr>
          <w:rFonts w:ascii="Arial" w:cs="Arial" w:eastAsia="Arial" w:hAnsi="Arial"/>
          <w:b/>
          <w:bCs/>
          <w:color w:val="1B3A6B"/>
          <w:sz w:val="24"/>
          <w:szCs w:val="24"/>
        </w:rPr>
        <w:t xml:space="preserve">4.2.3 XLM-RoBERTa V2 — Poids renforcés + Recall comme métrique pilote (Modèle retenu)</w:t>
      </w:r>
    </w:p>
    <w:p>
      <w:pPr>
        <w:spacing w:after="120" w:before="60"/>
      </w:pPr>
      <w:r>
        <w:rPr>
          <w:rFonts w:ascii="Arial" w:cs="Arial" w:eastAsia="Arial" w:hAnsi="Arial"/>
          <w:b w:val="false"/>
          <w:bCs w:val="false"/>
          <w:i w:val="false"/>
          <w:iCs w:val="false"/>
          <w:color w:val="2C2C2C"/>
          <w:sz w:val="22"/>
          <w:szCs w:val="22"/>
        </w:rPr>
        <w:t xml:space="preserve">Suite à l'analyse V1, le Run 2 a été optimisé en deux points :</w:t>
      </w:r>
    </w:p>
    <w:p>
      <w:pPr>
        <w:pStyle w:val="ListParagraph"/>
        <w:numPr>
          <w:ilvl w:val="0"/>
          <w:numId w:val="2"/>
        </w:numPr>
        <w:spacing w:after="80"/>
      </w:pPr>
      <w:r>
        <w:rPr>
          <w:rFonts w:ascii="Arial" w:cs="Arial" w:eastAsia="Arial" w:hAnsi="Arial"/>
          <w:color w:val="2C2C2C"/>
          <w:sz w:val="22"/>
          <w:szCs w:val="22"/>
        </w:rPr>
        <w:t xml:space="preserve">Poids manual renforcé : Change = 4.0 (vs 2.49 calculé automatiquement)</w:t>
      </w:r>
    </w:p>
    <w:p>
      <w:pPr>
        <w:pStyle w:val="ListParagraph"/>
        <w:numPr>
          <w:ilvl w:val="0"/>
          <w:numId w:val="2"/>
        </w:numPr>
        <w:spacing w:after="80"/>
      </w:pPr>
      <w:r>
        <w:rPr>
          <w:rFonts w:ascii="Arial" w:cs="Arial" w:eastAsia="Arial" w:hAnsi="Arial"/>
          <w:color w:val="2C2C2C"/>
          <w:sz w:val="22"/>
          <w:szCs w:val="22"/>
        </w:rPr>
        <w:t xml:space="preserve">Métrique pilote changée : recall_critical au lieu de f1_macro pour le Early Stopping</w:t>
      </w:r>
    </w:p>
    <w:p>
      <w:pPr>
        <w:pStyle w:val="ListParagraph"/>
        <w:numPr>
          <w:ilvl w:val="0"/>
          <w:numId w:val="2"/>
        </w:numPr>
        <w:spacing w:after="80"/>
      </w:pPr>
      <w:r>
        <w:rPr>
          <w:rFonts w:ascii="Arial" w:cs="Arial" w:eastAsia="Arial" w:hAnsi="Arial"/>
          <w:color w:val="2C2C2C"/>
          <w:sz w:val="22"/>
          <w:szCs w:val="22"/>
        </w:rPr>
        <w:t xml:space="preserve">Epochs max = 5, EarlyStopping patience = 3</w:t>
      </w:r>
    </w:p>
    <w:p>
      <w:pPr>
        <w:spacing w:after="120" w:before="60"/>
      </w:pPr>
      <w:r>
        <w:rPr>
          <w:rFonts w:ascii="Arial" w:cs="Arial" w:eastAsia="Arial" w:hAnsi="Arial"/>
          <w:b/>
          <w:bCs/>
          <w:color w:val="2C2C2C"/>
          <w:sz w:val="22"/>
          <w:szCs w:val="22"/>
        </w:rPr>
        <w:t xml:space="preserve">Résultats V2 (RETENU) : </w:t>
      </w:r>
      <w:r>
        <w:rPr>
          <w:rFonts w:ascii="Arial" w:cs="Arial" w:eastAsia="Arial" w:hAnsi="Arial"/>
          <w:color w:val="2C2C2C"/>
          <w:sz w:val="22"/>
          <w:szCs w:val="22"/>
        </w:rPr>
        <w:t xml:space="preserve">Accuracy = 75,43%, F1 macro = 0,7000, Recall Change = 0,8306. Ce modèle maximise le recall sur la classe Change, l'objectif métier prioritaire — ne pas manquer un incident critique.</w:t>
      </w:r>
    </w:p>
    <w:p>
      <w:pPr>
        <w:spacing w:after="60"/>
      </w:pPr>
    </w:p>
    <w:p>
      <w:pPr>
        <w:pStyle w:val="Heading3"/>
        <w:spacing w:after="80" w:before="200"/>
      </w:pPr>
      <w:r>
        <w:rPr>
          <w:rFonts w:ascii="Arial" w:cs="Arial" w:eastAsia="Arial" w:hAnsi="Arial"/>
          <w:b/>
          <w:bCs/>
          <w:color w:val="1B3A6B"/>
          <w:sz w:val="24"/>
          <w:szCs w:val="24"/>
        </w:rPr>
        <w:t xml:space="preserve">4.2.4 Justification du choix final</w:t>
      </w:r>
    </w:p>
    <w:p>
      <w:pPr>
        <w:spacing w:after="120" w:before="60"/>
      </w:pPr>
      <w:r>
        <w:rPr>
          <w:rFonts w:ascii="Arial" w:cs="Arial" w:eastAsia="Arial" w:hAnsi="Arial"/>
          <w:b w:val="false"/>
          <w:bCs w:val="false"/>
          <w:i w:val="false"/>
          <w:iCs w:val="false"/>
          <w:color w:val="2C2C2C"/>
          <w:sz w:val="22"/>
          <w:szCs w:val="22"/>
        </w:rPr>
        <w:t xml:space="preserve">Le modèle V2 est retenu malgré un F1 macro légèrement inférieur à V1 (0.7000 vs 0.7332) car :</w:t>
      </w:r>
    </w:p>
    <w:p>
      <w:pPr>
        <w:pStyle w:val="ListParagraph"/>
        <w:numPr>
          <w:ilvl w:val="0"/>
          <w:numId w:val="2"/>
        </w:numPr>
        <w:spacing w:after="80"/>
      </w:pPr>
      <w:r>
        <w:rPr>
          <w:rFonts w:ascii="Arial" w:cs="Arial" w:eastAsia="Arial" w:hAnsi="Arial"/>
          <w:color w:val="2C2C2C"/>
          <w:sz w:val="22"/>
          <w:szCs w:val="22"/>
        </w:rPr>
        <w:t xml:space="preserve">Dans le domaine du support client, manquer un incident Change (modification critique) a des conséquences métier graves.</w:t>
      </w:r>
    </w:p>
    <w:p>
      <w:pPr>
        <w:pStyle w:val="ListParagraph"/>
        <w:numPr>
          <w:ilvl w:val="0"/>
          <w:numId w:val="2"/>
        </w:numPr>
        <w:spacing w:after="80"/>
      </w:pPr>
      <w:r>
        <w:rPr>
          <w:rFonts w:ascii="Arial" w:cs="Arial" w:eastAsia="Arial" w:hAnsi="Arial"/>
          <w:color w:val="2C2C2C"/>
          <w:sz w:val="22"/>
          <w:szCs w:val="22"/>
        </w:rPr>
        <w:t xml:space="preserve">Le Recall = 0.8306 sur Change signifie que 83% des tickets critiques sont correctement identifiés.</w:t>
      </w:r>
    </w:p>
    <w:p>
      <w:pPr>
        <w:pStyle w:val="ListParagraph"/>
        <w:numPr>
          <w:ilvl w:val="0"/>
          <w:numId w:val="2"/>
        </w:numPr>
        <w:spacing w:after="80"/>
      </w:pPr>
      <w:r>
        <w:rPr>
          <w:rFonts w:ascii="Arial" w:cs="Arial" w:eastAsia="Arial" w:hAnsi="Arial"/>
          <w:color w:val="2C2C2C"/>
          <w:sz w:val="22"/>
          <w:szCs w:val="22"/>
        </w:rPr>
        <w:t xml:space="preserve">L'accuracy globale est également la plus haute des 3 runs (75,43%).</w:t>
      </w:r>
    </w:p>
    <w:p>
      <w:pPr>
        <w:spacing w:after="60"/>
      </w:pPr>
    </w:p>
    <w:p>
      <w:pPr>
        <w:pStyle w:val="Heading2"/>
        <w:spacing w:after="120" w:before="280"/>
      </w:pPr>
      <w:r>
        <w:rPr>
          <w:rFonts w:ascii="Arial" w:cs="Arial" w:eastAsia="Arial" w:hAnsi="Arial"/>
          <w:b/>
          <w:bCs/>
          <w:color w:val="2E6DB4"/>
          <w:sz w:val="26"/>
          <w:szCs w:val="26"/>
        </w:rPr>
        <w:t xml:space="preserve">4.3 Module 3 — Génération de suggestions de réponses</w:t>
      </w:r>
    </w:p>
    <w:p>
      <w:pPr>
        <w:pStyle w:val="Heading3"/>
        <w:spacing w:after="80" w:before="200"/>
      </w:pPr>
      <w:r>
        <w:rPr>
          <w:rFonts w:ascii="Arial" w:cs="Arial" w:eastAsia="Arial" w:hAnsi="Arial"/>
          <w:b/>
          <w:bCs/>
          <w:color w:val="1B3A6B"/>
          <w:sz w:val="24"/>
          <w:szCs w:val="24"/>
        </w:rPr>
        <w:t xml:space="preserve">4.3.1 Architecture RAG hybride</w:t>
      </w:r>
    </w:p>
    <w:p>
      <w:pPr>
        <w:spacing w:after="120" w:before="60"/>
      </w:pPr>
      <w:r>
        <w:rPr>
          <w:rFonts w:ascii="Arial" w:cs="Arial" w:eastAsia="Arial" w:hAnsi="Arial"/>
          <w:b w:val="false"/>
          <w:bCs w:val="false"/>
          <w:i w:val="false"/>
          <w:iCs w:val="false"/>
          <w:color w:val="2C2C2C"/>
          <w:sz w:val="22"/>
          <w:szCs w:val="22"/>
        </w:rPr>
        <w:t xml:space="preserve">Le Module 3 combine un retriever hybride BM25 + FAISS avec un LLM pour générer des réponses contextuellement pertinentes :</w:t>
      </w:r>
    </w:p>
    <w:p>
      <w:pPr>
        <w:pStyle w:val="ListParagraph"/>
        <w:numPr>
          <w:ilvl w:val="0"/>
          <w:numId w:val="2"/>
        </w:numPr>
        <w:spacing w:after="80"/>
      </w:pPr>
      <w:r>
        <w:rPr>
          <w:rFonts w:ascii="Arial" w:cs="Arial" w:eastAsia="Arial" w:hAnsi="Arial"/>
          <w:color w:val="2C2C2C"/>
          <w:sz w:val="22"/>
          <w:szCs w:val="22"/>
        </w:rPr>
        <w:t xml:space="preserve">BM25 (rank-bm25) : retriever lexical basé sur la fréquence des termes, efficace pour les correspondances exactes</w:t>
      </w:r>
    </w:p>
    <w:p>
      <w:pPr>
        <w:pStyle w:val="ListParagraph"/>
        <w:numPr>
          <w:ilvl w:val="0"/>
          <w:numId w:val="2"/>
        </w:numPr>
        <w:spacing w:after="80"/>
      </w:pPr>
      <w:r>
        <w:rPr>
          <w:rFonts w:ascii="Arial" w:cs="Arial" w:eastAsia="Arial" w:hAnsi="Arial"/>
          <w:color w:val="2C2C2C"/>
          <w:sz w:val="22"/>
          <w:szCs w:val="22"/>
        </w:rPr>
        <w:t xml:space="preserve">FAISS IndexFlatIP : retriever vectoriel basé sur les embeddings (paraphrase-multilingual-MiniLM-L12-v2, dim=384)</w:t>
      </w:r>
    </w:p>
    <w:p>
      <w:pPr>
        <w:pStyle w:val="ListParagraph"/>
        <w:numPr>
          <w:ilvl w:val="0"/>
          <w:numId w:val="2"/>
        </w:numPr>
        <w:spacing w:after="80"/>
      </w:pPr>
      <w:r>
        <w:rPr>
          <w:rFonts w:ascii="Arial" w:cs="Arial" w:eastAsia="Arial" w:hAnsi="Arial"/>
          <w:color w:val="2C2C2C"/>
          <w:sz w:val="22"/>
          <w:szCs w:val="22"/>
        </w:rPr>
        <w:t xml:space="preserve">Fusion hybride avec α=0.5 (poids égal BM25 / vectoriel)</w:t>
      </w:r>
    </w:p>
    <w:p>
      <w:pPr>
        <w:pStyle w:val="ListParagraph"/>
        <w:numPr>
          <w:ilvl w:val="0"/>
          <w:numId w:val="2"/>
        </w:numPr>
        <w:spacing w:after="80"/>
      </w:pPr>
      <w:r>
        <w:rPr>
          <w:rFonts w:ascii="Arial" w:cs="Arial" w:eastAsia="Arial" w:hAnsi="Arial"/>
          <w:color w:val="2C2C2C"/>
          <w:sz w:val="22"/>
          <w:szCs w:val="22"/>
        </w:rPr>
        <w:t xml:space="preserve">Top-3 documents récupérés par requête</w:t>
      </w:r>
    </w:p>
    <w:p>
      <w:pPr>
        <w:spacing w:after="60"/>
      </w:pPr>
    </w:p>
    <w:p>
      <w:pPr>
        <w:pStyle w:val="Heading3"/>
        <w:spacing w:after="80" w:before="200"/>
      </w:pPr>
      <w:r>
        <w:rPr>
          <w:rFonts w:ascii="Arial" w:cs="Arial" w:eastAsia="Arial" w:hAnsi="Arial"/>
          <w:b/>
          <w:bCs/>
          <w:color w:val="1B3A6B"/>
          <w:sz w:val="24"/>
          <w:szCs w:val="24"/>
        </w:rPr>
        <w:t xml:space="preserve">4.3.2 Pipeline complet d'inférence</w:t>
      </w:r>
    </w:p>
    <w:p>
      <w:pPr>
        <w:spacing w:after="120" w:before="60"/>
      </w:pPr>
      <w:r>
        <w:rPr>
          <w:rFonts w:ascii="Arial" w:cs="Arial" w:eastAsia="Arial" w:hAnsi="Arial"/>
          <w:b w:val="false"/>
          <w:bCs w:val="false"/>
          <w:i w:val="false"/>
          <w:iCs w:val="false"/>
          <w:color w:val="2C2C2C"/>
          <w:sz w:val="22"/>
          <w:szCs w:val="22"/>
        </w:rPr>
        <w:t xml:space="preserve">Chaque ticket passe par les 6 étapes suivantes :</w:t>
      </w:r>
    </w:p>
    <w:p>
      <w:pPr>
        <w:pStyle w:val="ListParagraph"/>
        <w:numPr>
          <w:ilvl w:val="0"/>
          <w:numId w:val="2"/>
        </w:numPr>
        <w:spacing w:after="80"/>
      </w:pPr>
      <w:r>
        <w:rPr>
          <w:rFonts w:ascii="Arial" w:cs="Arial" w:eastAsia="Arial" w:hAnsi="Arial"/>
          <w:color w:val="2C2C2C"/>
          <w:sz w:val="22"/>
          <w:szCs w:val="22"/>
        </w:rPr>
        <w:t xml:space="preserve">Étape 1 — Détection de langue : heuristique robuste FR/EN (caractères accentués + vocabulaire + langdetect) avec fallback FR</w:t>
      </w:r>
    </w:p>
    <w:p>
      <w:pPr>
        <w:pStyle w:val="ListParagraph"/>
        <w:numPr>
          <w:ilvl w:val="0"/>
          <w:numId w:val="2"/>
        </w:numPr>
        <w:spacing w:after="80"/>
      </w:pPr>
      <w:r>
        <w:rPr>
          <w:rFonts w:ascii="Arial" w:cs="Arial" w:eastAsia="Arial" w:hAnsi="Arial"/>
          <w:color w:val="2C2C2C"/>
          <w:sz w:val="22"/>
          <w:szCs w:val="22"/>
        </w:rPr>
        <w:t xml:space="preserve">Étape 2 — Module 1 : classification du type de message (11 classes)</w:t>
      </w:r>
    </w:p>
    <w:p>
      <w:pPr>
        <w:pStyle w:val="ListParagraph"/>
        <w:numPr>
          <w:ilvl w:val="0"/>
          <w:numId w:val="2"/>
        </w:numPr>
        <w:spacing w:after="80"/>
      </w:pPr>
      <w:r>
        <w:rPr>
          <w:rFonts w:ascii="Arial" w:cs="Arial" w:eastAsia="Arial" w:hAnsi="Arial"/>
          <w:color w:val="2C2C2C"/>
          <w:sz w:val="22"/>
          <w:szCs w:val="22"/>
        </w:rPr>
        <w:t xml:space="preserve">Étape 3 — Module 2 : classification de l'urgence (4 niveaux)</w:t>
      </w:r>
    </w:p>
    <w:p>
      <w:pPr>
        <w:pStyle w:val="ListParagraph"/>
        <w:numPr>
          <w:ilvl w:val="0"/>
          <w:numId w:val="2"/>
        </w:numPr>
        <w:spacing w:after="80"/>
      </w:pPr>
      <w:r>
        <w:rPr>
          <w:rFonts w:ascii="Arial" w:cs="Arial" w:eastAsia="Arial" w:hAnsi="Arial"/>
          <w:color w:val="2C2C2C"/>
          <w:sz w:val="22"/>
          <w:szCs w:val="22"/>
        </w:rPr>
        <w:t xml:space="preserve">Étape 4 — RAG : récupération des 3 contextes les plus proches</w:t>
      </w:r>
    </w:p>
    <w:p>
      <w:pPr>
        <w:pStyle w:val="ListParagraph"/>
        <w:numPr>
          <w:ilvl w:val="0"/>
          <w:numId w:val="2"/>
        </w:numPr>
        <w:spacing w:after="80"/>
      </w:pPr>
      <w:r>
        <w:rPr>
          <w:rFonts w:ascii="Arial" w:cs="Arial" w:eastAsia="Arial" w:hAnsi="Arial"/>
          <w:color w:val="2C2C2C"/>
          <w:sz w:val="22"/>
          <w:szCs w:val="22"/>
        </w:rPr>
        <w:t xml:space="preserve">Étape 5 — Prompt Engineering : construction du prompt enrichi avec type, urgence, langue et exemples RAG</w:t>
      </w:r>
    </w:p>
    <w:p>
      <w:pPr>
        <w:pStyle w:val="ListParagraph"/>
        <w:numPr>
          <w:ilvl w:val="0"/>
          <w:numId w:val="2"/>
        </w:numPr>
        <w:spacing w:after="80"/>
      </w:pPr>
      <w:r>
        <w:rPr>
          <w:rFonts w:ascii="Arial" w:cs="Arial" w:eastAsia="Arial" w:hAnsi="Arial"/>
          <w:color w:val="2C2C2C"/>
          <w:sz w:val="22"/>
          <w:szCs w:val="22"/>
        </w:rPr>
        <w:t xml:space="preserve">Étape 6 — LLM Groq (llama-3.1-8b-instant) : génération de la réponse, puis validation HITL</w:t>
      </w:r>
    </w:p>
    <w:p>
      <w:pPr>
        <w:spacing w:after="60"/>
      </w:pPr>
    </w:p>
    <w:p>
      <w:pPr>
        <w:pStyle w:val="Heading3"/>
        <w:spacing w:after="80" w:before="200"/>
      </w:pPr>
      <w:r>
        <w:rPr>
          <w:rFonts w:ascii="Arial" w:cs="Arial" w:eastAsia="Arial" w:hAnsi="Arial"/>
          <w:b/>
          <w:bCs/>
          <w:color w:val="1B3A6B"/>
          <w:sz w:val="24"/>
          <w:szCs w:val="24"/>
        </w:rPr>
        <w:t xml:space="preserve">4.3.3 Comparaison des 3 runs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200"/>
      </w:tblGrid>
      <w:tr>
        <w:tc>
          <w:tcPr>
            <w:tcW w:type="dxa" w:w="28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Run</w:t>
            </w:r>
          </w:p>
        </w:tc>
        <w:tc>
          <w:tcPr>
            <w:tcW w:type="dxa" w:w="20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Approche</w:t>
            </w:r>
          </w:p>
        </w:tc>
        <w:tc>
          <w:tcPr>
            <w:tcW w:type="dxa" w:w="20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ROUGE-L</w:t>
            </w:r>
          </w:p>
        </w:tc>
        <w:tc>
          <w:tcPr>
            <w:tcW w:type="dxa" w:w="22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BLEU</w:t>
            </w:r>
          </w:p>
        </w:tc>
      </w:tr>
      <w:tr>
        <w:tc>
          <w:tcPr>
            <w:tcW w:type="dxa" w:w="2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Run 1 — Baseline</w:t>
            </w:r>
          </w:p>
        </w:tc>
        <w:tc>
          <w:tcPr>
            <w:tcW w:type="dxa" w:w="2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Zero-Shot</w:t>
            </w:r>
          </w:p>
        </w:tc>
        <w:tc>
          <w:tcPr>
            <w:tcW w:type="dxa" w:w="2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0.0642</w:t>
            </w:r>
          </w:p>
        </w:tc>
        <w:tc>
          <w:tcPr>
            <w:tcW w:type="dxa" w:w="2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0.0074</w:t>
            </w:r>
          </w:p>
        </w:tc>
      </w:tr>
      <w:tr>
        <w:tc>
          <w:tcPr>
            <w:tcW w:type="dxa" w:w="28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Run 2 — Few-Shot</w:t>
            </w:r>
          </w:p>
        </w:tc>
        <w:tc>
          <w:tcPr>
            <w:tcW w:type="dxa" w:w="20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3 exemples RAG</w:t>
            </w:r>
          </w:p>
        </w:tc>
        <w:tc>
          <w:tcPr>
            <w:tcW w:type="dxa" w:w="20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0.8890*</w:t>
            </w:r>
          </w:p>
        </w:tc>
        <w:tc>
          <w:tcPr>
            <w:tcW w:type="dxa" w:w="22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0.8290*</w:t>
            </w:r>
          </w:p>
        </w:tc>
      </w:tr>
      <w:tr>
        <w:tc>
          <w:tcPr>
            <w:tcW w:type="dxa" w:w="2800"/>
            <w:tcBorders>
              <w:top w:val="single" w:color="C0C8D8" w:sz="1"/>
              <w:left w:val="single" w:color="C0C8D8" w:sz="1"/>
              <w:bottom w:val="single" w:color="C0C8D8" w:sz="1"/>
              <w:right w:val="single" w:color="C0C8D8" w:sz="1"/>
            </w:tcBorders>
            <w:shd w:fill="D6E4F7" w:val="clear"/>
            <w:tcMar>
              <w:top w:type="dxa" w:w="80"/>
              <w:left w:type="dxa" w:w="120"/>
              <w:bottom w:type="dxa" w:w="80"/>
              <w:right w:type="dxa" w:w="120"/>
            </w:tcMar>
          </w:tcPr>
          <w:p>
            <w:pPr>
              <w:jc w:val="left"/>
            </w:pPr>
            <w:r>
              <w:rPr>
                <w:rFonts w:ascii="Arial" w:cs="Arial" w:eastAsia="Arial" w:hAnsi="Arial"/>
                <w:b/>
                <w:bCs/>
                <w:color w:val="2C2C2C"/>
                <w:sz w:val="20"/>
                <w:szCs w:val="20"/>
              </w:rPr>
              <w:t xml:space="preserve">Run 3 — Pipeline complet (RETENU)</w:t>
            </w:r>
          </w:p>
        </w:tc>
        <w:tc>
          <w:tcPr>
            <w:tcW w:type="dxa" w:w="2000"/>
            <w:tcBorders>
              <w:top w:val="single" w:color="C0C8D8" w:sz="1"/>
              <w:left w:val="single" w:color="C0C8D8" w:sz="1"/>
              <w:bottom w:val="single" w:color="C0C8D8" w:sz="1"/>
              <w:right w:val="single" w:color="C0C8D8" w:sz="1"/>
            </w:tcBorders>
            <w:shd w:fill="D6E4F7"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M1+M2+RAG+LLM</w:t>
            </w:r>
          </w:p>
        </w:tc>
        <w:tc>
          <w:tcPr>
            <w:tcW w:type="dxa" w:w="2000"/>
            <w:tcBorders>
              <w:top w:val="single" w:color="C0C8D8" w:sz="1"/>
              <w:left w:val="single" w:color="C0C8D8" w:sz="1"/>
              <w:bottom w:val="single" w:color="C0C8D8" w:sz="1"/>
              <w:right w:val="single" w:color="C0C8D8" w:sz="1"/>
            </w:tcBorders>
            <w:shd w:fill="D6E4F7"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0.1989</w:t>
            </w:r>
          </w:p>
        </w:tc>
        <w:tc>
          <w:tcPr>
            <w:tcW w:type="dxa" w:w="2200"/>
            <w:tcBorders>
              <w:top w:val="single" w:color="C0C8D8" w:sz="1"/>
              <w:left w:val="single" w:color="C0C8D8" w:sz="1"/>
              <w:bottom w:val="single" w:color="C0C8D8" w:sz="1"/>
              <w:right w:val="single" w:color="C0C8D8" w:sz="1"/>
            </w:tcBorders>
            <w:shd w:fill="D6E4F7"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0.0370</w:t>
            </w:r>
          </w:p>
        </w:tc>
      </w:tr>
    </w:tbl>
    <w:p>
      <w:pPr>
        <w:spacing w:after="60"/>
      </w:pPr>
    </w:p>
    <w:p>
      <w:pPr>
        <w:spacing w:after="120" w:before="60"/>
      </w:pPr>
      <w:r>
        <w:rPr>
          <w:rFonts w:ascii="Arial" w:cs="Arial" w:eastAsia="Arial" w:hAnsi="Arial"/>
          <w:i/>
          <w:iCs/>
          <w:color w:val="555555"/>
          <w:sz w:val="22"/>
          <w:szCs w:val="22"/>
        </w:rPr>
        <w:t xml:space="preserve">* Le Run 2 présente un biais connu : les exemples Few-Shot sont tirés du même dataset que les références, ce qui gonfle artificiellement les scores ROUGE-L et BLEU. Ce run sert à démontrer la capacité du modèle, pas à évaluer le pipeline réel.</w:t>
      </w:r>
    </w:p>
    <w:p>
      <w:pPr>
        <w:spacing w:after="60"/>
      </w:pPr>
    </w:p>
    <w:p>
      <w:pPr>
        <w:spacing w:after="120" w:before="60"/>
      </w:pPr>
      <w:r>
        <w:rPr>
          <w:rFonts w:ascii="Arial" w:cs="Arial" w:eastAsia="Arial" w:hAnsi="Arial"/>
          <w:b w:val="false"/>
          <w:bCs w:val="false"/>
          <w:i w:val="false"/>
          <w:iCs w:val="false"/>
          <w:color w:val="2C2C2C"/>
          <w:sz w:val="22"/>
          <w:szCs w:val="22"/>
        </w:rPr>
        <w:t xml:space="preserve">Le Run 3 (Pipeline Complet) est retenu comme modèle final car il représente la configuration réelle de production, avec contexte M1+M2, RAG et validation HITL. Son ROUGE-L de 0,1989 est cohérent avec la littérature pour des tâches de génération de réponses à partir de tickets courts.</w:t>
      </w:r>
    </w:p>
    <w:p>
      <w:r>
        <w:br w:type="page"/>
      </w:r>
    </w:p>
    <w:p>
      <w:pPr>
        <w:pStyle w:val="Heading1"/>
        <w:pBdr>
          <w:bottom w:val="single" w:color="2E6DB4" w:sz="6" w:space="6"/>
        </w:pBdr>
        <w:spacing w:after="180" w:before="360"/>
      </w:pPr>
      <w:r>
        <w:rPr>
          <w:rFonts w:ascii="Arial" w:cs="Arial" w:eastAsia="Arial" w:hAnsi="Arial"/>
          <w:b/>
          <w:bCs/>
          <w:color w:val="1B3A6B"/>
          <w:sz w:val="32"/>
          <w:szCs w:val="32"/>
        </w:rPr>
        <w:t xml:space="preserve">5. Résultats et évaluation</w:t>
      </w:r>
    </w:p>
    <w:p>
      <w:pPr>
        <w:pStyle w:val="Heading2"/>
        <w:spacing w:after="120" w:before="280"/>
      </w:pPr>
      <w:r>
        <w:rPr>
          <w:rFonts w:ascii="Arial" w:cs="Arial" w:eastAsia="Arial" w:hAnsi="Arial"/>
          <w:b/>
          <w:bCs/>
          <w:color w:val="2E6DB4"/>
          <w:sz w:val="26"/>
          <w:szCs w:val="26"/>
        </w:rPr>
        <w:t xml:space="preserve">5.1 Module 1 — Résultats complets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400"/>
      </w:tblGrid>
      <w:tr>
        <w:tc>
          <w:tcPr>
            <w:tcW w:type="dxa" w:w="30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Modèle</w:t>
            </w:r>
          </w:p>
        </w:tc>
        <w:tc>
          <w:tcPr>
            <w:tcW w:type="dxa" w:w="18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Accuracy</w:t>
            </w:r>
          </w:p>
        </w:tc>
        <w:tc>
          <w:tcPr>
            <w:tcW w:type="dxa" w:w="18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 Macro</w:t>
            </w:r>
          </w:p>
        </w:tc>
        <w:tc>
          <w:tcPr>
            <w:tcW w:type="dxa" w:w="24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Statut</w:t>
            </w:r>
          </w:p>
        </w:tc>
      </w:tr>
      <w:tr>
        <w:tc>
          <w:tcPr>
            <w:tcW w:type="dxa" w:w="3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TF-IDF + Logistic Regression</w:t>
            </w:r>
          </w:p>
        </w:tc>
        <w:tc>
          <w:tcPr>
            <w:tcW w:type="dxa" w:w="1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99,85%</w:t>
            </w:r>
          </w:p>
        </w:tc>
        <w:tc>
          <w:tcPr>
            <w:tcW w:type="dxa" w:w="1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0.9988</w:t>
            </w:r>
          </w:p>
        </w:tc>
        <w:tc>
          <w:tcPr>
            <w:tcW w:type="dxa" w:w="24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Baseline</w:t>
            </w:r>
          </w:p>
        </w:tc>
      </w:tr>
      <w:tr>
        <w:tc>
          <w:tcPr>
            <w:tcW w:type="dxa" w:w="3000"/>
            <w:tcBorders>
              <w:top w:val="single" w:color="C0C8D8" w:sz="1"/>
              <w:left w:val="single" w:color="C0C8D8" w:sz="1"/>
              <w:bottom w:val="single" w:color="C0C8D8" w:sz="1"/>
              <w:right w:val="single" w:color="C0C8D8" w:sz="1"/>
            </w:tcBorders>
            <w:shd w:fill="D6E4F7"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XLM-RoBERTa V2 (fine-tuné)</w:t>
            </w:r>
          </w:p>
        </w:tc>
        <w:tc>
          <w:tcPr>
            <w:tcW w:type="dxa" w:w="1800"/>
            <w:tcBorders>
              <w:top w:val="single" w:color="C0C8D8" w:sz="1"/>
              <w:left w:val="single" w:color="C0C8D8" w:sz="1"/>
              <w:bottom w:val="single" w:color="C0C8D8" w:sz="1"/>
              <w:right w:val="single" w:color="C0C8D8" w:sz="1"/>
            </w:tcBorders>
            <w:shd w:fill="D6E4F7"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100,00%</w:t>
            </w:r>
          </w:p>
        </w:tc>
        <w:tc>
          <w:tcPr>
            <w:tcW w:type="dxa" w:w="1800"/>
            <w:tcBorders>
              <w:top w:val="single" w:color="C0C8D8" w:sz="1"/>
              <w:left w:val="single" w:color="C0C8D8" w:sz="1"/>
              <w:bottom w:val="single" w:color="C0C8D8" w:sz="1"/>
              <w:right w:val="single" w:color="C0C8D8" w:sz="1"/>
            </w:tcBorders>
            <w:shd w:fill="D6E4F7"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1.0000</w:t>
            </w:r>
          </w:p>
        </w:tc>
        <w:tc>
          <w:tcPr>
            <w:tcW w:type="dxa" w:w="2400"/>
            <w:tcBorders>
              <w:top w:val="single" w:color="C0C8D8" w:sz="1"/>
              <w:left w:val="single" w:color="C0C8D8" w:sz="1"/>
              <w:bottom w:val="single" w:color="C0C8D8" w:sz="1"/>
              <w:right w:val="single" w:color="C0C8D8" w:sz="1"/>
            </w:tcBorders>
            <w:shd w:fill="D6E4F7" w:val="clear"/>
            <w:tcMar>
              <w:top w:type="dxa" w:w="80"/>
              <w:left w:type="dxa" w:w="120"/>
              <w:bottom w:type="dxa" w:w="80"/>
              <w:right w:type="dxa" w:w="120"/>
            </w:tcMar>
          </w:tcPr>
          <w:p>
            <w:pPr>
              <w:jc w:val="left"/>
            </w:pPr>
            <w:r>
              <w:rPr>
                <w:rFonts w:ascii="Arial" w:cs="Arial" w:eastAsia="Arial" w:hAnsi="Arial"/>
                <w:b/>
                <w:bCs/>
                <w:color w:val="2C2C2C"/>
                <w:sz w:val="20"/>
                <w:szCs w:val="20"/>
              </w:rPr>
              <w:t xml:space="preserve">✅ RETENU</w:t>
            </w:r>
          </w:p>
        </w:tc>
      </w:tr>
    </w:tbl>
    <w:p>
      <w:pPr>
        <w:spacing w:after="60"/>
      </w:pPr>
    </w:p>
    <w:p>
      <w:pPr>
        <w:spacing w:after="120" w:before="60"/>
      </w:pPr>
      <w:r>
        <w:rPr>
          <w:rFonts w:ascii="Arial" w:cs="Arial" w:eastAsia="Arial" w:hAnsi="Arial"/>
          <w:b w:val="false"/>
          <w:bCs w:val="false"/>
          <w:i w:val="false"/>
          <w:iCs w:val="false"/>
          <w:color w:val="2C2C2C"/>
          <w:sz w:val="22"/>
          <w:szCs w:val="22"/>
        </w:rPr>
        <w:t xml:space="preserve">Le rapport de classification sur le test set (2 688 messages) montre une précision, un recall et un F1-score de 1.00 pour chacune des 11 catégories. L'amélioration vs baseline est de +0,12% en accuracy et +0,12% en F1.</w:t>
      </w:r>
    </w:p>
    <w:p>
      <w:pPr>
        <w:spacing w:after="60"/>
      </w:pPr>
    </w:p>
    <w:p>
      <w:pPr>
        <w:spacing w:after="120" w:before="60"/>
      </w:pPr>
      <w:r>
        <w:rPr>
          <w:rFonts w:ascii="Arial" w:cs="Arial" w:eastAsia="Arial" w:hAnsi="Arial"/>
          <w:b w:val="false"/>
          <w:bCs w:val="false"/>
          <w:i w:val="false"/>
          <w:iCs w:val="false"/>
          <w:color w:val="2C2C2C"/>
          <w:sz w:val="22"/>
          <w:szCs w:val="22"/>
        </w:rPr>
        <w:t xml:space="preserve">Test avancé sur messages multi-intentions : le pipeline enrichi (intention + règles) atteint 10/10 (100%) sur 10 messages complexes avec intentions multiples en FR et EN, contre 33% pour XLM-RoBERTa standard.</w:t>
      </w:r>
    </w:p>
    <w:p>
      <w:pPr>
        <w:spacing w:after="60"/>
      </w:pPr>
    </w:p>
    <w:p>
      <w:pPr>
        <w:pStyle w:val="Heading2"/>
        <w:spacing w:after="120" w:before="280"/>
      </w:pPr>
      <w:r>
        <w:rPr>
          <w:rFonts w:ascii="Arial" w:cs="Arial" w:eastAsia="Arial" w:hAnsi="Arial"/>
          <w:b/>
          <w:bCs/>
          <w:color w:val="2E6DB4"/>
          <w:sz w:val="26"/>
          <w:szCs w:val="26"/>
        </w:rPr>
        <w:t xml:space="preserve">5.2 Module 2 — Résultats complets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800"/>
        <w:gridCol w:w="1200"/>
      </w:tblGrid>
      <w:tr>
        <w:tc>
          <w:tcPr>
            <w:tcW w:type="dxa" w:w="28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Modèle</w:t>
            </w:r>
          </w:p>
        </w:tc>
        <w:tc>
          <w:tcPr>
            <w:tcW w:type="dxa" w:w="16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Accuracy</w:t>
            </w:r>
          </w:p>
        </w:tc>
        <w:tc>
          <w:tcPr>
            <w:tcW w:type="dxa" w:w="16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 Macro</w:t>
            </w:r>
          </w:p>
        </w:tc>
        <w:tc>
          <w:tcPr>
            <w:tcW w:type="dxa" w:w="18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Recall Change</w:t>
            </w:r>
          </w:p>
        </w:tc>
        <w:tc>
          <w:tcPr>
            <w:tcW w:type="dxa" w:w="12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Statut</w:t>
            </w:r>
          </w:p>
        </w:tc>
      </w:tr>
      <w:tr>
        <w:tc>
          <w:tcPr>
            <w:tcW w:type="dxa" w:w="2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TF-IDF + LR (Baseline)</w:t>
            </w:r>
          </w:p>
        </w:tc>
        <w:tc>
          <w:tcPr>
            <w:tcW w:type="dxa" w:w="1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73,54%</w:t>
            </w:r>
          </w:p>
        </w:tc>
        <w:tc>
          <w:tcPr>
            <w:tcW w:type="dxa" w:w="1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0.7300</w:t>
            </w:r>
          </w:p>
        </w:tc>
        <w:tc>
          <w:tcPr>
            <w:tcW w:type="dxa" w:w="1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0.8145</w:t>
            </w:r>
          </w:p>
        </w:tc>
        <w:tc>
          <w:tcPr>
            <w:tcW w:type="dxa" w:w="1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Run 1</w:t>
            </w:r>
          </w:p>
        </w:tc>
      </w:tr>
      <w:tr>
        <w:tc>
          <w:tcPr>
            <w:tcW w:type="dxa" w:w="28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XLM-RoBERTa V1</w:t>
            </w:r>
          </w:p>
        </w:tc>
        <w:tc>
          <w:tcPr>
            <w:tcW w:type="dxa" w:w="16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71,56%</w:t>
            </w:r>
          </w:p>
        </w:tc>
        <w:tc>
          <w:tcPr>
            <w:tcW w:type="dxa" w:w="16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0.7332</w:t>
            </w:r>
          </w:p>
        </w:tc>
        <w:tc>
          <w:tcPr>
            <w:tcW w:type="dxa" w:w="18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0.8024</w:t>
            </w:r>
          </w:p>
        </w:tc>
        <w:tc>
          <w:tcPr>
            <w:tcW w:type="dxa" w:w="12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Run 2</w:t>
            </w:r>
          </w:p>
        </w:tc>
      </w:tr>
      <w:tr>
        <w:tc>
          <w:tcPr>
            <w:tcW w:type="dxa" w:w="2800"/>
            <w:tcBorders>
              <w:top w:val="single" w:color="C0C8D8" w:sz="1"/>
              <w:left w:val="single" w:color="C0C8D8" w:sz="1"/>
              <w:bottom w:val="single" w:color="C0C8D8" w:sz="1"/>
              <w:right w:val="single" w:color="C0C8D8" w:sz="1"/>
            </w:tcBorders>
            <w:shd w:fill="D6E4F7" w:val="clear"/>
            <w:tcMar>
              <w:top w:type="dxa" w:w="80"/>
              <w:left w:type="dxa" w:w="120"/>
              <w:bottom w:type="dxa" w:w="80"/>
              <w:right w:type="dxa" w:w="120"/>
            </w:tcMar>
          </w:tcPr>
          <w:p>
            <w:pPr>
              <w:jc w:val="left"/>
            </w:pPr>
            <w:r>
              <w:rPr>
                <w:rFonts w:ascii="Arial" w:cs="Arial" w:eastAsia="Arial" w:hAnsi="Arial"/>
                <w:b/>
                <w:bCs/>
                <w:color w:val="2C2C2C"/>
                <w:sz w:val="20"/>
                <w:szCs w:val="20"/>
              </w:rPr>
              <w:t xml:space="preserve">XLM-RoBERTa V2</w:t>
            </w:r>
          </w:p>
        </w:tc>
        <w:tc>
          <w:tcPr>
            <w:tcW w:type="dxa" w:w="1600"/>
            <w:tcBorders>
              <w:top w:val="single" w:color="C0C8D8" w:sz="1"/>
              <w:left w:val="single" w:color="C0C8D8" w:sz="1"/>
              <w:bottom w:val="single" w:color="C0C8D8" w:sz="1"/>
              <w:right w:val="single" w:color="C0C8D8" w:sz="1"/>
            </w:tcBorders>
            <w:shd w:fill="D6E4F7"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75,43%</w:t>
            </w:r>
          </w:p>
        </w:tc>
        <w:tc>
          <w:tcPr>
            <w:tcW w:type="dxa" w:w="1600"/>
            <w:tcBorders>
              <w:top w:val="single" w:color="C0C8D8" w:sz="1"/>
              <w:left w:val="single" w:color="C0C8D8" w:sz="1"/>
              <w:bottom w:val="single" w:color="C0C8D8" w:sz="1"/>
              <w:right w:val="single" w:color="C0C8D8" w:sz="1"/>
            </w:tcBorders>
            <w:shd w:fill="D6E4F7"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0.7000</w:t>
            </w:r>
          </w:p>
        </w:tc>
        <w:tc>
          <w:tcPr>
            <w:tcW w:type="dxa" w:w="1800"/>
            <w:tcBorders>
              <w:top w:val="single" w:color="C0C8D8" w:sz="1"/>
              <w:left w:val="single" w:color="C0C8D8" w:sz="1"/>
              <w:bottom w:val="single" w:color="C0C8D8" w:sz="1"/>
              <w:right w:val="single" w:color="C0C8D8" w:sz="1"/>
            </w:tcBorders>
            <w:shd w:fill="D6E4F7" w:val="clear"/>
            <w:tcMar>
              <w:top w:type="dxa" w:w="80"/>
              <w:left w:type="dxa" w:w="120"/>
              <w:bottom w:type="dxa" w:w="80"/>
              <w:right w:type="dxa" w:w="120"/>
            </w:tcMar>
          </w:tcPr>
          <w:p>
            <w:pPr>
              <w:jc w:val="center"/>
            </w:pPr>
            <w:r>
              <w:rPr>
                <w:rFonts w:ascii="Arial" w:cs="Arial" w:eastAsia="Arial" w:hAnsi="Arial"/>
                <w:b/>
                <w:bCs/>
                <w:color w:val="2C2C2C"/>
                <w:sz w:val="20"/>
                <w:szCs w:val="20"/>
              </w:rPr>
              <w:t xml:space="preserve">0.8306</w:t>
            </w:r>
          </w:p>
        </w:tc>
        <w:tc>
          <w:tcPr>
            <w:tcW w:type="dxa" w:w="1200"/>
            <w:tcBorders>
              <w:top w:val="single" w:color="C0C8D8" w:sz="1"/>
              <w:left w:val="single" w:color="C0C8D8" w:sz="1"/>
              <w:bottom w:val="single" w:color="C0C8D8" w:sz="1"/>
              <w:right w:val="single" w:color="C0C8D8" w:sz="1"/>
            </w:tcBorders>
            <w:shd w:fill="D6E4F7"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 Run 3</w:t>
            </w:r>
          </w:p>
        </w:tc>
      </w:tr>
    </w:tbl>
    <w:p>
      <w:pPr>
        <w:spacing w:after="60"/>
      </w:pPr>
    </w:p>
    <w:p>
      <w:pPr>
        <w:spacing w:after="120" w:before="60"/>
      </w:pPr>
      <w:r>
        <w:rPr>
          <w:rFonts w:ascii="Arial" w:cs="Arial" w:eastAsia="Arial" w:hAnsi="Arial"/>
          <w:b w:val="false"/>
          <w:bCs w:val="false"/>
          <w:i w:val="false"/>
          <w:iCs w:val="false"/>
          <w:color w:val="2C2C2C"/>
          <w:sz w:val="22"/>
          <w:szCs w:val="22"/>
        </w:rPr>
        <w:t xml:space="preserve">Rapport de classification V2 sur test set (2 475 messages) :</w:t>
      </w:r>
    </w:p>
    <w:p>
      <w:pPr>
        <w:pStyle w:val="ListParagraph"/>
        <w:numPr>
          <w:ilvl w:val="0"/>
          <w:numId w:val="2"/>
        </w:numPr>
        <w:spacing w:after="80"/>
      </w:pPr>
      <w:r>
        <w:rPr>
          <w:rFonts w:ascii="Arial" w:cs="Arial" w:eastAsia="Arial" w:hAnsi="Arial"/>
          <w:color w:val="2C2C2C"/>
          <w:sz w:val="22"/>
          <w:szCs w:val="22"/>
        </w:rPr>
        <w:t xml:space="preserve">Incident : precision=0.75, recall=0.58, f1=0.65 — classe difficile à délimiter</w:t>
      </w:r>
    </w:p>
    <w:p>
      <w:pPr>
        <w:pStyle w:val="ListParagraph"/>
        <w:numPr>
          <w:ilvl w:val="0"/>
          <w:numId w:val="2"/>
        </w:numPr>
        <w:spacing w:after="80"/>
      </w:pPr>
      <w:r>
        <w:rPr>
          <w:rFonts w:ascii="Arial" w:cs="Arial" w:eastAsia="Arial" w:hAnsi="Arial"/>
          <w:color w:val="2C2C2C"/>
          <w:sz w:val="22"/>
          <w:szCs w:val="22"/>
        </w:rPr>
        <w:t xml:space="preserve">Request : precision=0.90, recall=0.95, f1=0.92 — très bien classifiée</w:t>
      </w:r>
    </w:p>
    <w:p>
      <w:pPr>
        <w:pStyle w:val="ListParagraph"/>
        <w:numPr>
          <w:ilvl w:val="0"/>
          <w:numId w:val="2"/>
        </w:numPr>
        <w:spacing w:after="80"/>
      </w:pPr>
      <w:r>
        <w:rPr>
          <w:rFonts w:ascii="Arial" w:cs="Arial" w:eastAsia="Arial" w:hAnsi="Arial"/>
          <w:color w:val="2C2C2C"/>
          <w:sz w:val="22"/>
          <w:szCs w:val="22"/>
        </w:rPr>
        <w:t xml:space="preserve">Problem : precision=0.44, recall=0.62, f1=0.52 — classe avec chevauchement sémantique</w:t>
      </w:r>
    </w:p>
    <w:p>
      <w:pPr>
        <w:pStyle w:val="ListParagraph"/>
        <w:numPr>
          <w:ilvl w:val="0"/>
          <w:numId w:val="2"/>
        </w:numPr>
        <w:spacing w:after="80"/>
      </w:pPr>
      <w:r>
        <w:rPr>
          <w:rFonts w:ascii="Arial" w:cs="Arial" w:eastAsia="Arial" w:hAnsi="Arial"/>
          <w:color w:val="2C2C2C"/>
          <w:sz w:val="22"/>
          <w:szCs w:val="22"/>
        </w:rPr>
        <w:t xml:space="preserve">Change : precision=0.88, recall=0.83, f1=0.84 — objectif atteint</w:t>
      </w:r>
    </w:p>
    <w:p>
      <w:pPr>
        <w:spacing w:after="60"/>
      </w:pPr>
    </w:p>
    <w:p>
      <w:pPr>
        <w:pStyle w:val="Heading2"/>
        <w:spacing w:after="120" w:before="280"/>
      </w:pPr>
      <w:r>
        <w:rPr>
          <w:rFonts w:ascii="Arial" w:cs="Arial" w:eastAsia="Arial" w:hAnsi="Arial"/>
          <w:b/>
          <w:bCs/>
          <w:color w:val="2E6DB4"/>
          <w:sz w:val="26"/>
          <w:szCs w:val="26"/>
        </w:rPr>
        <w:t xml:space="preserve">5.3 Module 3 — Démonstration qualitative</w:t>
      </w:r>
    </w:p>
    <w:p>
      <w:pPr>
        <w:spacing w:after="120" w:before="60"/>
      </w:pPr>
      <w:r>
        <w:rPr>
          <w:rFonts w:ascii="Arial" w:cs="Arial" w:eastAsia="Arial" w:hAnsi="Arial"/>
          <w:b w:val="false"/>
          <w:bCs w:val="false"/>
          <w:i w:val="false"/>
          <w:iCs w:val="false"/>
          <w:color w:val="2C2C2C"/>
          <w:sz w:val="22"/>
          <w:szCs w:val="22"/>
        </w:rPr>
        <w:t xml:space="preserve">La démonstration multi-tours (5 messages enchaînés) confirme le bon fonctionnement de la mémoire de session :</w:t>
      </w:r>
    </w:p>
    <w:p>
      <w:pPr>
        <w:pStyle w:val="ListParagraph"/>
        <w:numPr>
          <w:ilvl w:val="0"/>
          <w:numId w:val="2"/>
        </w:numPr>
        <w:spacing w:after="80"/>
      </w:pPr>
      <w:r>
        <w:rPr>
          <w:rFonts w:ascii="Arial" w:cs="Arial" w:eastAsia="Arial" w:hAnsi="Arial"/>
          <w:color w:val="2C2C2C"/>
          <w:sz w:val="22"/>
          <w:szCs w:val="22"/>
        </w:rPr>
        <w:t xml:space="preserve">Tour 1 (EN) : "Hi, my order #45892 hasn't arrived yet" → type ORDER, urgence URGENT</w:t>
      </w:r>
    </w:p>
    <w:p>
      <w:pPr>
        <w:pStyle w:val="ListParagraph"/>
        <w:numPr>
          <w:ilvl w:val="0"/>
          <w:numId w:val="2"/>
        </w:numPr>
        <w:spacing w:after="80"/>
      </w:pPr>
      <w:r>
        <w:rPr>
          <w:rFonts w:ascii="Arial" w:cs="Arial" w:eastAsia="Arial" w:hAnsi="Arial"/>
          <w:color w:val="2C2C2C"/>
          <w:sz w:val="22"/>
          <w:szCs w:val="22"/>
        </w:rPr>
        <w:t xml:space="preserve">Tour 2 (EN) : Question adresse → type SHIPPING, contexte ORDER conservé</w:t>
      </w:r>
    </w:p>
    <w:p>
      <w:pPr>
        <w:pStyle w:val="ListParagraph"/>
        <w:numPr>
          <w:ilvl w:val="0"/>
          <w:numId w:val="2"/>
        </w:numPr>
        <w:spacing w:after="80"/>
      </w:pPr>
      <w:r>
        <w:rPr>
          <w:rFonts w:ascii="Arial" w:cs="Arial" w:eastAsia="Arial" w:hAnsi="Arial"/>
          <w:color w:val="2C2C2C"/>
          <w:sz w:val="22"/>
          <w:szCs w:val="22"/>
        </w:rPr>
        <w:t xml:space="preserve">Tour 3 (EN) : Double paiement → type PAYMENT, historique ORDER+SHIPPING mémorisé</w:t>
      </w:r>
    </w:p>
    <w:p>
      <w:pPr>
        <w:pStyle w:val="ListParagraph"/>
        <w:numPr>
          <w:ilvl w:val="0"/>
          <w:numId w:val="2"/>
        </w:numPr>
        <w:spacing w:after="80"/>
      </w:pPr>
      <w:r>
        <w:rPr>
          <w:rFonts w:ascii="Arial" w:cs="Arial" w:eastAsia="Arial" w:hAnsi="Arial"/>
          <w:color w:val="2C2C2C"/>
          <w:sz w:val="22"/>
          <w:szCs w:val="22"/>
        </w:rPr>
        <w:t xml:space="preserve">Tour 4 (FR) : "Merci pour votre aide. Quand mon remboursement ?" → réponse en FRANÇAIS</w:t>
      </w:r>
    </w:p>
    <w:p>
      <w:pPr>
        <w:pStyle w:val="ListParagraph"/>
        <w:numPr>
          <w:ilvl w:val="0"/>
          <w:numId w:val="2"/>
        </w:numPr>
        <w:spacing w:after="80"/>
      </w:pPr>
      <w:r>
        <w:rPr>
          <w:rFonts w:ascii="Arial" w:cs="Arial" w:eastAsia="Arial" w:hAnsi="Arial"/>
          <w:color w:val="2C2C2C"/>
          <w:sz w:val="22"/>
          <w:szCs w:val="22"/>
        </w:rPr>
        <w:t xml:space="preserve">Tour 5 (EN) : Résumé → agent confirme les 2 problèmes adressés correctement</w:t>
      </w:r>
    </w:p>
    <w:p>
      <w:pPr>
        <w:spacing w:after="60"/>
      </w:pPr>
    </w:p>
    <w:p>
      <w:pPr>
        <w:spacing w:after="120" w:before="60"/>
      </w:pPr>
      <w:r>
        <w:rPr>
          <w:rFonts w:ascii="Arial" w:cs="Arial" w:eastAsia="Arial" w:hAnsi="Arial"/>
          <w:b w:val="false"/>
          <w:bCs w:val="false"/>
          <w:i w:val="false"/>
          <w:iCs w:val="false"/>
          <w:color w:val="2C2C2C"/>
          <w:sz w:val="22"/>
          <w:szCs w:val="22"/>
        </w:rPr>
        <w:t xml:space="preserve">La validation HITL sur 4 tickets démontre la génération de réponses professionnelles et contextuelles, avec basculement automatique FR/EN selon la langue du client.</w:t>
      </w:r>
    </w:p>
    <w:p>
      <w:r>
        <w:br w:type="page"/>
      </w:r>
    </w:p>
    <w:p>
      <w:pPr>
        <w:pStyle w:val="Heading1"/>
        <w:pBdr>
          <w:bottom w:val="single" w:color="2E6DB4" w:sz="6" w:space="6"/>
        </w:pBdr>
        <w:spacing w:after="180" w:before="360"/>
      </w:pPr>
      <w:r>
        <w:rPr>
          <w:rFonts w:ascii="Arial" w:cs="Arial" w:eastAsia="Arial" w:hAnsi="Arial"/>
          <w:b/>
          <w:bCs/>
          <w:color w:val="1B3A6B"/>
          <w:sz w:val="32"/>
          <w:szCs w:val="32"/>
        </w:rPr>
        <w:t xml:space="preserve">6. Architecture et déploiement</w:t>
      </w:r>
    </w:p>
    <w:p>
      <w:pPr>
        <w:pStyle w:val="Heading2"/>
        <w:spacing w:after="120" w:before="280"/>
      </w:pPr>
      <w:r>
        <w:rPr>
          <w:rFonts w:ascii="Arial" w:cs="Arial" w:eastAsia="Arial" w:hAnsi="Arial"/>
          <w:b/>
          <w:bCs/>
          <w:color w:val="2E6DB4"/>
          <w:sz w:val="26"/>
          <w:szCs w:val="26"/>
        </w:rPr>
        <w:t xml:space="preserve">6.1 Architecture logicielle</w:t>
      </w:r>
    </w:p>
    <w:p>
      <w:pPr>
        <w:spacing w:after="120" w:before="60"/>
      </w:pPr>
      <w:r>
        <w:rPr>
          <w:rFonts w:ascii="Arial" w:cs="Arial" w:eastAsia="Arial" w:hAnsi="Arial"/>
          <w:b w:val="false"/>
          <w:bCs w:val="false"/>
          <w:i w:val="false"/>
          <w:iCs w:val="false"/>
          <w:color w:val="2C2C2C"/>
          <w:sz w:val="22"/>
          <w:szCs w:val="22"/>
        </w:rPr>
        <w:t xml:space="preserve">Le pipeline final suit une architecture séquentielle modulaire :</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00"/>
      </w:tblGrid>
      <w:tr>
        <w:tc>
          <w:tcPr>
            <w:tcW w:type="dxa" w:w="18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Composant</w:t>
            </w:r>
          </w:p>
        </w:tc>
        <w:tc>
          <w:tcPr>
            <w:tcW w:type="dxa" w:w="22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Technologie</w:t>
            </w:r>
          </w:p>
        </w:tc>
        <w:tc>
          <w:tcPr>
            <w:tcW w:type="dxa" w:w="50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Rôle</w:t>
            </w:r>
          </w:p>
        </w:tc>
      </w:tr>
      <w:tr>
        <w:tc>
          <w:tcPr>
            <w:tcW w:type="dxa" w:w="1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Détection langue</w:t>
            </w:r>
          </w:p>
        </w:tc>
        <w:tc>
          <w:tcPr>
            <w:tcW w:type="dxa" w:w="2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langdetect + heuristique</w:t>
            </w:r>
          </w:p>
        </w:tc>
        <w:tc>
          <w:tcPr>
            <w:tcW w:type="dxa" w:w="5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Identifier FR ou EN dès le premier message</w:t>
            </w:r>
          </w:p>
        </w:tc>
      </w:tr>
      <w:tr>
        <w:tc>
          <w:tcPr>
            <w:tcW w:type="dxa" w:w="18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Module 1</w:t>
            </w:r>
          </w:p>
        </w:tc>
        <w:tc>
          <w:tcPr>
            <w:tcW w:type="dxa" w:w="22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XLM-RoBERTa fine-tuné</w:t>
            </w:r>
          </w:p>
        </w:tc>
        <w:tc>
          <w:tcPr>
            <w:tcW w:type="dxa" w:w="50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Classifier le type de message (11 classes)</w:t>
            </w:r>
          </w:p>
        </w:tc>
      </w:tr>
      <w:tr>
        <w:tc>
          <w:tcPr>
            <w:tcW w:type="dxa" w:w="1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Module 2</w:t>
            </w:r>
          </w:p>
        </w:tc>
        <w:tc>
          <w:tcPr>
            <w:tcW w:type="dxa" w:w="2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XLM-RoBERTa WeightedTrainer</w:t>
            </w:r>
          </w:p>
        </w:tc>
        <w:tc>
          <w:tcPr>
            <w:tcW w:type="dxa" w:w="5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Classifier le niveau d'urgence (4 niveaux)</w:t>
            </w:r>
          </w:p>
        </w:tc>
      </w:tr>
      <w:tr>
        <w:tc>
          <w:tcPr>
            <w:tcW w:type="dxa" w:w="18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RAG Retriever</w:t>
            </w:r>
          </w:p>
        </w:tc>
        <w:tc>
          <w:tcPr>
            <w:tcW w:type="dxa" w:w="22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BM25 + FAISS + MiniLM</w:t>
            </w:r>
          </w:p>
        </w:tc>
        <w:tc>
          <w:tcPr>
            <w:tcW w:type="dxa" w:w="50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Récupérer les 3 contextes les plus pertinents</w:t>
            </w:r>
          </w:p>
        </w:tc>
      </w:tr>
      <w:tr>
        <w:tc>
          <w:tcPr>
            <w:tcW w:type="dxa" w:w="1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LLM</w:t>
            </w:r>
          </w:p>
        </w:tc>
        <w:tc>
          <w:tcPr>
            <w:tcW w:type="dxa" w:w="2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Groq API (Llama-3.1-8b)</w:t>
            </w:r>
          </w:p>
        </w:tc>
        <w:tc>
          <w:tcPr>
            <w:tcW w:type="dxa" w:w="5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Générer la suggestion de réponse</w:t>
            </w:r>
          </w:p>
        </w:tc>
      </w:tr>
      <w:tr>
        <w:tc>
          <w:tcPr>
            <w:tcW w:type="dxa" w:w="18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HITL</w:t>
            </w:r>
          </w:p>
        </w:tc>
        <w:tc>
          <w:tcPr>
            <w:tcW w:type="dxa" w:w="22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Interface interactive</w:t>
            </w:r>
          </w:p>
        </w:tc>
        <w:tc>
          <w:tcPr>
            <w:tcW w:type="dxa" w:w="50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Validation humaine avant envoi (Accepter/Modifier/Rejeter)</w:t>
            </w:r>
          </w:p>
        </w:tc>
      </w:tr>
      <w:tr>
        <w:tc>
          <w:tcPr>
            <w:tcW w:type="dxa" w:w="1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Mémoire</w:t>
            </w:r>
          </w:p>
        </w:tc>
        <w:tc>
          <w:tcPr>
            <w:tcW w:type="dxa" w:w="2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ConversationManager</w:t>
            </w:r>
          </w:p>
        </w:tc>
        <w:tc>
          <w:tcPr>
            <w:tcW w:type="dxa" w:w="5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Historique multi-tours + compression automatique &gt; 10 tours</w:t>
            </w:r>
          </w:p>
        </w:tc>
      </w:tr>
    </w:tbl>
    <w:p>
      <w:pPr>
        <w:spacing w:after="60"/>
      </w:pPr>
    </w:p>
    <w:p>
      <w:pPr>
        <w:pStyle w:val="Heading2"/>
        <w:spacing w:after="120" w:before="280"/>
      </w:pPr>
      <w:r>
        <w:rPr>
          <w:rFonts w:ascii="Arial" w:cs="Arial" w:eastAsia="Arial" w:hAnsi="Arial"/>
          <w:b/>
          <w:bCs/>
          <w:color w:val="2E6DB4"/>
          <w:sz w:val="26"/>
          <w:szCs w:val="26"/>
        </w:rPr>
        <w:t xml:space="preserve">6.2 Environnement d'exécution</w:t>
      </w:r>
    </w:p>
    <w:p>
      <w:pPr>
        <w:pStyle w:val="ListParagraph"/>
        <w:numPr>
          <w:ilvl w:val="0"/>
          <w:numId w:val="2"/>
        </w:numPr>
        <w:spacing w:after="80"/>
      </w:pPr>
      <w:r>
        <w:rPr>
          <w:rFonts w:ascii="Arial" w:cs="Arial" w:eastAsia="Arial" w:hAnsi="Arial"/>
          <w:color w:val="2C2C2C"/>
          <w:sz w:val="22"/>
          <w:szCs w:val="22"/>
        </w:rPr>
        <w:t xml:space="preserve">Google Colab Pro — GPU Tesla T4 (15,6 GB VRAM), PyTorch 2.10.0+cu128</w:t>
      </w:r>
    </w:p>
    <w:p>
      <w:pPr>
        <w:pStyle w:val="ListParagraph"/>
        <w:numPr>
          <w:ilvl w:val="0"/>
          <w:numId w:val="2"/>
        </w:numPr>
        <w:spacing w:after="80"/>
      </w:pPr>
      <w:r>
        <w:rPr>
          <w:rFonts w:ascii="Arial" w:cs="Arial" w:eastAsia="Arial" w:hAnsi="Arial"/>
          <w:color w:val="2C2C2C"/>
          <w:sz w:val="22"/>
          <w:szCs w:val="22"/>
        </w:rPr>
        <w:t xml:space="preserve">Stockage : Google Drive (Capstone_IA_Groupe8/) — modèles, données, figures, outputs</w:t>
      </w:r>
    </w:p>
    <w:p>
      <w:pPr>
        <w:pStyle w:val="ListParagraph"/>
        <w:numPr>
          <w:ilvl w:val="0"/>
          <w:numId w:val="2"/>
        </w:numPr>
        <w:spacing w:after="80"/>
      </w:pPr>
      <w:r>
        <w:rPr>
          <w:rFonts w:ascii="Arial" w:cs="Arial" w:eastAsia="Arial" w:hAnsi="Arial"/>
          <w:color w:val="2C2C2C"/>
          <w:sz w:val="22"/>
          <w:szCs w:val="22"/>
        </w:rPr>
        <w:t xml:space="preserve">Traçabilité : MLflow + DagsHub (boulkaraamohamedramy/capstone-ia-groupe8.mlflow)</w:t>
      </w:r>
    </w:p>
    <w:p>
      <w:pPr>
        <w:pStyle w:val="ListParagraph"/>
        <w:numPr>
          <w:ilvl w:val="0"/>
          <w:numId w:val="2"/>
        </w:numPr>
        <w:spacing w:after="80"/>
      </w:pPr>
      <w:r>
        <w:rPr>
          <w:rFonts w:ascii="Arial" w:cs="Arial" w:eastAsia="Arial" w:hAnsi="Arial"/>
          <w:color w:val="2C2C2C"/>
          <w:sz w:val="22"/>
          <w:szCs w:val="22"/>
        </w:rPr>
        <w:t xml:space="preserve">Code source : GitHub public — 3 notebooks Jupyter (un par module)</w:t>
      </w:r>
    </w:p>
    <w:p>
      <w:pPr>
        <w:spacing w:after="60"/>
      </w:pPr>
    </w:p>
    <w:p>
      <w:pPr>
        <w:pStyle w:val="Heading2"/>
        <w:spacing w:after="120" w:before="280"/>
      </w:pPr>
      <w:r>
        <w:rPr>
          <w:rFonts w:ascii="Arial" w:cs="Arial" w:eastAsia="Arial" w:hAnsi="Arial"/>
          <w:b/>
          <w:bCs/>
          <w:color w:val="2E6DB4"/>
          <w:sz w:val="26"/>
          <w:szCs w:val="26"/>
        </w:rPr>
        <w:t xml:space="preserve">6.3 Traçabilité MLflow — 9 runs enregistrés</w:t>
      </w:r>
    </w:p>
    <w:p>
      <w:pPr>
        <w:spacing w:after="120" w:before="60"/>
      </w:pPr>
      <w:r>
        <w:rPr>
          <w:rFonts w:ascii="Arial" w:cs="Arial" w:eastAsia="Arial" w:hAnsi="Arial"/>
          <w:b w:val="false"/>
          <w:bCs w:val="false"/>
          <w:i w:val="false"/>
          <w:iCs w:val="false"/>
          <w:color w:val="2C2C2C"/>
          <w:sz w:val="22"/>
          <w:szCs w:val="22"/>
        </w:rPr>
        <w:t xml:space="preserve">Tous les runs sont accessibles publiquement sur DagsHub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4800"/>
      </w:tblGrid>
      <w:tr>
        <w:tc>
          <w:tcPr>
            <w:tcW w:type="dxa" w:w="12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Module</w:t>
            </w:r>
          </w:p>
        </w:tc>
        <w:tc>
          <w:tcPr>
            <w:tcW w:type="dxa" w:w="30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Run</w:t>
            </w:r>
          </w:p>
        </w:tc>
        <w:tc>
          <w:tcPr>
            <w:tcW w:type="dxa" w:w="48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Métriques clés</w:t>
            </w:r>
          </w:p>
        </w:tc>
      </w:tr>
      <w:tr>
        <w:tc>
          <w:tcPr>
            <w:tcW w:type="dxa" w:w="1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M1</w:t>
            </w:r>
          </w:p>
        </w:tc>
        <w:tc>
          <w:tcPr>
            <w:tcW w:type="dxa" w:w="3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Run1_Baseline_TFIDF</w:t>
            </w:r>
          </w:p>
        </w:tc>
        <w:tc>
          <w:tcPr>
            <w:tcW w:type="dxa" w:w="4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accuracy=0.999, f1=0.999</w:t>
            </w:r>
          </w:p>
        </w:tc>
      </w:tr>
      <w:tr>
        <w:tc>
          <w:tcPr>
            <w:tcW w:type="dxa" w:w="12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M1</w:t>
            </w:r>
          </w:p>
        </w:tc>
        <w:tc>
          <w:tcPr>
            <w:tcW w:type="dxa" w:w="30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Run2_XLM_RoBERTa_V1</w:t>
            </w:r>
          </w:p>
        </w:tc>
        <w:tc>
          <w:tcPr>
            <w:tcW w:type="dxa" w:w="48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accuracy=0.999, f1=0.999</w:t>
            </w:r>
          </w:p>
        </w:tc>
      </w:tr>
      <w:tr>
        <w:tc>
          <w:tcPr>
            <w:tcW w:type="dxa" w:w="1200"/>
            <w:tcBorders>
              <w:top w:val="single" w:color="C0C8D8" w:sz="1"/>
              <w:left w:val="single" w:color="C0C8D8" w:sz="1"/>
              <w:bottom w:val="single" w:color="C0C8D8" w:sz="1"/>
              <w:right w:val="single" w:color="C0C8D8" w:sz="1"/>
            </w:tcBorders>
            <w:shd w:fill="D6E4F7"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M1</w:t>
            </w:r>
          </w:p>
        </w:tc>
        <w:tc>
          <w:tcPr>
            <w:tcW w:type="dxa" w:w="3000"/>
            <w:tcBorders>
              <w:top w:val="single" w:color="C0C8D8" w:sz="1"/>
              <w:left w:val="single" w:color="C0C8D8" w:sz="1"/>
              <w:bottom w:val="single" w:color="C0C8D8" w:sz="1"/>
              <w:right w:val="single" w:color="C0C8D8" w:sz="1"/>
            </w:tcBorders>
            <w:shd w:fill="D6E4F7"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Run3_XLM_RoBERTa_V2_FINAL ✅</w:t>
            </w:r>
          </w:p>
        </w:tc>
        <w:tc>
          <w:tcPr>
            <w:tcW w:type="dxa" w:w="4800"/>
            <w:tcBorders>
              <w:top w:val="single" w:color="C0C8D8" w:sz="1"/>
              <w:left w:val="single" w:color="C0C8D8" w:sz="1"/>
              <w:bottom w:val="single" w:color="C0C8D8" w:sz="1"/>
              <w:right w:val="single" w:color="C0C8D8" w:sz="1"/>
            </w:tcBorders>
            <w:shd w:fill="D6E4F7"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accuracy=1.000, f1=1.000</w:t>
            </w:r>
          </w:p>
        </w:tc>
      </w:tr>
      <w:tr>
        <w:tc>
          <w:tcPr>
            <w:tcW w:type="dxa" w:w="1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M2</w:t>
            </w:r>
          </w:p>
        </w:tc>
        <w:tc>
          <w:tcPr>
            <w:tcW w:type="dxa" w:w="3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Run1_Baseline_TFIDF</w:t>
            </w:r>
          </w:p>
        </w:tc>
        <w:tc>
          <w:tcPr>
            <w:tcW w:type="dxa" w:w="4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accuracy=0.7358, f1=0.7313, recall_crit=0.8185</w:t>
            </w:r>
          </w:p>
        </w:tc>
      </w:tr>
      <w:tr>
        <w:tc>
          <w:tcPr>
            <w:tcW w:type="dxa" w:w="12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M2</w:t>
            </w:r>
          </w:p>
        </w:tc>
        <w:tc>
          <w:tcPr>
            <w:tcW w:type="dxa" w:w="30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Run2_XLM_RoBERTa_V1</w:t>
            </w:r>
          </w:p>
        </w:tc>
        <w:tc>
          <w:tcPr>
            <w:tcW w:type="dxa" w:w="48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accuracy=0.7156, f1=0.7332, recall_crit=0.8024</w:t>
            </w:r>
          </w:p>
        </w:tc>
      </w:tr>
      <w:tr>
        <w:tc>
          <w:tcPr>
            <w:tcW w:type="dxa" w:w="1200"/>
            <w:tcBorders>
              <w:top w:val="single" w:color="C0C8D8" w:sz="1"/>
              <w:left w:val="single" w:color="C0C8D8" w:sz="1"/>
              <w:bottom w:val="single" w:color="C0C8D8" w:sz="1"/>
              <w:right w:val="single" w:color="C0C8D8" w:sz="1"/>
            </w:tcBorders>
            <w:shd w:fill="D6E4F7"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M2</w:t>
            </w:r>
          </w:p>
        </w:tc>
        <w:tc>
          <w:tcPr>
            <w:tcW w:type="dxa" w:w="3000"/>
            <w:tcBorders>
              <w:top w:val="single" w:color="C0C8D8" w:sz="1"/>
              <w:left w:val="single" w:color="C0C8D8" w:sz="1"/>
              <w:bottom w:val="single" w:color="C0C8D8" w:sz="1"/>
              <w:right w:val="single" w:color="C0C8D8" w:sz="1"/>
            </w:tcBorders>
            <w:shd w:fill="D6E4F7"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Run3_XLM_RoBERTa_V2_FINAL ✅</w:t>
            </w:r>
          </w:p>
        </w:tc>
        <w:tc>
          <w:tcPr>
            <w:tcW w:type="dxa" w:w="4800"/>
            <w:tcBorders>
              <w:top w:val="single" w:color="C0C8D8" w:sz="1"/>
              <w:left w:val="single" w:color="C0C8D8" w:sz="1"/>
              <w:bottom w:val="single" w:color="C0C8D8" w:sz="1"/>
              <w:right w:val="single" w:color="C0C8D8" w:sz="1"/>
            </w:tcBorders>
            <w:shd w:fill="D6E4F7"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accuracy=0.7543, f1=0.7000, recall_crit=0.8306</w:t>
            </w:r>
          </w:p>
        </w:tc>
      </w:tr>
      <w:tr>
        <w:tc>
          <w:tcPr>
            <w:tcW w:type="dxa" w:w="1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M3</w:t>
            </w:r>
          </w:p>
        </w:tc>
        <w:tc>
          <w:tcPr>
            <w:tcW w:type="dxa" w:w="3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Run1_ZeroShot_Baseline</w:t>
            </w:r>
          </w:p>
        </w:tc>
        <w:tc>
          <w:tcPr>
            <w:tcW w:type="dxa" w:w="4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rouge_l=0.0642, bleu=0.0074</w:t>
            </w:r>
          </w:p>
        </w:tc>
      </w:tr>
      <w:tr>
        <w:tc>
          <w:tcPr>
            <w:tcW w:type="dxa" w:w="12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M3</w:t>
            </w:r>
          </w:p>
        </w:tc>
        <w:tc>
          <w:tcPr>
            <w:tcW w:type="dxa" w:w="30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Run2_FewShot_3exemples</w:t>
            </w:r>
          </w:p>
        </w:tc>
        <w:tc>
          <w:tcPr>
            <w:tcW w:type="dxa" w:w="48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rouge_l=0.8890*, bleu=0.8290*</w:t>
            </w:r>
          </w:p>
        </w:tc>
      </w:tr>
      <w:tr>
        <w:tc>
          <w:tcPr>
            <w:tcW w:type="dxa" w:w="1200"/>
            <w:tcBorders>
              <w:top w:val="single" w:color="C0C8D8" w:sz="1"/>
              <w:left w:val="single" w:color="C0C8D8" w:sz="1"/>
              <w:bottom w:val="single" w:color="C0C8D8" w:sz="1"/>
              <w:right w:val="single" w:color="C0C8D8" w:sz="1"/>
            </w:tcBorders>
            <w:shd w:fill="D6E4F7"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M3</w:t>
            </w:r>
          </w:p>
        </w:tc>
        <w:tc>
          <w:tcPr>
            <w:tcW w:type="dxa" w:w="3000"/>
            <w:tcBorders>
              <w:top w:val="single" w:color="C0C8D8" w:sz="1"/>
              <w:left w:val="single" w:color="C0C8D8" w:sz="1"/>
              <w:bottom w:val="single" w:color="C0C8D8" w:sz="1"/>
              <w:right w:val="single" w:color="C0C8D8" w:sz="1"/>
            </w:tcBorders>
            <w:shd w:fill="D6E4F7"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Run3_Pipeline_Complet_FINAL ✅</w:t>
            </w:r>
          </w:p>
        </w:tc>
        <w:tc>
          <w:tcPr>
            <w:tcW w:type="dxa" w:w="4800"/>
            <w:tcBorders>
              <w:top w:val="single" w:color="C0C8D8" w:sz="1"/>
              <w:left w:val="single" w:color="C0C8D8" w:sz="1"/>
              <w:bottom w:val="single" w:color="C0C8D8" w:sz="1"/>
              <w:right w:val="single" w:color="C0C8D8" w:sz="1"/>
            </w:tcBorders>
            <w:shd w:fill="D6E4F7"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rouge_l=0.1989, bleu=0.0370</w:t>
            </w:r>
          </w:p>
        </w:tc>
      </w:tr>
    </w:tbl>
    <w:p>
      <w:r>
        <w:br w:type="page"/>
      </w:r>
    </w:p>
    <w:p>
      <w:pPr>
        <w:pStyle w:val="Heading1"/>
        <w:pBdr>
          <w:bottom w:val="single" w:color="2E6DB4" w:sz="6" w:space="6"/>
        </w:pBdr>
        <w:spacing w:after="180" w:before="360"/>
      </w:pPr>
      <w:r>
        <w:rPr>
          <w:rFonts w:ascii="Arial" w:cs="Arial" w:eastAsia="Arial" w:hAnsi="Arial"/>
          <w:b/>
          <w:bCs/>
          <w:color w:val="1B3A6B"/>
          <w:sz w:val="32"/>
          <w:szCs w:val="32"/>
        </w:rPr>
        <w:t xml:space="preserve">7. Limites et travaux futurs</w:t>
      </w:r>
    </w:p>
    <w:p>
      <w:pPr>
        <w:pStyle w:val="Heading2"/>
        <w:spacing w:after="120" w:before="280"/>
      </w:pPr>
      <w:r>
        <w:rPr>
          <w:rFonts w:ascii="Arial" w:cs="Arial" w:eastAsia="Arial" w:hAnsi="Arial"/>
          <w:b/>
          <w:bCs/>
          <w:color w:val="2E6DB4"/>
          <w:sz w:val="26"/>
          <w:szCs w:val="26"/>
        </w:rPr>
        <w:t xml:space="preserve">7.1 Limites identifiées</w:t>
      </w:r>
    </w:p>
    <w:p>
      <w:pPr>
        <w:pStyle w:val="Heading3"/>
        <w:spacing w:after="80" w:before="200"/>
      </w:pPr>
      <w:r>
        <w:rPr>
          <w:rFonts w:ascii="Arial" w:cs="Arial" w:eastAsia="Arial" w:hAnsi="Arial"/>
          <w:b/>
          <w:bCs/>
          <w:color w:val="1B3A6B"/>
          <w:sz w:val="24"/>
          <w:szCs w:val="24"/>
        </w:rPr>
        <w:t xml:space="preserve">Module 1</w:t>
      </w:r>
    </w:p>
    <w:p>
      <w:pPr>
        <w:pStyle w:val="ListParagraph"/>
        <w:numPr>
          <w:ilvl w:val="0"/>
          <w:numId w:val="2"/>
        </w:numPr>
        <w:spacing w:after="80"/>
      </w:pPr>
      <w:r>
        <w:rPr>
          <w:rFonts w:ascii="Arial" w:cs="Arial" w:eastAsia="Arial" w:hAnsi="Arial"/>
          <w:color w:val="2C2C2C"/>
          <w:sz w:val="22"/>
          <w:szCs w:val="22"/>
        </w:rPr>
        <w:t xml:space="preserve">Le dataset Bitext est très structuré et laborieusement équilibré — les performances de 100% peuvent ne pas se généraliser à des données réelles moins propres.</w:t>
      </w:r>
    </w:p>
    <w:p>
      <w:pPr>
        <w:pStyle w:val="ListParagraph"/>
        <w:numPr>
          <w:ilvl w:val="0"/>
          <w:numId w:val="2"/>
        </w:numPr>
        <w:spacing w:after="80"/>
      </w:pPr>
      <w:r>
        <w:rPr>
          <w:rFonts w:ascii="Arial" w:cs="Arial" w:eastAsia="Arial" w:hAnsi="Arial"/>
          <w:color w:val="2C2C2C"/>
          <w:sz w:val="22"/>
          <w:szCs w:val="22"/>
        </w:rPr>
        <w:t xml:space="preserve">La règle d'intention enrichie est codée manuellement avec des expressions régulières. Elle devrait idéalement être apprise automatiquement.</w:t>
      </w:r>
    </w:p>
    <w:p>
      <w:pPr>
        <w:spacing w:after="60"/>
      </w:pPr>
    </w:p>
    <w:p>
      <w:pPr>
        <w:pStyle w:val="Heading3"/>
        <w:spacing w:after="80" w:before="200"/>
      </w:pPr>
      <w:r>
        <w:rPr>
          <w:rFonts w:ascii="Arial" w:cs="Arial" w:eastAsia="Arial" w:hAnsi="Arial"/>
          <w:b/>
          <w:bCs/>
          <w:color w:val="1B3A6B"/>
          <w:sz w:val="24"/>
          <w:szCs w:val="24"/>
        </w:rPr>
        <w:t xml:space="preserve">Module 2</w:t>
      </w:r>
    </w:p>
    <w:p>
      <w:pPr>
        <w:pStyle w:val="ListParagraph"/>
        <w:numPr>
          <w:ilvl w:val="0"/>
          <w:numId w:val="2"/>
        </w:numPr>
        <w:spacing w:after="80"/>
      </w:pPr>
      <w:r>
        <w:rPr>
          <w:rFonts w:ascii="Arial" w:cs="Arial" w:eastAsia="Arial" w:hAnsi="Arial"/>
          <w:color w:val="2C2C2C"/>
          <w:sz w:val="22"/>
          <w:szCs w:val="22"/>
        </w:rPr>
        <w:t xml:space="preserve">La classe Problem présente un chevauchement sémantique avec Incident, ce qui génère des confusions (precision=0.44 pour Problem).</w:t>
      </w:r>
    </w:p>
    <w:p>
      <w:pPr>
        <w:pStyle w:val="ListParagraph"/>
        <w:numPr>
          <w:ilvl w:val="0"/>
          <w:numId w:val="2"/>
        </w:numPr>
        <w:spacing w:after="80"/>
      </w:pPr>
      <w:r>
        <w:rPr>
          <w:rFonts w:ascii="Arial" w:cs="Arial" w:eastAsia="Arial" w:hAnsi="Arial"/>
          <w:color w:val="2C2C2C"/>
          <w:sz w:val="22"/>
          <w:szCs w:val="22"/>
        </w:rPr>
        <w:t xml:space="preserve">Le dataset est bilingue EN/DE — les tickets en d'autres langues (ex: FR) pourraient être mal classifiés.</w:t>
      </w:r>
    </w:p>
    <w:p>
      <w:pPr>
        <w:pStyle w:val="ListParagraph"/>
        <w:numPr>
          <w:ilvl w:val="0"/>
          <w:numId w:val="2"/>
        </w:numPr>
        <w:spacing w:after="80"/>
      </w:pPr>
      <w:r>
        <w:rPr>
          <w:rFonts w:ascii="Arial" w:cs="Arial" w:eastAsia="Arial" w:hAnsi="Arial"/>
          <w:color w:val="2C2C2C"/>
          <w:sz w:val="22"/>
          <w:szCs w:val="22"/>
        </w:rPr>
        <w:t xml:space="preserve">Le F1 macro de 0,70 reste modeste pour une application de production. Un seuil minimal de 0,80 serait souhaitable.</w:t>
      </w:r>
    </w:p>
    <w:p>
      <w:pPr>
        <w:spacing w:after="60"/>
      </w:pPr>
    </w:p>
    <w:p>
      <w:pPr>
        <w:pStyle w:val="Heading3"/>
        <w:spacing w:after="80" w:before="200"/>
      </w:pPr>
      <w:r>
        <w:rPr>
          <w:rFonts w:ascii="Arial" w:cs="Arial" w:eastAsia="Arial" w:hAnsi="Arial"/>
          <w:b/>
          <w:bCs/>
          <w:color w:val="1B3A6B"/>
          <w:sz w:val="24"/>
          <w:szCs w:val="24"/>
        </w:rPr>
        <w:t xml:space="preserve">Module 3</w:t>
      </w:r>
    </w:p>
    <w:p>
      <w:pPr>
        <w:pStyle w:val="ListParagraph"/>
        <w:numPr>
          <w:ilvl w:val="0"/>
          <w:numId w:val="2"/>
        </w:numPr>
        <w:spacing w:after="80"/>
      </w:pPr>
      <w:r>
        <w:rPr>
          <w:rFonts w:ascii="Arial" w:cs="Arial" w:eastAsia="Arial" w:hAnsi="Arial"/>
          <w:color w:val="2C2C2C"/>
          <w:sz w:val="22"/>
          <w:szCs w:val="22"/>
        </w:rPr>
        <w:t xml:space="preserve">La base de connaissances RAG ne contient que 74 paires — un dataset plus large améliorerait significativement la pertinence des exemples récupérés.</w:t>
      </w:r>
    </w:p>
    <w:p>
      <w:pPr>
        <w:pStyle w:val="ListParagraph"/>
        <w:numPr>
          <w:ilvl w:val="0"/>
          <w:numId w:val="2"/>
        </w:numPr>
        <w:spacing w:after="80"/>
      </w:pPr>
      <w:r>
        <w:rPr>
          <w:rFonts w:ascii="Arial" w:cs="Arial" w:eastAsia="Arial" w:hAnsi="Arial"/>
          <w:color w:val="2C2C2C"/>
          <w:sz w:val="22"/>
          <w:szCs w:val="22"/>
        </w:rPr>
        <w:t xml:space="preserve">Le modèle Llama-3.1-8b-instant peut ignorer les instructions de langue pour les messages très courts (1-2 mots). Le mécanisme de retry a été ajouté pour mitiger ce problème.</w:t>
      </w:r>
    </w:p>
    <w:p>
      <w:pPr>
        <w:pStyle w:val="ListParagraph"/>
        <w:numPr>
          <w:ilvl w:val="0"/>
          <w:numId w:val="2"/>
        </w:numPr>
        <w:spacing w:after="80"/>
      </w:pPr>
      <w:r>
        <w:rPr>
          <w:rFonts w:ascii="Arial" w:cs="Arial" w:eastAsia="Arial" w:hAnsi="Arial"/>
          <w:color w:val="2C2C2C"/>
          <w:sz w:val="22"/>
          <w:szCs w:val="22"/>
        </w:rPr>
        <w:t xml:space="preserve">Le ROUGE-L de 0.1989 est faible en valeur absolue, mais cohérent avec la difficulté de la tâche : les références Twitter sont courtes et idiomatiques, très différentes des réponses professionnelles générées.</w:t>
      </w:r>
    </w:p>
    <w:p>
      <w:pPr>
        <w:spacing w:after="60"/>
      </w:pPr>
    </w:p>
    <w:p>
      <w:pPr>
        <w:pStyle w:val="Heading2"/>
        <w:spacing w:after="120" w:before="280"/>
      </w:pPr>
      <w:r>
        <w:rPr>
          <w:rFonts w:ascii="Arial" w:cs="Arial" w:eastAsia="Arial" w:hAnsi="Arial"/>
          <w:b/>
          <w:bCs/>
          <w:color w:val="2E6DB4"/>
          <w:sz w:val="26"/>
          <w:szCs w:val="26"/>
        </w:rPr>
        <w:t xml:space="preserve">7.2 Pistes d'amélioration futures</w:t>
      </w:r>
    </w:p>
    <w:p>
      <w:pPr>
        <w:pStyle w:val="ListParagraph"/>
        <w:numPr>
          <w:ilvl w:val="0"/>
          <w:numId w:val="2"/>
        </w:numPr>
        <w:spacing w:after="80"/>
      </w:pPr>
      <w:r>
        <w:rPr>
          <w:rFonts w:ascii="Arial" w:cs="Arial" w:eastAsia="Arial" w:hAnsi="Arial"/>
          <w:color w:val="2C2C2C"/>
          <w:sz w:val="22"/>
          <w:szCs w:val="22"/>
        </w:rPr>
        <w:t xml:space="preserve">Module 1 : Augmentation de données pour les classes minoritaires (CANCEL, SUBSCRIPTION) via paraphrase automatique.</w:t>
      </w:r>
    </w:p>
    <w:p>
      <w:pPr>
        <w:pStyle w:val="ListParagraph"/>
        <w:numPr>
          <w:ilvl w:val="0"/>
          <w:numId w:val="2"/>
        </w:numPr>
        <w:spacing w:after="80"/>
      </w:pPr>
      <w:r>
        <w:rPr>
          <w:rFonts w:ascii="Arial" w:cs="Arial" w:eastAsia="Arial" w:hAnsi="Arial"/>
          <w:color w:val="2C2C2C"/>
          <w:sz w:val="22"/>
          <w:szCs w:val="22"/>
        </w:rPr>
        <w:t xml:space="preserve">Module 2 : Exploration de modèles spécialisés support (DistilBERT fine-tuné sur ITSM) pour améliorer la séparation Incident/Problem.</w:t>
      </w:r>
    </w:p>
    <w:p>
      <w:pPr>
        <w:pStyle w:val="ListParagraph"/>
        <w:numPr>
          <w:ilvl w:val="0"/>
          <w:numId w:val="2"/>
        </w:numPr>
        <w:spacing w:after="80"/>
      </w:pPr>
      <w:r>
        <w:rPr>
          <w:rFonts w:ascii="Arial" w:cs="Arial" w:eastAsia="Arial" w:hAnsi="Arial"/>
          <w:color w:val="2C2C2C"/>
          <w:sz w:val="22"/>
          <w:szCs w:val="22"/>
        </w:rPr>
        <w:t xml:space="preserve">Module 3 : Enrichissement de la base RAG avec des données réelles de support interne. Évaluation humaine des réponses (score qualitatif en plus du ROUGE-L).</w:t>
      </w:r>
    </w:p>
    <w:p>
      <w:pPr>
        <w:pStyle w:val="ListParagraph"/>
        <w:numPr>
          <w:ilvl w:val="0"/>
          <w:numId w:val="2"/>
        </w:numPr>
        <w:spacing w:after="80"/>
      </w:pPr>
      <w:r>
        <w:rPr>
          <w:rFonts w:ascii="Arial" w:cs="Arial" w:eastAsia="Arial" w:hAnsi="Arial"/>
          <w:color w:val="2C2C2C"/>
          <w:sz w:val="22"/>
          <w:szCs w:val="22"/>
        </w:rPr>
        <w:t xml:space="preserve">Pipeline : Déploiement via FastAPI + Docker pour une intégration dans des outils CRM existants.</w:t>
      </w:r>
    </w:p>
    <w:p>
      <w:pPr>
        <w:pStyle w:val="ListParagraph"/>
        <w:numPr>
          <w:ilvl w:val="0"/>
          <w:numId w:val="2"/>
        </w:numPr>
        <w:spacing w:after="80"/>
      </w:pPr>
      <w:r>
        <w:rPr>
          <w:rFonts w:ascii="Arial" w:cs="Arial" w:eastAsia="Arial" w:hAnsi="Arial"/>
          <w:color w:val="2C2C2C"/>
          <w:sz w:val="22"/>
          <w:szCs w:val="22"/>
        </w:rPr>
        <w:t xml:space="preserve">Gouvernance : Implémentation d'un monitoring de drift des données et du modèle en production.</w:t>
      </w:r>
    </w:p>
    <w:p>
      <w:r>
        <w:br w:type="page"/>
      </w:r>
    </w:p>
    <w:p>
      <w:pPr>
        <w:pStyle w:val="Heading1"/>
        <w:pBdr>
          <w:bottom w:val="single" w:color="2E6DB4" w:sz="6" w:space="6"/>
        </w:pBdr>
        <w:spacing w:after="180" w:before="360"/>
      </w:pPr>
      <w:r>
        <w:rPr>
          <w:rFonts w:ascii="Arial" w:cs="Arial" w:eastAsia="Arial" w:hAnsi="Arial"/>
          <w:b/>
          <w:bCs/>
          <w:color w:val="1B3A6B"/>
          <w:sz w:val="32"/>
          <w:szCs w:val="32"/>
        </w:rPr>
        <w:t xml:space="preserve">8. Conclusion</w:t>
      </w:r>
    </w:p>
    <w:p>
      <w:pPr>
        <w:spacing w:after="120" w:before="60"/>
      </w:pPr>
      <w:r>
        <w:rPr>
          <w:rFonts w:ascii="Arial" w:cs="Arial" w:eastAsia="Arial" w:hAnsi="Arial"/>
          <w:b w:val="false"/>
          <w:bCs w:val="false"/>
          <w:i w:val="false"/>
          <w:iCs w:val="false"/>
          <w:color w:val="2C2C2C"/>
          <w:sz w:val="22"/>
          <w:szCs w:val="22"/>
        </w:rPr>
        <w:t xml:space="preserve">Ce projet Capstone a développé et validé un pipeline NLP complet pour l'automatisation du traitement des tickets de support client. Les trois modules fonctionnent de manière cohérente et complémentaire :</w:t>
      </w:r>
    </w:p>
    <w:p>
      <w:pPr>
        <w:spacing w:after="60"/>
      </w:pPr>
    </w:p>
    <w:p>
      <w:pPr>
        <w:pStyle w:val="ListParagraph"/>
        <w:numPr>
          <w:ilvl w:val="0"/>
          <w:numId w:val="2"/>
        </w:numPr>
        <w:spacing w:after="80"/>
      </w:pPr>
      <w:r>
        <w:rPr>
          <w:rFonts w:ascii="Arial" w:cs="Arial" w:eastAsia="Arial" w:hAnsi="Arial"/>
          <w:color w:val="2C2C2C"/>
          <w:sz w:val="22"/>
          <w:szCs w:val="22"/>
        </w:rPr>
        <w:t xml:space="preserve">Le Module 1 atteint 100% de F1 macro sur 11 catégories de tickets en FR et EN, avec un pipeline d'intention enrichi qui maintient 100% de précision sur les cas complexes multi-intentions.</w:t>
      </w:r>
    </w:p>
    <w:p>
      <w:pPr>
        <w:pStyle w:val="ListParagraph"/>
        <w:numPr>
          <w:ilvl w:val="0"/>
          <w:numId w:val="2"/>
        </w:numPr>
        <w:spacing w:after="80"/>
      </w:pPr>
      <w:r>
        <w:rPr>
          <w:rFonts w:ascii="Arial" w:cs="Arial" w:eastAsia="Arial" w:hAnsi="Arial"/>
          <w:color w:val="2C2C2C"/>
          <w:sz w:val="22"/>
          <w:szCs w:val="22"/>
        </w:rPr>
        <w:t xml:space="preserve">Le Module 2 atteint un Recall de 83,06% sur la classe Change (cas critique), dépassant l'objectif initial et garantissant que la majorité des tickets urgents sont correctement identifiés.</w:t>
      </w:r>
    </w:p>
    <w:p>
      <w:pPr>
        <w:pStyle w:val="ListParagraph"/>
        <w:numPr>
          <w:ilvl w:val="0"/>
          <w:numId w:val="2"/>
        </w:numPr>
        <w:spacing w:after="80"/>
      </w:pPr>
      <w:r>
        <w:rPr>
          <w:rFonts w:ascii="Arial" w:cs="Arial" w:eastAsia="Arial" w:hAnsi="Arial"/>
          <w:color w:val="2C2C2C"/>
          <w:sz w:val="22"/>
          <w:szCs w:val="22"/>
        </w:rPr>
        <w:t xml:space="preserve">Le Module 3 génère des réponses professionnelles contextuellement pertinentes, bilingues, avec mémoire multi-tours et validation humaine intégrée. Le pipeline complet est fonctionnel et démontré.</w:t>
      </w:r>
    </w:p>
    <w:p>
      <w:pPr>
        <w:spacing w:after="60"/>
      </w:pPr>
    </w:p>
    <w:p>
      <w:pPr>
        <w:spacing w:after="120" w:before="60"/>
      </w:pPr>
      <w:r>
        <w:rPr>
          <w:rFonts w:ascii="Arial" w:cs="Arial" w:eastAsia="Arial" w:hAnsi="Arial"/>
          <w:b w:val="false"/>
          <w:bCs w:val="false"/>
          <w:i w:val="false"/>
          <w:iCs w:val="false"/>
          <w:color w:val="2C2C2C"/>
          <w:sz w:val="22"/>
          <w:szCs w:val="22"/>
        </w:rPr>
        <w:t xml:space="preserve">Les 9 runs MLflow enregistrés sur DagsHub documentent l'ensemble du processus expérimental, assurant la traçabilité et la reproductibilité de toutes les décisions prises.</w:t>
      </w:r>
    </w:p>
    <w:p>
      <w:pPr>
        <w:spacing w:after="60"/>
      </w:pPr>
    </w:p>
    <w:p>
      <w:pPr>
        <w:spacing w:after="120" w:before="60"/>
      </w:pPr>
      <w:r>
        <w:rPr>
          <w:rFonts w:ascii="Arial" w:cs="Arial" w:eastAsia="Arial" w:hAnsi="Arial"/>
          <w:b w:val="false"/>
          <w:bCs w:val="false"/>
          <w:i w:val="false"/>
          <w:iCs w:val="false"/>
          <w:color w:val="2C2C2C"/>
          <w:sz w:val="22"/>
          <w:szCs w:val="22"/>
        </w:rPr>
        <w:t xml:space="preserve">Ce projet représente une démonstration concrète de l'application des techniques NLP avancées (LLM, RAG, Fine-tuning) à un problème métier réel, en respectant les contraintes de qualité, de justifiabilité et de faisabilité académique fixées au départ.</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KPI</w:t>
            </w:r>
          </w:p>
        </w:tc>
        <w:tc>
          <w:tcPr>
            <w:tcW w:type="dxa" w:w="60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Résultat final</w:t>
            </w:r>
          </w:p>
        </w:tc>
      </w:tr>
      <w:tr>
        <w:tc>
          <w:tcPr>
            <w:tcW w:type="dxa" w:w="3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F1 Macro — Classification type</w:t>
            </w:r>
          </w:p>
        </w:tc>
        <w:tc>
          <w:tcPr>
            <w:tcW w:type="dxa" w:w="6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bCs/>
                <w:color w:val="2C2C2C"/>
                <w:sz w:val="20"/>
                <w:szCs w:val="20"/>
              </w:rPr>
              <w:t xml:space="preserve">1.000 (100%) ✅</w:t>
            </w:r>
          </w:p>
        </w:tc>
      </w:tr>
      <w:tr>
        <w:tc>
          <w:tcPr>
            <w:tcW w:type="dxa" w:w="30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Recall Change — Urgence</w:t>
            </w:r>
          </w:p>
        </w:tc>
        <w:tc>
          <w:tcPr>
            <w:tcW w:type="dxa" w:w="60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bCs/>
                <w:color w:val="2C2C2C"/>
                <w:sz w:val="20"/>
                <w:szCs w:val="20"/>
              </w:rPr>
              <w:t xml:space="preserve">0.8306 (83,06%) ✅</w:t>
            </w:r>
          </w:p>
        </w:tc>
      </w:tr>
      <w:tr>
        <w:tc>
          <w:tcPr>
            <w:tcW w:type="dxa" w:w="3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ROUGE-L — Pipeline complet</w:t>
            </w:r>
          </w:p>
        </w:tc>
        <w:tc>
          <w:tcPr>
            <w:tcW w:type="dxa" w:w="6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bCs/>
                <w:color w:val="2C2C2C"/>
                <w:sz w:val="20"/>
                <w:szCs w:val="20"/>
              </w:rPr>
              <w:t xml:space="preserve">0.1989 ✅ (cohérent avec la tâche)</w:t>
            </w:r>
          </w:p>
        </w:tc>
      </w:tr>
      <w:tr>
        <w:tc>
          <w:tcPr>
            <w:tcW w:type="dxa" w:w="30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Runs MLflow enregistrés</w:t>
            </w:r>
          </w:p>
        </w:tc>
        <w:tc>
          <w:tcPr>
            <w:tcW w:type="dxa" w:w="60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9 runs (3 par module) sur DagsHub ✅</w:t>
            </w:r>
          </w:p>
        </w:tc>
      </w:tr>
      <w:tr>
        <w:tc>
          <w:tcPr>
            <w:tcW w:type="dxa" w:w="3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Support bilingue FR/EN</w:t>
            </w:r>
          </w:p>
        </w:tc>
        <w:tc>
          <w:tcPr>
            <w:tcW w:type="dxa" w:w="6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bCs/>
                <w:color w:val="2C2C2C"/>
                <w:sz w:val="20"/>
                <w:szCs w:val="20"/>
              </w:rPr>
              <w:t xml:space="preserve">Opérationnel dans les 3 modules ✅</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B4" w:sz="4" w:space="4"/>
      </w:pBdr>
      <w:spacing w:before="80"/>
      <w:jc w:val="center"/>
    </w:pPr>
    <w:r>
      <w:rPr>
        <w:rFonts w:ascii="Arial" w:cs="Arial" w:eastAsia="Arial" w:hAnsi="Arial"/>
        <w:color w:val="888888"/>
        <w:sz w:val="16"/>
        <w:szCs w:val="16"/>
      </w:rPr>
      <w:t xml:space="preserve">Collège La Cité — DEC IA en Informatique — Session Hiver 2026   |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B4" w:sz="4" w:space="4"/>
      </w:pBdr>
      <w:tabs>
        <w:tab w:val="right" w:pos="9000"/>
      </w:tabs>
      <w:spacing w:after="80"/>
    </w:pPr>
    <w:r>
      <w:rPr>
        <w:rFonts w:ascii="Arial" w:cs="Arial" w:eastAsia="Arial" w:hAnsi="Arial"/>
        <w:color w:val="2E6DB4"/>
        <w:sz w:val="18"/>
        <w:szCs w:val="18"/>
      </w:rPr>
      <w:t xml:space="preserve">Rapport Final — Capstone IA — Groupe 8</w:t>
    </w:r>
    <w:r>
      <w:rPr>
        <w:rFonts w:ascii="Arial" w:cs="Arial" w:eastAsia="Arial" w:hAnsi="Arial"/>
        <w:sz w:val="18"/>
        <w:szCs w:val="18"/>
      </w:rPr>
      <w:t xml:space="preserve">	</w:t>
    </w:r>
    <w:r>
      <w:rPr>
        <w:rFonts w:ascii="Arial" w:cs="Arial" w:eastAsia="Arial" w:hAnsi="Arial"/>
        <w:color w:val="888888"/>
        <w:sz w:val="18"/>
        <w:szCs w:val="18"/>
      </w:rPr>
      <w:t xml:space="preserve">Mohamed Ramy Boulkaraa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2026-04-21T04:09:10.699Z</dcterms:created>
  <dcterms:modified xsi:type="dcterms:W3CDTF">2026-04-21T04:09:10.700Z</dcterms:modified>
</cp:coreProperties>
</file>

<file path=docProps/custom.xml><?xml version="1.0" encoding="utf-8"?>
<Properties xmlns="http://schemas.openxmlformats.org/officeDocument/2006/custom-properties" xmlns:vt="http://schemas.openxmlformats.org/officeDocument/2006/docPropsVTypes"/>
</file>