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FUMetadata"/>
        <w:spacing w:line="240" w:lineRule="auto"/>
        <w:ind w:firstLine="0"/>
      </w:pPr>
      <w:r>
        <w:rPr>
          <w:rFonts w:ascii="Times New Roman" w:hAnsi="Times New Roman" w:eastAsia="Times New Roman"/>
          <w:b w:val="0"/>
          <w:i w:val="0"/>
          <w:vanish/>
          <w:color w:val="000000"/>
          <w:sz w:val="28"/>
        </w:rPr>
        <w:t>city=Красноярск; department=Кафедра программной инженерии; discipline=Инструменты подготовки учебной документации; document_type=ОТЧЕТ ПО ЛАБОРАТОРНОЙ РАБОТЕ; group=КИ22-01Б; institute=Институт космических и информационных технологий; language=ru; profile=lab_practical_project_reports; project_designation=ДП-23.05.02-2026 ABCDEF.001 Э1 ПЗ; record_book=123456; student=Иванов И. И.; supervisor=Петров П. П.; supervisor_title=доцент; teacher=Петров П. П.; title=Showcase возможностей SFU Converter и парсера TXT v2; total_pages=24; university=Сибирский федеральный университет; year=2026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СИБИРСКИЙ ФЕДЕРАЛЬНЫЙ УНИВЕРСИТЕТ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Институт космических и информационных технологий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программной инженерии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ОТЧЕТ ПО ЛАБОРАТОРНОЙ РАБОТЕ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дисциплине: Инструменты подготовки учебной документации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на тему: Showcase возможностей SFU Converter и парсера TXT v2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Преподаватель ____________ Петров П. П.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Студент КИ22-01Б, № 123456 ____________ Иванов И. И.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Красноярск 2026</w:t>
      </w:r>
    </w:p>
    <w:p>
      <w:r>
        <w:br w:type="page"/>
      </w:r>
    </w:p>
    <w:p>
      <w:r>
        <w:br w:type="page"/>
      </w:r>
    </w:p>
    <w:p>
      <w:pPr>
        <w:pStyle w:val="SFUStructuralHeading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</w:rPr>
        <w:t>РЕФЕРАТ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отчете представлен обзор реализованных возможностей SFU Converter и парсера TXT версии 2. Документ одновременно служит демонстрационным исходным файлом: в нем используются метаданные, титульный лист, обозначение проекта, заголовки четырех уровней, абзацы с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жирным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курсивным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начертанием, таблицы, рисунки, списки, формулы, ссылки, сноски, список сокращений, библиография, приложения, секции с другим форматом листа, графические материалы, плакаты, слайды и raw-блоки.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тексте намеренно присутствуют ссылки на источники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[1; 2, с. 15; 3; 4; 5]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, чтобы проверить работу структурированных библиографических записей и встроенного анализатора цитирований.</w:t>
      </w:r>
    </w:p>
    <w:p>
      <w:r>
        <w:br w:type="page"/>
      </w:r>
    </w:p>
    <w:p>
      <w:pPr>
        <w:pStyle w:val="SFUTOCHeading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</w:rPr>
        <w:t>СОДЕРЖАНИЕ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Обновите оглавление (Ctrl+A, F9)</w:t>
        <w:fldChar w:fldCharType="end"/>
      </w:r>
    </w:p>
    <w:p>
      <w:pPr>
        <w:pStyle w:val="TOC1"/>
        <w:tabs>
          <w:tab w:pos="9354" w:val="right"/>
        </w:tabs>
        <w:spacing w:line="240" w:lineRule="auto" w:before="0" w:after="0"/>
        <w:ind w:firstLine="0" w:left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Реферат</w:t>
        <w:tab/>
        <w:t>1</w:t>
      </w:r>
    </w:p>
    <w:p>
      <w:pPr>
        <w:pStyle w:val="TOC1"/>
        <w:tabs>
          <w:tab w:pos="9354" w:val="right"/>
        </w:tabs>
        <w:spacing w:line="240" w:lineRule="auto" w:before="0" w:after="0"/>
        <w:ind w:firstLine="0" w:left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Введение</w:t>
        <w:tab/>
        <w:t>2</w:t>
      </w:r>
    </w:p>
    <w:p>
      <w:pPr>
        <w:pStyle w:val="TOC1"/>
        <w:tabs>
          <w:tab w:pos="9354" w:val="right"/>
        </w:tabs>
        <w:spacing w:line="240" w:lineRule="auto" w:before="0" w:after="0"/>
        <w:ind w:firstLine="0" w:left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 Возможности конвертера</w:t>
        <w:tab/>
        <w:t>3</w:t>
      </w:r>
    </w:p>
    <w:p>
      <w:pPr>
        <w:pStyle w:val="TOC2"/>
        <w:tabs>
          <w:tab w:pos="9354" w:val="right"/>
        </w:tabs>
        <w:spacing w:line="240" w:lineRule="auto" w:before="0" w:after="0"/>
        <w:ind w:firstLine="0" w:left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1.1 Командный интерфейс и режимы работы</w:t>
        <w:tab/>
        <w:t>4</w:t>
      </w:r>
    </w:p>
    <w:p>
      <w:pPr>
        <w:pStyle w:val="TOC2"/>
        <w:tabs>
          <w:tab w:pos="9354" w:val="right"/>
        </w:tabs>
        <w:spacing w:line="240" w:lineRule="auto" w:before="0" w:after="0"/>
        <w:ind w:firstLine="0" w:left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1.2 Профили и правила оформления</w:t>
        <w:tab/>
        <w:t>5</w:t>
      </w:r>
    </w:p>
    <w:p>
      <w:pPr>
        <w:pStyle w:val="TOC2"/>
        <w:tabs>
          <w:tab w:pos="9354" w:val="right"/>
        </w:tabs>
        <w:spacing w:line="240" w:lineRule="auto" w:before="0" w:after="0"/>
        <w:ind w:firstLine="0" w:left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1.3 Рендеринг содержимого</w:t>
        <w:tab/>
        <w:t>6</w:t>
      </w:r>
    </w:p>
    <w:p>
      <w:pPr>
        <w:pStyle w:val="TOC1"/>
        <w:tabs>
          <w:tab w:pos="9354" w:val="right"/>
        </w:tabs>
        <w:spacing w:line="240" w:lineRule="auto" w:before="0" w:after="0"/>
        <w:ind w:firstLine="0" w:left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 Возможности парсера TXT версии 2</w:t>
        <w:tab/>
        <w:t>7</w:t>
      </w:r>
    </w:p>
    <w:p>
      <w:pPr>
        <w:pStyle w:val="TOC2"/>
        <w:tabs>
          <w:tab w:pos="9354" w:val="right"/>
        </w:tabs>
        <w:spacing w:line="240" w:lineRule="auto" w:before="0" w:after="0"/>
        <w:ind w:firstLine="0" w:left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2.1 Блоки верхнего уровня</w:t>
        <w:tab/>
        <w:t>8</w:t>
      </w:r>
    </w:p>
    <w:p>
      <w:pPr>
        <w:pStyle w:val="TOC2"/>
        <w:tabs>
          <w:tab w:pos="9354" w:val="right"/>
        </w:tabs>
        <w:spacing w:line="240" w:lineRule="auto" w:before="0" w:after="0"/>
        <w:ind w:firstLine="0" w:left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2.2 Абзацы и встроенные элементы</w:t>
        <w:tab/>
        <w:t>9</w:t>
      </w:r>
    </w:p>
    <w:p>
      <w:pPr>
        <w:pStyle w:val="TOC2"/>
        <w:tabs>
          <w:tab w:pos="9354" w:val="right"/>
        </w:tabs>
        <w:spacing w:line="240" w:lineRule="auto" w:before="0" w:after="0"/>
        <w:ind w:firstLine="0" w:left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2.3 Таблицы, списки и вложенность</w:t>
        <w:tab/>
        <w:t>10</w:t>
      </w:r>
    </w:p>
    <w:p>
      <w:pPr>
        <w:pStyle w:val="TOC2"/>
        <w:tabs>
          <w:tab w:pos="9354" w:val="right"/>
        </w:tabs>
        <w:spacing w:line="240" w:lineRule="auto" w:before="0" w:after="0"/>
        <w:ind w:firstLine="0" w:left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2.4 Формулы и обозначения</w:t>
        <w:tab/>
        <w:t>11</w:t>
      </w:r>
    </w:p>
    <w:p>
      <w:pPr>
        <w:pStyle w:val="TOC2"/>
        <w:tabs>
          <w:tab w:pos="9354" w:val="right"/>
        </w:tabs>
        <w:spacing w:line="240" w:lineRule="auto" w:before="0" w:after="0"/>
        <w:ind w:firstLine="0" w:left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2.5 Глубина заголовков</w:t>
        <w:tab/>
        <w:t>12</w:t>
      </w:r>
    </w:p>
    <w:p>
      <w:pPr>
        <w:pStyle w:val="TOC3"/>
        <w:tabs>
          <w:tab w:pos="9354" w:val="right"/>
        </w:tabs>
        <w:spacing w:line="240" w:lineRule="auto" w:before="0" w:after="0"/>
        <w:ind w:firstLine="0" w:left="567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2.5.1 Раздел с подпунктами</w:t>
        <w:tab/>
        <w:t>13</w:t>
      </w:r>
    </w:p>
    <w:p>
      <w:pPr>
        <w:pStyle w:val="TOC4"/>
        <w:tabs>
          <w:tab w:pos="9354" w:val="right"/>
        </w:tabs>
        <w:spacing w:line="240" w:lineRule="auto" w:before="0" w:after="0"/>
        <w:ind w:firstLine="0" w:left="85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2.5.1.1 Первый подпункт</w:t>
        <w:tab/>
        <w:t>14</w:t>
      </w:r>
    </w:p>
    <w:p>
      <w:pPr>
        <w:pStyle w:val="TOC4"/>
        <w:tabs>
          <w:tab w:pos="9354" w:val="right"/>
        </w:tabs>
        <w:spacing w:line="240" w:lineRule="auto" w:before="0" w:after="0"/>
        <w:ind w:firstLine="0" w:left="85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2.5.1.2 Второй подпункт</w:t>
        <w:tab/>
        <w:t>15</w:t>
      </w:r>
    </w:p>
    <w:p>
      <w:pPr>
        <w:pStyle w:val="TOC1"/>
        <w:tabs>
          <w:tab w:pos="9354" w:val="right"/>
        </w:tabs>
        <w:spacing w:line="240" w:lineRule="auto" w:before="0" w:after="0"/>
        <w:ind w:firstLine="0" w:left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 Секции и демонстрационные материалы</w:t>
        <w:tab/>
        <w:t>16</w:t>
      </w:r>
    </w:p>
    <w:p>
      <w:pPr>
        <w:pStyle w:val="TOC2"/>
        <w:tabs>
          <w:tab w:pos="9354" w:val="right"/>
        </w:tabs>
        <w:spacing w:line="240" w:lineRule="auto" w:before="0" w:after="0"/>
        <w:ind w:firstLine="0" w:left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3.1 Секция с другим форматом листа</w:t>
        <w:tab/>
        <w:t>17</w:t>
      </w:r>
    </w:p>
    <w:p>
      <w:pPr>
        <w:pStyle w:val="TOC2"/>
        <w:tabs>
          <w:tab w:pos="9354" w:val="right"/>
        </w:tabs>
        <w:spacing w:line="240" w:lineRule="auto" w:before="0" w:after="0"/>
        <w:ind w:firstLine="0" w:left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3.2 Графические листы, плакаты и слайды</w:t>
        <w:tab/>
        <w:t>18</w:t>
      </w:r>
    </w:p>
    <w:p>
      <w:pPr>
        <w:pStyle w:val="TOC1"/>
        <w:tabs>
          <w:tab w:pos="9354" w:val="right"/>
        </w:tabs>
        <w:spacing w:line="240" w:lineRule="auto" w:before="0" w:after="0"/>
        <w:ind w:firstLine="0" w:left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 Диагностика и проверяемость</w:t>
        <w:tab/>
        <w:t>19</w:t>
      </w:r>
    </w:p>
    <w:p>
      <w:pPr>
        <w:pStyle w:val="TOC1"/>
        <w:tabs>
          <w:tab w:pos="9354" w:val="right"/>
        </w:tabs>
        <w:spacing w:line="240" w:lineRule="auto" w:before="0" w:after="0"/>
        <w:ind w:firstLine="0" w:left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Заключение</w:t>
        <w:tab/>
        <w:t>20</w:t>
      </w:r>
    </w:p>
    <w:p>
      <w:pPr>
        <w:pStyle w:val="TOC1"/>
        <w:tabs>
          <w:tab w:pos="9354" w:val="right"/>
        </w:tabs>
        <w:spacing w:line="240" w:lineRule="auto" w:before="0" w:after="0"/>
        <w:ind w:firstLine="0" w:left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Список сокращений</w:t>
        <w:tab/>
        <w:t>21</w:t>
      </w:r>
    </w:p>
    <w:p>
      <w:pPr>
        <w:pStyle w:val="TOC1"/>
        <w:tabs>
          <w:tab w:pos="9354" w:val="right"/>
        </w:tabs>
        <w:spacing w:line="240" w:lineRule="auto" w:before="0" w:after="0"/>
        <w:ind w:firstLine="0" w:left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Список источников</w:t>
        <w:tab/>
        <w:t>22</w:t>
      </w:r>
    </w:p>
    <w:p>
      <w:pPr>
        <w:pStyle w:val="TOC1"/>
        <w:tabs>
          <w:tab w:pos="9354" w:val="right"/>
        </w:tabs>
        <w:spacing w:line="240" w:lineRule="auto" w:before="0" w:after="0"/>
        <w:ind w:firstLine="0" w:left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Приложение А Матрица покрытия showcase-файла</w:t>
        <w:tab/>
        <w:t>23</w:t>
      </w:r>
    </w:p>
    <w:p>
      <w:r>
        <w:br w:type="page"/>
      </w:r>
    </w:p>
    <w:p>
      <w:pPr>
        <w:pStyle w:val="SFUStructuralHeading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</w:rPr>
        <w:t>ВВЕДЕНИЕ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SFU Converter преобразует структурированный TXT-файл в документ DOCX, применяя правила профилей СФУ: поля страницы, Times New Roman, межстрочный интервал, отступ первой строки, стили заголовков, подписи таблиц и рисунков, оформление формул, сносок, приложений и списка источников. Парсер TXT v2 делает исходный файл предсказуемым: каждый блок задается явным маркером, а параметры передаются через атрибуты key=value.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отличие от устаревшего синтаксиса, версия 2 требует явных маркеров `[P]` для абзацев и `[H level=...]` для заголовков. Это снижает неоднозначность, позволяет получать AST в JSON и дает стабильную основу для CLI-команд `parse`, `lint`, `convert` и `validate-docx`.</w:t>
      </w:r>
    </w:p>
    <w:p>
      <w:r>
        <w:br w:type="page"/>
      </w:r>
    </w:p>
    <w:p>
      <w:pPr>
        <w:pStyle w:val="Heading1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Возможности конвертера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1.1 Командный интерфейс и режимы работы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Реализованный CLI поддерживает конвертацию TXT в DOCX, отдельную проверку готового DOCX, разбор TXT в AST, линтинг синтаксиса и профильных правил, вывод списка профилей, объяснение синтаксиса, экспорт JSON-схем и экспорт матрицы покрытия стандарта. Для автоматизации доступны JSON-ответы, строгий режим, тихий режим, выбор версии синтаксиса, выбор профиля и настройка шаблона.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SFUTableCaption"/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1 — Команды CLI</w:t>
      </w:r>
    </w:p>
    <w:tbl>
      <w:tblPr>
        <w:tblStyle w:val="SFUTable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Команда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Основной результат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convert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Преобразует TXT в DOCX или PPTX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Готовый файл и диагностика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validate-docx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Проверяет существующий DOCX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Диагностика оформления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parse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Возвращает AST документа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JSON-структура блоков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lint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Проверяет TXT без генерации файла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Сводка синтаксиса и правил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list-profiles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Показывает доступные профили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Имена профилей и метаданные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explain-syntax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Описывает маркеры TXT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Справка по версии синтаксиса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export-schema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Экспортирует JSON-схемы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ast, diagnostics, profiles, results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export-coverage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Выводит матрицу покрытия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Markdown или JSON</w:t>
            </w:r>
          </w:p>
        </w:tc>
      </w:tr>
      <w:tr>
        <w:tc>
          <w:tcPr>
            <w:tcW w:type="dxa" w:w="9972"/>
            <w:gridSpan w:val="3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perscript"/>
              </w:rPr>
              <w:t>*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Для демонстрационного отчета выбран профиль lab_practical_project_reports, так как отдельного профиля с именем report в реестре нет.</w:t>
            </w:r>
          </w:p>
        </w:tc>
      </w:tr>
    </w:tbl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команд приведена выше (таблица tbl:cli). Явная ссылка тем же объектом задается отдельным маркером: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[tbl:cli]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1.2 Профили и правила оформления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Конвертер содержит реестр профилей: common, lab_practical_project_reports, practice_reports, research_reports, coursework, graduation_qualification_work, small_written_works, graphic_and_demonstration_materials и project_designations. Профиль определяет набор правил, обязательные метаданные, форму титульного листа и дополнительные проверки.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Поддерживаются автоматические титульные листы, нумерация страниц с пропуском номера на первой странице, оглавление через структурный раздел СОДЕРЖАНИЕ, автоматическое распознавание разделов ВВЕДЕНИЕ, ЗАКЛЮЧЕНИЕ, СПИСОК СОКРАЩЕНИЙ и СПИСОК ИСПОЛЬЗОВАННЫХ ИСТОЧНИКОВ, а также валидация порядка структурных частей.</w:t>
      </w:r>
    </w:p>
    <w:p>
      <w:pPr>
        <w:pStyle w:val="SFUListItem"/>
        <w:spacing w:line="360" w:lineRule="auto" w:before="0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1) Выбрать профиль и указать его в `[DOC syntax=2 profile=...]`.</w:t>
      </w:r>
    </w:p>
    <w:p>
      <w:pPr>
        <w:pStyle w:val="SFUListItem"/>
        <w:spacing w:line="360" w:lineRule="auto" w:before="0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2) Заполнить метаданные, необходимые для титульного листа.</w:t>
      </w:r>
    </w:p>
    <w:p>
      <w:pPr>
        <w:pStyle w:val="SFUListItem"/>
        <w:spacing w:line="360" w:lineRule="auto" w:before="0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3) Описать содержимое через явные блоки TXT v2.</w:t>
      </w:r>
    </w:p>
    <w:p>
      <w:pPr>
        <w:pStyle w:val="SFUListItem"/>
        <w:spacing w:line="360" w:lineRule="auto" w:before="0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4) Запустить `lint` для диагностики исходника.</w:t>
      </w:r>
    </w:p>
    <w:p>
      <w:pPr>
        <w:pStyle w:val="SFUListItem"/>
        <w:spacing w:line="360" w:lineRule="auto" w:before="0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5) Запустить `convert` для получения DOCX или PPTX.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1.3 Рендеринг содержимого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Рендерер обрабатывает обычные абзацы, структурные разделы, нумерованные заголовки, списки, изображения, таблицы, формулы, сноски, библиографию, приложения, специальные секции листа, листы чертежей, плакаты и слайдовые материалы. Для рисунков путь разрешается относительно папки `images`, а для шаблонов поддерживаются режимы append, preserve-prefix и replace-body.</w:t>
      </w:r>
    </w:p>
    <w:p>
      <w:pPr>
        <w:spacing w:line="192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FUFigureExplanatory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 — TXT v2</w:t>
      </w:r>
    </w:p>
    <w:p>
      <w:pPr>
        <w:pStyle w:val="SFUFigureExplanatory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 — parser</w:t>
      </w:r>
    </w:p>
    <w:p>
      <w:pPr>
        <w:pStyle w:val="SFUFigureExplanatory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 — AST</w:t>
      </w:r>
    </w:p>
    <w:p>
      <w:pPr>
        <w:pStyle w:val="SFUFigureExplanatory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 — renderer</w:t>
      </w:r>
    </w:p>
    <w:p>
      <w:pPr>
        <w:pStyle w:val="SFUFigureExplanatory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 — DOCX/PPTX</w:t>
      </w:r>
    </w:p>
    <w:p>
      <w:pPr>
        <w:pStyle w:val="SFUFigureCaption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— Общая схема конвертера и v2-парсера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рисунке показан типовой маршрут обработки исходника (рисунок fig:overview). Явная ссылка на тот же рисунок: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[fig:overview]</w:t>
      </w:r>
    </w:p>
    <w:p>
      <w:r>
        <w:br w:type="page"/>
      </w:r>
    </w:p>
    <w:p>
      <w:pPr>
        <w:pStyle w:val="Heading1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Возможности парсера TXT версии 2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2.1 Блоки верхнего уровня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Парсер v2 распознает декларацию документа, метаданные, титульный лист, проектное обозначение, структурированные заголовки H1-H4, абзацы, рисунки, таблицы, списки, формулы, ссылки, источники, сноски, секции, разрывы страниц, приложения, графические листы, плакаты, слайдовые наборы, список сокращений и raw-блоки.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SFUTableCaption"/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2 — Маркеры TXT v2</w:t>
      </w:r>
    </w:p>
    <w:tbl>
      <w:tblPr>
        <w:tblStyle w:val="SFUTable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Группа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Маркер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rPr>
          <w:tblHeader/>
        </w:trP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Документ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[DOC], [META], [TITLE_PAGE], [DESIGNATION]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Метаданные, профиль, титульный лист и обозначение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Текст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[H], [P], [RAW]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Заголовки, абзацы и экранирование служебных строк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Объекты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[FIGURE], [TABLE], [FORMULA], [LIST]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Рисунки, таблицы, формулы и списки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Ссылки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[REF], [SOURCE], [FN], [FN_ANCHOR], [FN_BODY]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Перекрестные ссылки, источники и сноски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Расширения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[SECTION], [APPENDIX], [DRAWING], [POSTER], [SLIDE_DECK]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Специальные листы, приложения и демонстрационные материалы</w:t>
            </w:r>
          </w:p>
        </w:tc>
      </w:tr>
      <w:tr>
        <w:tc>
          <w:tcPr>
            <w:tcW w:type="dxa" w:w="9972"/>
            <w:gridSpan w:val="3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perscript"/>
              </w:rPr>
              <w:t>**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Строка-разделитель Markdown внутри таблицы не требуется: парсер читает строки с вертикальными чертами до TABLE_END.</w:t>
            </w:r>
          </w:p>
        </w:tc>
      </w:tr>
    </w:tbl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Перечень маркеров в таблице является проверяемым объектом (таблица tbl:v2-markers). Явная ссылка: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[tbl:v2-markers]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2.2 Абзацы и встроенные элементы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Абзац может хранить произвольные атрибуты, например `role=example`. Внутри текста поддерживаются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полужирные фрагменты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курсивные фрагменты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библиографические цитаты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[2, с. 15]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сноски </w:t>
      </w:r>
      <w:r>
        <w:rPr>
          <w:rStyle w:val="SFUFootnoteAnchor"/>
          <w:rFonts w:ascii="Times New Roman" w:hAnsi="Times New Roman" w:eastAsia="Times New Roman"/>
          <w:b w:val="0"/>
          <w:i w:val="0"/>
          <w:color w:val="000000"/>
          <w:sz w:val="28"/>
          <w:vertAlign w:val="superscript"/>
        </w:rPr>
        <w:footnoteReference w:id="1"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Раздельная форма сноски также поддерживается: в абзаце ставится якорь </w:t>
      </w:r>
      <w:r>
        <w:rPr>
          <w:rStyle w:val="SFUFootnoteAnchor"/>
          <w:rFonts w:ascii="Times New Roman" w:hAnsi="Times New Roman" w:eastAsia="Times New Roman"/>
          <w:b w:val="0"/>
          <w:i w:val="0"/>
          <w:color w:val="000000"/>
          <w:sz w:val="28"/>
          <w:vertAlign w:val="superscript"/>
        </w:rPr>
        <w:footnoteReference w:id="2"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, а тело сноски описывается отдельным блоком.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2.3 Таблицы, списки и вложенность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Таблицы поддерживают подпись, идентификатор, единицы измерения, число строк заголовка, пометки продолжения, единицы по колонкам и примечания. Списки поддерживают bullet, numbered и lettered, а вложенный список связывается с предыдущим пунктом.</w:t>
      </w:r>
    </w:p>
    <w:p>
      <w:pPr>
        <w:pStyle w:val="SFUTableUnit"/>
        <w:spacing w:line="24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шт.</w:t>
      </w:r>
    </w:p>
    <w:p>
      <w:pPr>
        <w:pStyle w:val="SFUTableCaption"/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Продолжение таблицы 3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tbl>
      <w:tblPr>
        <w:tblStyle w:val="SFUTable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caption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Подпись таблицы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tbl:table-options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header_rows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column_units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  <w:tc>
          <w:tcPr>
            <w:tcW w:type="dxa" w:w="3324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-, -, шт.</w:t>
            </w:r>
          </w:p>
        </w:tc>
      </w:tr>
      <w:tr>
        <w:tc>
          <w:tcPr>
            <w:tcW w:type="dxa" w:w="9972"/>
            <w:gridSpan w:val="3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perscript"/>
              </w:rPr>
              <w:t>*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Атрибут continuation может принимать значения continuation или final.</w:t>
            </w:r>
          </w:p>
        </w:tc>
      </w:tr>
    </w:tbl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Расширенная таблица показана как отдельный объект (таблица tbl:table-options). Явная ссылка: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[tbl:table-options]</w:t>
      </w:r>
    </w:p>
    <w:p>
      <w:pPr>
        <w:pStyle w:val="SFUListItem"/>
        <w:spacing w:line="360" w:lineRule="auto" w:before="0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а) Явный буквенный пункт.</w:t>
      </w:r>
    </w:p>
    <w:p>
      <w:pPr>
        <w:pStyle w:val="SFUListItem"/>
        <w:spacing w:line="360" w:lineRule="auto" w:before="0" w:after="0"/>
        <w:ind w:left="992" w:hanging="28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1) Вложенный нумерованный пункт.</w:t>
      </w:r>
    </w:p>
    <w:p>
      <w:pPr>
        <w:pStyle w:val="SFUListItem"/>
        <w:spacing w:line="360" w:lineRule="auto" w:before="0" w:after="0"/>
        <w:ind w:left="992" w:hanging="28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2) Второй вложенный нумерованный пункт.</w:t>
      </w:r>
    </w:p>
    <w:p>
      <w:pPr>
        <w:pStyle w:val="SFUListItem"/>
        <w:spacing w:line="360" w:lineRule="auto" w:before="0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б) Второй буквенный пункт.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2.4 Формулы и обозначения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Формулы поддерживают идентификатор, авто-нумерацию, пояснения символов, переносы длинных выражений и последовательные формулы без лишнего интервала.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SFUFormulaBody"/>
        <w:spacing w:line="360" w:lineRule="auto" w:before="0" w:after="0"/>
        <w:ind w:firstLine="709"/>
        <w:jc w:val="center"/>
        <w:tabs>
          <w:tab w:val="right" w:pos="9354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Q = (C + R + V) / 3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(1)</w:t>
      </w:r>
    </w:p>
    <w:p>
      <w:pPr>
        <w:pStyle w:val="SFUFormulaExplanation"/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где</w:t>
        <w:br/>
        <w:t>Q — интегральная оценка готовности документа</w:t>
        <w:br/>
        <w:t>C — полнота покрытия синтаксиса</w:t>
        <w:br/>
        <w:t>R — устойчивость парсинга</w:t>
        <w:br/>
        <w:t>V — валидируемость результата</w:t>
      </w:r>
    </w:p>
    <w:p>
      <w:pPr>
        <w:pStyle w:val="SFUFormulaBody"/>
        <w:spacing w:line="360" w:lineRule="auto" w:before="0" w:after="0"/>
        <w:ind w:firstLine="709"/>
        <w:jc w:val="center"/>
        <w:tabs>
          <w:tab w:val="right" w:pos="9354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 = parsed_blocks / declared_blocks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(2)</w:t>
      </w:r>
    </w:p>
    <w:p>
      <w:pPr>
        <w:pStyle w:val="SFUFormulaExplanation"/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где</w:t>
        <w:br/>
        <w:t>C — то же, что и в формуле (1)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Формулы доступны для ссылок через идентификаторы (формула (eq:quality)) и (формула (eq:coverage)).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[eq:quality]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[eq:coverage]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2.5 Глубина заголовков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3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2.5.1 Раздел с подпунктами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4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2.5.1.1 Первый подпункт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H4 используется для детальной структуры внутри пункта, если профиль допускает такую глубину.</w:t>
      </w:r>
    </w:p>
    <w:p>
      <w:pPr>
        <w:pStyle w:val="Heading4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2.5.1.2 Второй подпункт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Наличие двух подпунктов демонстрирует правило качества заголовков, при котором одиночный подпункт не считается полноценным делением.</w:t>
      </w:r>
    </w:p>
    <w:p>
      <w:r>
        <w:br w:type="page"/>
      </w:r>
    </w:p>
    <w:p>
      <w:pPr>
        <w:pStyle w:val="Heading1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Секции и демонстрационные материалы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 Секция с другим форматом листа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Маркер SECTION задает ориентацию, формат листа, рамку и форму основной надписи для вложенного фрагмента.</w:t>
      </w:r>
    </w:p>
    <w:p>
      <w:pPr>
        <w:sectPr>
          <w:footerReference w:type="default" r:id="rId9"/>
          <w:footerReference w:type="first" r:id="rId10"/>
          <w:pgSz w:w="12240" w:h="15840"/>
          <w:pgMar w:top="1134" w:right="567" w:bottom="1134" w:left="1701" w:header="720" w:footer="720" w:gutter="0"/>
          <w:cols w:space="720"/>
          <w:titlePg/>
          <w:docGrid w:linePitch="360"/>
          <w:pgNumType w:start="1"/>
        </w:sect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Этот абзац находится внутри A3 landscape секции с рамкой text_following и формой form_3.</w:t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SFUTableCaption"/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4 — Вложенная таблица в секции</w:t>
      </w:r>
    </w:p>
    <w:tbl>
      <w:tblPr>
        <w:tblStyle w:val="SFUTable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771"/>
        <w:gridCol w:w="10771"/>
      </w:tblGrid>
      <w:tr>
        <w:trPr>
          <w:tblHeader/>
        </w:trPr>
        <w:tc>
          <w:tcPr>
            <w:tcW w:type="dxa" w:w="10771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Объект</w:t>
            </w:r>
          </w:p>
        </w:tc>
        <w:tc>
          <w:tcPr>
            <w:tcW w:type="dxa" w:w="10771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10771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SectionSetupNode</w:t>
            </w:r>
          </w:p>
        </w:tc>
        <w:tc>
          <w:tcPr>
            <w:tcW w:type="dxa" w:w="10771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Настройка листа</w:t>
            </w:r>
          </w:p>
        </w:tc>
      </w:tr>
      <w:tr>
        <w:tc>
          <w:tcPr>
            <w:tcW w:type="dxa" w:w="10771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FrameType</w:t>
            </w:r>
          </w:p>
        </w:tc>
        <w:tc>
          <w:tcPr>
            <w:tcW w:type="dxa" w:w="10771"/>
            <w:tcMar>
              <w:top w:w="120" w:type="dxa"/>
              <w:bottom w:w="12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20" w:after="12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Выбор рамки</w:t>
            </w:r>
          </w:p>
        </w:tc>
      </w:tr>
    </w:tbl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tbl>
      <w:tblPr>
        <w:tblStyle w:val="SFUFrameMainInscription"/>
        <w:tblW w:type="auto" w:w="0"/>
        <w:tblLayout w:type="fixed"/>
        <w:tblLook w:firstColumn="1" w:firstRow="1" w:lastColumn="0" w:lastRow="0" w:noHBand="0" w:noVBand="1" w:val="04A0"/>
      </w:tblPr>
      <w:tblGrid>
        <w:gridCol w:w="10771"/>
        <w:gridCol w:w="10771"/>
      </w:tblGrid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Форма form_3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ДП-23.05.02-2026 ABCDEF.001 Э1 ПЗ</w:t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fldChar w:fldCharType="begin"/>
              <w:instrText xml:space="preserve"> PAGE </w:instrText>
              <w:fldChar w:fldCharType="end"/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13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14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15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16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17</w:t>
            </w:r>
          </w:p>
        </w:tc>
        <w:tc>
          <w:tcPr>
            <w:tcW w:type="dxa" w:w="10771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</w:tbl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 Графические листы, плакаты и слайды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профилей графических и демонстрационных материалов v2-парсер создает узлы DrawingSheetNode, PosterNode и SlideDeckNode. Даже в отчете эти блоки полезны как smoke-тест рендера дополнительных материалов.</w:t>
      </w:r>
    </w:p>
    <w:p>
      <w:pPr>
        <w:sectPr>
          <w:pgSz w:w="23811" w:h="16838" w:orient="landscape"/>
          <w:pgMar w:top="1701" w:right="1134" w:bottom="567" w:left="1134" w:header="720" w:footer="720" w:gutter="0"/>
          <w:cols w:space="720"/>
          <w:titlePg/>
          <w:docGrid w:linePitch="360"/>
          <w:pgNumType w:start="1"/>
          <w:pgBorders w:offsetFrom="page"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pgBorders>
        </w:sectPr>
      </w:pPr>
    </w:p>
    <w:p>
      <w:pPr>
        <w:spacing w:line="192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12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tbl>
      <w:tblPr>
        <w:tblStyle w:val="SFUFrameMainInscription"/>
        <w:tblW w:type="auto" w:w="0"/>
        <w:tblLayout w:type="fixed"/>
        <w:tblLook w:firstColumn="1" w:firstRow="1" w:lastColumn="0" w:lastRow="0" w:noHBand="0" w:noVBand="1" w:val="04A0"/>
      </w:tblPr>
      <w:tblGrid>
        <w:gridCol w:w="22705"/>
        <w:gridCol w:w="22705"/>
      </w:tblGrid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Форма form_5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ДП-23.05.02 ABCDEF.001 Э3</w:t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13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14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15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16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17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</w:tbl>
    <w:p>
      <w:pPr>
        <w:sectPr>
          <w:pgSz w:w="47679" w:h="33676" w:orient="landscape"/>
          <w:pgMar w:top="1701" w:right="1134" w:bottom="567" w:left="1134" w:header="720" w:footer="720" w:gutter="0"/>
          <w:cols w:space="720"/>
          <w:titlePg/>
          <w:docGrid w:linePitch="360"/>
          <w:pgNumType w:start="1"/>
          <w:pgBorders w:offsetFrom="page"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pgBorders>
        </w:sectPr>
      </w:pPr>
    </w:p>
    <w:p>
      <w:pPr>
        <w:pStyle w:val="Heading1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Плакат архитектуры конвертера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Плакат демонстрирует маршрут TXT v2 -&gt; AST -&gt; DOCX/PPTX и показывает, что вложенные блоки внутри POSTER разбираются тем же парсером.</w:t>
      </w:r>
    </w:p>
    <w:p>
      <w:pPr>
        <w:sectPr>
          <w:pgSz w:w="47679" w:h="33676" w:orient="landscape"/>
          <w:pgMar w:top="1701" w:right="1134" w:bottom="567" w:left="1134" w:header="720" w:footer="720" w:gutter="0"/>
          <w:cols w:space="720"/>
          <w:titlePg/>
          <w:docGrid w:linePitch="360"/>
          <w:pgNumType w:start="1"/>
          <w:pgBorders w:offsetFrom="page"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pgBorders>
        </w:sect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Оборотная сторона</w:t>
      </w:r>
    </w:p>
    <w:tbl>
      <w:tblPr>
        <w:tblStyle w:val="SFUFrameMainInscription"/>
        <w:tblW w:type="auto" w:w="0"/>
        <w:tblLayout w:type="fixed"/>
        <w:tblLook w:firstColumn="1" w:firstRow="1" w:lastColumn="0" w:lastRow="0" w:noHBand="0" w:noVBand="1" w:val="04A0"/>
      </w:tblPr>
      <w:tblGrid>
        <w:gridCol w:w="22705"/>
        <w:gridCol w:w="22705"/>
      </w:tblGrid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Форма form_5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13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14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15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16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  <w:tr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17</w:t>
            </w:r>
          </w:p>
        </w:tc>
        <w:tc>
          <w:tcPr>
            <w:tcW w:type="dxa" w:w="22705"/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</w:r>
          </w:p>
        </w:tc>
      </w:tr>
    </w:tbl>
    <w:p>
      <w:pPr>
        <w:pStyle w:val="Heading2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Слайд 1: Showcase SFU Converter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Ключевые возможности: TXT v2, профили, диагностика, DOCX, PPTX.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Слайд 2: Showcase SFU Converter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Parser v2 covers metadata, sections, tables, formulas, references, sources and demonstration materials.</w:t>
      </w:r>
    </w:p>
    <w:p>
      <w:r>
        <w:br w:type="page"/>
      </w:r>
    </w:p>
    <w:p>
      <w:pPr>
        <w:pStyle w:val="Heading1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Диагностика и проверяемость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Парсер сообщает коды диагностики для неизвестных маркеров, повторяющихся идентификаторов, отсутствующих закрывающих маркеров, неверных атрибутов, несовпадающей формы таблицы, неподдерживаемой версии синтаксиса, кириллических lookalike-символов в маркерах и недопустимого уровня заголовка. Конвертер дополнительно проверяет композицию документа, обязательные метаданные, обозначения, правила заголовков, графические материалы, стиль, единицы измерения, ссылки и библиографию.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[THIS_IS_LITERAL_TEXT]</w:t>
        <w:br/>
        <w:t>Строки внутри RAW не интерпретируются как маркеры TXT v2.</w:t>
        <w:br/>
        <w:t>[/THIS_IS_LITERAL_TEXT]</w:t>
      </w:r>
    </w:p>
    <w:p>
      <w:pPr>
        <w:sectPr>
          <w:pgSz w:w="47679" w:h="33676" w:orient="landscape"/>
          <w:pgMar w:top="1701" w:right="1134" w:bottom="567" w:left="1134" w:header="720" w:footer="720" w:gutter="0"/>
          <w:cols w:space="720"/>
          <w:titlePg/>
          <w:docGrid w:linePitch="360"/>
          <w:pgNumType w:start="1"/>
          <w:pgBorders w:offsetFrom="page"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pgBorders>
        </w:sectPr>
      </w:pPr>
    </w:p>
    <w:p>
      <w:pPr>
        <w:pStyle w:val="SFUStructuralHeading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</w:rPr>
        <w:t>ЗАКЛЮЧЕНИЕ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Демонстрационный файл показывает полный маршрут от исходного TXT v2 до форматированного результата: профильный титульный лист, основное содержание, справочные материалы, ссылки, сноски и список источников. Использование явных маркеров делает исходник пригодным для автоматического разбора, линтинга, конвертации и последующей проверки документа.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Приложение с матрицей покрытия упоминается в тексте как структурный элемент (см. приложение 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[app:a]</w:t>
      </w:r>
    </w:p>
    <w:p>
      <w:r>
        <w:br w:type="page"/>
      </w:r>
    </w:p>
    <w:p>
      <w:pPr>
        <w:pStyle w:val="SFUStructuralHeading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</w:rPr>
        <w:t>СПИСОК СОКРАЩЕНИЙ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tbl>
      <w:tblPr>
        <w:tblStyle w:val="SFUAbbreviationsTable"/>
        <w:tblW w:type="auto" w:w="0"/>
        <w:tblLayout w:type="fixed"/>
        <w:tblLook w:firstColumn="1" w:firstRow="1" w:lastColumn="0" w:lastRow="0" w:noHBand="0" w:noVBand="1" w:val="04A0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</w:tblPr>
      <w:tblGrid>
        <w:gridCol w:w="4819"/>
        <w:gridCol w:w="4819"/>
      </w:tblGrid>
      <w:tr>
        <w:tc>
          <w:tcPr>
            <w:tcW w:type="dxa" w:w="2268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AST</w:t>
            </w:r>
          </w:p>
        </w:tc>
        <w:tc>
          <w:tcPr>
            <w:tcW w:type="dxa" w:w="7370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— абстрактное синтаксическое дерево</w:t>
            </w:r>
          </w:p>
        </w:tc>
      </w:tr>
      <w:tr>
        <w:tc>
          <w:tcPr>
            <w:tcW w:type="dxa" w:w="2268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CLI</w:t>
            </w:r>
          </w:p>
        </w:tc>
        <w:tc>
          <w:tcPr>
            <w:tcW w:type="dxa" w:w="7370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— командный интерфейс</w:t>
            </w:r>
          </w:p>
        </w:tc>
      </w:tr>
      <w:tr>
        <w:tc>
          <w:tcPr>
            <w:tcW w:type="dxa" w:w="2268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DOCX</w:t>
            </w:r>
          </w:p>
        </w:tc>
        <w:tc>
          <w:tcPr>
            <w:tcW w:type="dxa" w:w="7370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— формат Office Open XML для текстовых документов</w:t>
            </w:r>
          </w:p>
        </w:tc>
      </w:tr>
      <w:tr>
        <w:tc>
          <w:tcPr>
            <w:tcW w:type="dxa" w:w="2268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PPTX</w:t>
            </w:r>
          </w:p>
        </w:tc>
        <w:tc>
          <w:tcPr>
            <w:tcW w:type="dxa" w:w="7370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— формат Office Open XML для презентаций</w:t>
            </w:r>
          </w:p>
        </w:tc>
      </w:tr>
      <w:tr>
        <w:tc>
          <w:tcPr>
            <w:tcW w:type="dxa" w:w="2268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SFU</w:t>
            </w:r>
          </w:p>
        </w:tc>
        <w:tc>
          <w:tcPr>
            <w:tcW w:type="dxa" w:w="7370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— Siberian Federal University formatting standard</w:t>
            </w:r>
          </w:p>
        </w:tc>
      </w:tr>
      <w:tr>
        <w:tc>
          <w:tcPr>
            <w:tcW w:type="dxa" w:w="2268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TXT</w:t>
            </w:r>
          </w:p>
        </w:tc>
        <w:tc>
          <w:tcPr>
            <w:tcW w:type="dxa" w:w="7370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— текстовый исходный файл с разметкой</w:t>
            </w:r>
          </w:p>
        </w:tc>
      </w:tr>
      <w:tr>
        <w:tc>
          <w:tcPr>
            <w:tcW w:type="dxa" w:w="2268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GOST</w:t>
            </w:r>
          </w:p>
        </w:tc>
        <w:tc>
          <w:tcPr>
            <w:tcW w:type="dxa" w:w="7370"/>
            <w:tcMar>
              <w:top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— государственный стандарт оформления</w:t>
            </w:r>
          </w:p>
        </w:tc>
      </w:tr>
    </w:tbl>
    <w:p>
      <w:r>
        <w:br w:type="page"/>
      </w:r>
    </w:p>
    <w:p>
      <w:pPr>
        <w:pStyle w:val="SFUStructuralHeading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</w:rPr>
        <w:t>СПИСОК ИСТОЧНИКОВ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SFUBibliographyEntr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СТУ 7.5-07-2024 Работы выпускные квалификационные, проекты и работы курсовые. — Красноярск: СФУ, 2024.</w:t>
      </w:r>
    </w:p>
    <w:p>
      <w:pPr>
        <w:pStyle w:val="SFUBibliographyEntr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Иванов, И. И. Автоматизация подготовки учебной документации / И. И. Иванов, П. П. Петров. — Красноярск: СФУ, 2023. — 320 с.</w:t>
      </w:r>
    </w:p>
    <w:p>
      <w:pPr>
        <w:pStyle w:val="SFUBibliographyEntr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Петров, П. П. Проверка структурированных текстовых документов / П. П. Петров, С. С. Сидоров // Вестник СФУ. — 2022. — № 4. — С. 12-18.</w:t>
      </w:r>
    </w:p>
    <w:p>
      <w:pPr>
        <w:pStyle w:val="SFUBibliographyEntr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Документация проекта SFU Converter [Электронный ресурс]. — URL: https://github.com/Nikita2005qwe/sfu_converter (дата обращения: 06.06.2026).</w:t>
      </w:r>
    </w:p>
    <w:p>
      <w:pPr>
        <w:pStyle w:val="SFUBibliographyEntr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Python Software Foundation. Python Documentation. — URL: https://docs.python.org/3/ (дата обращения: 06.06.2026).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[source:1]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[source:2]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[source:3]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[source:4]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[source:5]</w:t>
      </w:r>
    </w:p>
    <w:p>
      <w:r>
        <w:br w:type="page"/>
      </w:r>
    </w:p>
    <w:p>
      <w:r>
        <w:br w:type="page"/>
      </w:r>
    </w:p>
    <w:p>
      <w:pPr>
        <w:pStyle w:val="SFUAppendixHeading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</w:rPr>
        <w:t>ПРИЛОЖЕНИЕ А</w:t>
      </w:r>
    </w:p>
    <w:p>
      <w:pPr>
        <w:pStyle w:val="SFUFigureCaption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(справочное)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pStyle w:val="SFUStructuralHeading"/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</w:rPr>
        <w:t>Матрица покрытия showcase-файла</w:t>
      </w:r>
    </w:p>
    <w:p>
      <w:pPr>
        <w:spacing w:line="240" w:lineRule="auto" w:before="0" w:after="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</w:pPr>
    <w:r>
      <w:rPr>
        <w:rFonts w:ascii="Times New Roman" w:hAnsi="Times New Roman" w:eastAsia="Times New Roman"/>
        <w:color w:val="000000"/>
        <w:sz w:val="2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240" w:lineRule="auto"/>
        <w:pStyle w:val="SFUFootnoteText"/>
      </w:pPr>
      <w:r>
        <w:rPr>
          <w:vertAlign w:val="superscript"/>
          <w:sz w:val="24"/>
        </w:rPr>
        <w:footnoteRef/>
      </w:r>
      <w:r>
        <w:rPr>
          <w:vertAlign w:val="superscript"/>
          <w:sz w:val="24"/>
        </w:rPr>
        <w:t>1</w:t>
      </w:r>
      <w:r>
        <w:rPr>
          <w:sz w:val="24"/>
        </w:rPr>
        <w:t xml:space="preserve"> </w:t>
      </w:r>
      <w:r>
        <w:rPr>
          <w:sz w:val="24"/>
        </w:rPr>
        <w:t>Inline-сноска создается сразу как якорь и тело сноски.</w:t>
      </w:r>
    </w:p>
  </w:footnote>
  <w:footnote w:id="2">
    <w:p>
      <w:pPr>
        <w:spacing w:line="240" w:lineRule="auto"/>
        <w:pStyle w:val="SFUFootnoteText"/>
      </w:pPr>
      <w:r>
        <w:rPr>
          <w:vertAlign w:val="superscript"/>
          <w:sz w:val="24"/>
        </w:rPr>
        <w:footnoteRef/>
      </w:r>
      <w:r>
        <w:rPr>
          <w:vertAlign w:val="superscript"/>
          <w:sz w:val="24"/>
        </w:rPr>
        <w:t>2</w:t>
      </w:r>
      <w:r>
        <w:rPr>
          <w:sz w:val="24"/>
        </w:rPr>
        <w:t xml:space="preserve"> </w:t>
      </w:r>
      <w:r>
        <w:rPr>
          <w:sz w:val="24"/>
        </w:rPr>
        <w:t>Тело сноски может занимать несколько строк и хранится отдельно от основного абзаца.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FUStructuralHeading">
    <w:name w:val="SFUStructuralHeading"/>
    <w:basedOn w:val="Normal"/>
    <w:pPr>
      <w:ind w:firstLine="0"/>
      <w:jc w:val="center"/>
      <w:outlineLvl w:val="0"/>
    </w:pPr>
    <w:rPr>
      <w:rFonts w:ascii="Times New Roman" w:hAnsi="Times New Roman"/>
      <w:b/>
      <w:i w:val="0"/>
      <w:caps/>
      <w:vanish w:val="0"/>
      <w:color w:val="000000"/>
      <w:sz w:val="28"/>
    </w:rPr>
  </w:style>
  <w:style w:type="paragraph" w:customStyle="1" w:styleId="SFUMetadata">
    <w:name w:val="SFUMetadata"/>
    <w:basedOn w:val="Normal"/>
    <w:pPr>
      <w:spacing w:line="240" w:lineRule="auto"/>
      <w:ind w:firstLine="0"/>
    </w:pPr>
    <w:rPr>
      <w:rFonts w:ascii="Times New Roman" w:hAnsi="Times New Roman"/>
      <w:b w:val="0"/>
      <w:i w:val="0"/>
      <w:vanish/>
      <w:color w:val="000000"/>
      <w:sz w:val="28"/>
    </w:rPr>
  </w:style>
  <w:style w:type="character" w:customStyle="1" w:styleId="SFUFootnoteAnchor">
    <w:name w:val="SFUFootnoteAnchor"/>
    <w:rPr>
      <w:rFonts w:ascii="Times New Roman" w:hAnsi="Times New Roman"/>
      <w:color w:val="000000"/>
      <w:sz w:val="24"/>
      <w:vertAlign w:val="superscript"/>
    </w:rPr>
  </w:style>
  <w:style w:type="paragraph" w:customStyle="1" w:styleId="SFUFootnoteText">
    <w:name w:val="SFUFootnoteText"/>
    <w:basedOn w:val="Normal"/>
    <w:pPr>
      <w:spacing w:line="240" w:lineRule="auto"/>
      <w:ind w:firstLine="0"/>
      <w:jc w:val="left"/>
    </w:pPr>
    <w:rPr>
      <w:rFonts w:ascii="Times New Roman" w:hAnsi="Times New Roman"/>
      <w:b w:val="0"/>
      <w:i w:val="0"/>
      <w:vanish w:val="0"/>
      <w:color w:val="000000"/>
      <w:sz w:val="24"/>
    </w:rPr>
  </w:style>
  <w:style w:type="paragraph" w:customStyle="1" w:styleId="SFUTableCaption">
    <w:name w:val="SFUTableCaption"/>
    <w:basedOn w:val="Caption"/>
    <w:pPr>
      <w:ind w:firstLine="0"/>
      <w:jc w:val="left"/>
    </w:pPr>
    <w:rPr>
      <w:rFonts w:ascii="Times New Roman" w:hAnsi="Times New Roman"/>
      <w:b w:val="0"/>
      <w:i w:val="0"/>
      <w:vanish w:val="0"/>
      <w:color w:val="000000"/>
      <w:sz w:val="28"/>
    </w:rPr>
  </w:style>
  <w:style w:type="paragraph" w:customStyle="1" w:styleId="SFUTableUnit">
    <w:name w:val="SFUTableUnit"/>
    <w:basedOn w:val="Normal"/>
    <w:pPr>
      <w:ind w:firstLine="0"/>
      <w:jc w:val="right"/>
    </w:pPr>
    <w:rPr>
      <w:rFonts w:ascii="Times New Roman" w:hAnsi="Times New Roman"/>
      <w:b w:val="0"/>
      <w:i w:val="0"/>
      <w:vanish w:val="0"/>
      <w:color w:val="000000"/>
      <w:sz w:val="24"/>
    </w:rPr>
  </w:style>
  <w:style w:type="table" w:customStyle="1" w:styleId="SFUTable">
    <w:name w:val="SFUTable"/>
    <w:rPr>
      <w:rFonts w:ascii="Times New Roman" w:hAnsi="Times New Roman"/>
      <w:color w:val="000000"/>
    </w:rPr>
  </w:style>
  <w:style w:type="table" w:customStyle="1" w:styleId="SFUAbbreviationsTable">
    <w:name w:val="SFUAbbreviationsTable"/>
    <w:rPr>
      <w:rFonts w:ascii="Times New Roman" w:hAnsi="Times New Roman"/>
      <w:color w:val="000000"/>
    </w:rPr>
  </w:style>
  <w:style w:type="paragraph" w:customStyle="1" w:styleId="SFUFigureCaption">
    <w:name w:val="SFUFigureCaption"/>
    <w:basedOn w:val="Caption"/>
    <w:pPr>
      <w:ind w:firstLine="0"/>
      <w:jc w:val="center"/>
    </w:pPr>
    <w:rPr>
      <w:rFonts w:ascii="Times New Roman" w:hAnsi="Times New Roman"/>
      <w:b w:val="0"/>
      <w:i w:val="0"/>
      <w:vanish w:val="0"/>
      <w:color w:val="000000"/>
      <w:sz w:val="28"/>
    </w:rPr>
  </w:style>
  <w:style w:type="paragraph" w:customStyle="1" w:styleId="SFUFigureExplanatory">
    <w:name w:val="SFUFigureExplanatory"/>
    <w:basedOn w:val="Normal"/>
    <w:pPr>
      <w:ind w:firstLine="0"/>
      <w:jc w:val="center"/>
    </w:pPr>
    <w:rPr>
      <w:rFonts w:ascii="Times New Roman" w:hAnsi="Times New Roman"/>
      <w:b w:val="0"/>
      <w:i w:val="0"/>
      <w:vanish w:val="0"/>
      <w:color w:val="000000"/>
      <w:sz w:val="24"/>
    </w:rPr>
  </w:style>
  <w:style w:type="paragraph" w:customStyle="1" w:styleId="SFUFigurePlaceholder">
    <w:name w:val="SFUFigurePlaceholder"/>
    <w:basedOn w:val="Normal"/>
    <w:pPr>
      <w:ind w:firstLine="0"/>
    </w:pPr>
    <w:rPr>
      <w:rFonts w:ascii="Times New Roman" w:hAnsi="Times New Roman"/>
      <w:b w:val="0"/>
      <w:i/>
      <w:vanish w:val="0"/>
      <w:color w:val="000000"/>
      <w:sz w:val="28"/>
    </w:rPr>
  </w:style>
  <w:style w:type="paragraph" w:customStyle="1" w:styleId="SFUFormulaBody">
    <w:name w:val="SFUFormulaBody"/>
    <w:basedOn w:val="Normal"/>
    <w:pPr>
      <w:tabs>
        <w:tab w:pos="9354" w:val="right"/>
      </w:tabs>
      <w:ind w:firstLine="709"/>
      <w:jc w:val="center"/>
    </w:pPr>
    <w:rPr>
      <w:rFonts w:ascii="Times New Roman" w:hAnsi="Times New Roman"/>
      <w:b w:val="0"/>
      <w:i w:val="0"/>
      <w:vanish w:val="0"/>
      <w:color w:val="000000"/>
      <w:sz w:val="28"/>
    </w:rPr>
  </w:style>
  <w:style w:type="paragraph" w:customStyle="1" w:styleId="SFUFormulaExplanation">
    <w:name w:val="SFUFormulaExplanation"/>
    <w:basedOn w:val="Normal"/>
    <w:pPr>
      <w:ind w:firstLine="0"/>
      <w:jc w:val="left"/>
    </w:pPr>
    <w:rPr>
      <w:rFonts w:ascii="Times New Roman" w:hAnsi="Times New Roman"/>
      <w:b w:val="0"/>
      <w:i w:val="0"/>
      <w:vanish w:val="0"/>
      <w:color w:val="000000"/>
      <w:sz w:val="28"/>
    </w:rPr>
  </w:style>
  <w:style w:type="paragraph" w:customStyle="1" w:styleId="SFUBibliographyEntry">
    <w:name w:val="SFUBibliographyEntry"/>
    <w:basedOn w:val="Normal"/>
    <w:pPr>
      <w:ind w:firstLine="709"/>
      <w:jc w:val="both"/>
    </w:pPr>
    <w:rPr>
      <w:rFonts w:ascii="Times New Roman" w:hAnsi="Times New Roman"/>
      <w:b w:val="0"/>
      <w:i w:val="0"/>
      <w:vanish w:val="0"/>
      <w:color w:val="000000"/>
      <w:sz w:val="28"/>
    </w:rPr>
  </w:style>
  <w:style w:type="paragraph" w:customStyle="1" w:styleId="SFUListItem">
    <w:name w:val="SFUListItem"/>
    <w:basedOn w:val="Normal"/>
    <w:pPr>
      <w:ind w:firstLine="709"/>
      <w:jc w:val="both"/>
    </w:pPr>
    <w:rPr>
      <w:rFonts w:ascii="Times New Roman" w:hAnsi="Times New Roman"/>
      <w:b w:val="0"/>
      <w:i w:val="0"/>
      <w:vanish w:val="0"/>
      <w:color w:val="000000"/>
      <w:sz w:val="28"/>
    </w:rPr>
  </w:style>
  <w:style w:type="paragraph" w:customStyle="1" w:styleId="SFUTOCHeading">
    <w:name w:val="SFUTOCHeading"/>
    <w:basedOn w:val="SFUStructuralHeading"/>
    <w:pPr>
      <w:ind w:firstLine="0"/>
      <w:jc w:val="center"/>
    </w:pPr>
    <w:rPr>
      <w:rFonts w:ascii="Times New Roman" w:hAnsi="Times New Roman"/>
      <w:b/>
      <w:i w:val="0"/>
      <w:caps/>
      <w:vanish w:val="0"/>
      <w:color w:val="000000"/>
      <w:sz w:val="28"/>
    </w:rPr>
  </w:style>
  <w:style w:type="paragraph" w:customStyle="1" w:styleId="SFUAppendixHeading">
    <w:name w:val="SFUAppendixHeading"/>
    <w:basedOn w:val="Normal"/>
    <w:pPr>
      <w:ind w:firstLine="0"/>
      <w:jc w:val="center"/>
      <w:outlineLvl w:val="0"/>
    </w:pPr>
    <w:rPr>
      <w:rFonts w:ascii="Times New Roman" w:hAnsi="Times New Roman"/>
      <w:b/>
      <w:i w:val="0"/>
      <w:vanish w:val="0"/>
      <w:color w:val="000000"/>
      <w:sz w:val="28"/>
    </w:rPr>
  </w:style>
  <w:style w:type="table" w:customStyle="1" w:styleId="SFUFrameMainInscription">
    <w:name w:val="SFUFrameMainInscription"/>
    <w:rPr>
      <w:rFonts w:ascii="Times New Roman" w:hAnsi="Times New Roman"/>
      <w:color w:val="000000"/>
    </w:rPr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  <w:style w:type="paragraph" w:customStyle="1" w:styleId="TOC3">
    <w:name w:val="TOC 3"/>
    <w:basedOn w:val="Normal"/>
  </w:style>
  <w:style w:type="paragraph" w:customStyle="1" w:styleId="TOC4">
    <w:name w:val="TOC 4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Showcase возможностей SFU Converter и парсера TXT v2</dc:title>
  <dc:subject/>
  <dc:creator>Иванов И. И.</dc:creator>
  <cp:keywords>document_type=ОТЧЕТ ПО ЛАБОРАТОРНОЙ РАБОТЕ; group=КИ22-01Б; supervisor=Петров П. П.; teacher=Петров П. П.; city=Красноярск; department=Кафедра программной инженерии; discipline=Инструменты подготовки учебной документации; language=ru; record_book=123456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