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100" w:before="0"/>
        <w:jc w:val="center"/>
      </w:pPr>
      <w:r>
        <w:rPr>
          <w:b/>
          <w:bCs/>
          <w:color w:val="FFFFFF"/>
          <w:sz w:val="34"/>
          <w:szCs w:val="34"/>
        </w:rPr>
        <w:t xml:space="preserve">Domestic VAT Import Template Manual</w:t>
      </w:r>
    </w:p>
    <w:p>
      <w:pPr>
        <w:shd w:fill="1F4E79" w:val="clear"/>
        <w:spacing w:after="240" w:before="0"/>
        <w:jc w:val="center"/>
      </w:pPr>
      <w:r>
        <w:rPr>
          <w:color w:val="FFFFFF"/>
          <w:sz w:val="22"/>
          <w:szCs w:val="22"/>
        </w:rPr>
        <w:t xml:space="preserve">Discussion guide for the recommended APIS Excel template</w:t>
      </w:r>
    </w:p>
    <w:p>
      <w:pPr>
        <w:spacing w:after="120" w:before="0" w:line="300"/>
      </w:pPr>
      <w:r>
        <w:rPr>
          <w:color w:val="1F2937"/>
          <w:sz w:val="22"/>
          <w:szCs w:val="22"/>
        </w:rPr>
        <w:t xml:space="preserve">This short manual explains how to use the Domestic VAT recommended import template and why the template is structured this way. It is intended for discussion before the template becomes the final standard.</w:t>
      </w:r>
    </w:p>
    <w:p>
      <w:pPr>
        <w:pStyle w:val="Heading1"/>
        <w:spacing w:after="120" w:before="280"/>
      </w:pPr>
      <w:r>
        <w:rPr>
          <w:b/>
          <w:bCs/>
          <w:color w:val="2E74B5"/>
          <w:sz w:val="32"/>
          <w:szCs w:val="32"/>
        </w:rPr>
        <w:t xml:space="preserve">1. Main Rule</w:t>
      </w:r>
    </w:p>
    <w:p>
      <w:pPr>
        <w:spacing w:after="120" w:before="0" w:line="300"/>
      </w:pPr>
      <w:r>
        <w:rPr>
          <w:color w:val="1F2937"/>
          <w:sz w:val="22"/>
          <w:szCs w:val="22"/>
        </w:rPr>
        <w:t xml:space="preserve">Users should enter data only in the first sheet, VAT Import. The other sheets are instructions or reference sheets. They are protected to prevent accidental changes to province lists, VAT provisions, and benchmark rates.</w:t>
      </w:r>
    </w:p>
    <w:tbl>
      <w:tblPr>
        <w:tblW w:type="dxa" w:w="9360"/>
        <w:tblBorders>
          <w:top w:val="single" w:color="D9E2EA" w:sz="4"/>
          <w:left w:val="single" w:color="D9E2EA" w:sz="4"/>
          <w:bottom w:val="single" w:color="D9E2EA" w:sz="4"/>
          <w:right w:val="single" w:color="D9E2EA" w:sz="4"/>
          <w:insideH w:val="single" w:color="D9E2EA" w:sz="4"/>
          <w:insideV w:val="single" w:color="D9E2EA" w:sz="4"/>
        </w:tblBorders>
      </w:tblPr>
      <w:tblGrid>
        <w:gridCol w:w="100"/>
        <w:gridCol w:w="100"/>
        <w:gridCol w:w="100"/>
      </w:tblGrid>
      <w:tr>
        <w:tc>
          <w:tcPr>
            <w:tcW w:type="dxa" w:w="1700"/>
            <w:shd w:fill="F2F4F7" w:val="clear"/>
            <w:tcMar>
              <w:top w:type="dxa" w:w="100"/>
              <w:left w:type="dxa" w:w="140"/>
              <w:bottom w:type="dxa" w:w="100"/>
              <w:right w:type="dxa" w:w="140"/>
            </w:tcMar>
          </w:tcPr>
          <w:p>
            <w:pPr>
              <w:spacing w:after="0" w:before="0" w:line="260"/>
            </w:pPr>
            <w:r>
              <w:rPr>
                <w:b/>
                <w:bCs/>
                <w:color w:val="1F2937"/>
                <w:sz w:val="20"/>
                <w:szCs w:val="20"/>
              </w:rPr>
              <w:t xml:space="preserve">Sheet</w:t>
            </w:r>
          </w:p>
        </w:tc>
        <w:tc>
          <w:tcPr>
            <w:tcW w:type="dxa" w:w="4300"/>
            <w:shd w:fill="F2F4F7" w:val="clear"/>
            <w:tcMar>
              <w:top w:type="dxa" w:w="100"/>
              <w:left w:type="dxa" w:w="140"/>
              <w:bottom w:type="dxa" w:w="100"/>
              <w:right w:type="dxa" w:w="140"/>
            </w:tcMar>
          </w:tcPr>
          <w:p>
            <w:pPr>
              <w:spacing w:after="0" w:before="0" w:line="260"/>
            </w:pPr>
            <w:r>
              <w:rPr>
                <w:b/>
                <w:bCs/>
                <w:color w:val="1F2937"/>
                <w:sz w:val="20"/>
                <w:szCs w:val="20"/>
              </w:rPr>
              <w:t xml:space="preserve">Purpose</w:t>
            </w:r>
          </w:p>
        </w:tc>
        <w:tc>
          <w:tcPr>
            <w:tcW w:type="dxa" w:w="3360"/>
            <w:shd w:fill="F2F4F7" w:val="clear"/>
            <w:tcMar>
              <w:top w:type="dxa" w:w="100"/>
              <w:left w:type="dxa" w:w="140"/>
              <w:bottom w:type="dxa" w:w="100"/>
              <w:right w:type="dxa" w:w="140"/>
            </w:tcMar>
          </w:tcPr>
          <w:p>
            <w:pPr>
              <w:spacing w:after="0" w:before="0" w:line="260"/>
            </w:pPr>
            <w:r>
              <w:rPr>
                <w:b/>
                <w:bCs/>
                <w:color w:val="1F2937"/>
                <w:sz w:val="20"/>
                <w:szCs w:val="20"/>
              </w:rPr>
              <w:t xml:space="preserve">User Action</w:t>
            </w:r>
          </w:p>
        </w:tc>
      </w:tr>
      <w:tr>
        <w:tc>
          <w:tcPr>
            <w:tcW w:type="dxa" w:w="1700"/>
            <w:tcMar>
              <w:top w:type="dxa" w:w="100"/>
              <w:left w:type="dxa" w:w="140"/>
              <w:bottom w:type="dxa" w:w="100"/>
              <w:right w:type="dxa" w:w="140"/>
            </w:tcMar>
          </w:tcPr>
          <w:p>
            <w:pPr>
              <w:spacing w:after="0" w:before="0" w:line="260"/>
            </w:pPr>
            <w:r>
              <w:rPr>
                <w:b w:val="false"/>
                <w:bCs w:val="false"/>
                <w:color w:val="1F2937"/>
                <w:sz w:val="20"/>
                <w:szCs w:val="20"/>
              </w:rPr>
              <w:t xml:space="preserve">VAT Import</w:t>
            </w:r>
          </w:p>
        </w:tc>
        <w:tc>
          <w:tcPr>
            <w:tcW w:type="dxa" w:w="4300"/>
            <w:tcMar>
              <w:top w:type="dxa" w:w="100"/>
              <w:left w:type="dxa" w:w="140"/>
              <w:bottom w:type="dxa" w:w="100"/>
              <w:right w:type="dxa" w:w="140"/>
            </w:tcMar>
          </w:tcPr>
          <w:p>
            <w:pPr>
              <w:spacing w:after="0" w:before="0" w:line="260"/>
            </w:pPr>
            <w:r>
              <w:rPr>
                <w:b w:val="false"/>
                <w:bCs w:val="false"/>
                <w:color w:val="1F2937"/>
                <w:sz w:val="20"/>
                <w:szCs w:val="20"/>
              </w:rPr>
              <w:t xml:space="preserve">Main data-entry sheet for Domestic VAT import.</w:t>
            </w:r>
          </w:p>
        </w:tc>
        <w:tc>
          <w:tcPr>
            <w:tcW w:type="dxa" w:w="3360"/>
            <w:tcMar>
              <w:top w:type="dxa" w:w="100"/>
              <w:left w:type="dxa" w:w="140"/>
              <w:bottom w:type="dxa" w:w="100"/>
              <w:right w:type="dxa" w:w="140"/>
            </w:tcMar>
          </w:tcPr>
          <w:p>
            <w:pPr>
              <w:spacing w:after="0" w:before="0" w:line="260"/>
            </w:pPr>
            <w:r>
              <w:rPr>
                <w:b w:val="false"/>
                <w:bCs w:val="false"/>
                <w:color w:val="1F2937"/>
                <w:sz w:val="20"/>
                <w:szCs w:val="20"/>
              </w:rPr>
              <w:t xml:space="preserve">Complete one row per taxpayer and filing period.</w:t>
            </w:r>
          </w:p>
        </w:tc>
      </w:tr>
      <w:tr>
        <w:tc>
          <w:tcPr>
            <w:tcW w:type="dxa" w:w="1700"/>
            <w:tcMar>
              <w:top w:type="dxa" w:w="100"/>
              <w:left w:type="dxa" w:w="140"/>
              <w:bottom w:type="dxa" w:w="100"/>
              <w:right w:type="dxa" w:w="140"/>
            </w:tcMar>
          </w:tcPr>
          <w:p>
            <w:pPr>
              <w:spacing w:after="0" w:before="0" w:line="260"/>
            </w:pPr>
            <w:r>
              <w:rPr>
                <w:b w:val="false"/>
                <w:bCs w:val="false"/>
                <w:color w:val="1F2937"/>
                <w:sz w:val="20"/>
                <w:szCs w:val="20"/>
              </w:rPr>
              <w:t xml:space="preserve">Instructions</w:t>
            </w:r>
          </w:p>
        </w:tc>
        <w:tc>
          <w:tcPr>
            <w:tcW w:type="dxa" w:w="4300"/>
            <w:tcMar>
              <w:top w:type="dxa" w:w="100"/>
              <w:left w:type="dxa" w:w="140"/>
              <w:bottom w:type="dxa" w:w="100"/>
              <w:right w:type="dxa" w:w="140"/>
            </w:tcMar>
          </w:tcPr>
          <w:p>
            <w:pPr>
              <w:spacing w:after="0" w:before="0" w:line="260"/>
            </w:pPr>
            <w:r>
              <w:rPr>
                <w:b w:val="false"/>
                <w:bCs w:val="false"/>
                <w:color w:val="1F2937"/>
                <w:sz w:val="20"/>
                <w:szCs w:val="20"/>
              </w:rPr>
              <w:t xml:space="preserve">Explains field groups, colors, compatibility, and fallback rules.</w:t>
            </w:r>
          </w:p>
        </w:tc>
        <w:tc>
          <w:tcPr>
            <w:tcW w:type="dxa" w:w="3360"/>
            <w:tcMar>
              <w:top w:type="dxa" w:w="100"/>
              <w:left w:type="dxa" w:w="140"/>
              <w:bottom w:type="dxa" w:w="100"/>
              <w:right w:type="dxa" w:w="140"/>
            </w:tcMar>
          </w:tcPr>
          <w:p>
            <w:pPr>
              <w:spacing w:after="0" w:before="0" w:line="260"/>
            </w:pPr>
            <w:r>
              <w:rPr>
                <w:b w:val="false"/>
                <w:bCs w:val="false"/>
                <w:color w:val="1F2937"/>
                <w:sz w:val="20"/>
                <w:szCs w:val="20"/>
              </w:rPr>
              <w:t xml:space="preserve">Read only.</w:t>
            </w:r>
          </w:p>
        </w:tc>
      </w:tr>
      <w:tr>
        <w:tc>
          <w:tcPr>
            <w:tcW w:type="dxa" w:w="1700"/>
            <w:tcMar>
              <w:top w:type="dxa" w:w="100"/>
              <w:left w:type="dxa" w:w="140"/>
              <w:bottom w:type="dxa" w:w="100"/>
              <w:right w:type="dxa" w:w="140"/>
            </w:tcMar>
          </w:tcPr>
          <w:p>
            <w:pPr>
              <w:spacing w:after="0" w:before="0" w:line="260"/>
            </w:pPr>
            <w:r>
              <w:rPr>
                <w:b w:val="false"/>
                <w:bCs w:val="false"/>
                <w:color w:val="1F2937"/>
                <w:sz w:val="20"/>
                <w:szCs w:val="20"/>
              </w:rPr>
              <w:t xml:space="preserve">Validation Lists</w:t>
            </w:r>
          </w:p>
        </w:tc>
        <w:tc>
          <w:tcPr>
            <w:tcW w:type="dxa" w:w="4300"/>
            <w:tcMar>
              <w:top w:type="dxa" w:w="100"/>
              <w:left w:type="dxa" w:w="140"/>
              <w:bottom w:type="dxa" w:w="100"/>
              <w:right w:type="dxa" w:w="140"/>
            </w:tcMar>
          </w:tcPr>
          <w:p>
            <w:pPr>
              <w:spacing w:after="0" w:before="0" w:line="260"/>
            </w:pPr>
            <w:r>
              <w:rPr>
                <w:b w:val="false"/>
                <w:bCs w:val="false"/>
                <w:color w:val="1F2937"/>
                <w:sz w:val="20"/>
                <w:szCs w:val="20"/>
              </w:rPr>
              <w:t xml:space="preserve">Stores dropdown lists used by the import sheet.</w:t>
            </w:r>
          </w:p>
        </w:tc>
        <w:tc>
          <w:tcPr>
            <w:tcW w:type="dxa" w:w="3360"/>
            <w:tcMar>
              <w:top w:type="dxa" w:w="100"/>
              <w:left w:type="dxa" w:w="140"/>
              <w:bottom w:type="dxa" w:w="100"/>
              <w:right w:type="dxa" w:w="140"/>
            </w:tcMar>
          </w:tcPr>
          <w:p>
            <w:pPr>
              <w:spacing w:after="0" w:before="0" w:line="260"/>
            </w:pPr>
            <w:r>
              <w:rPr>
                <w:b w:val="false"/>
                <w:bCs w:val="false"/>
                <w:color w:val="1F2937"/>
                <w:sz w:val="20"/>
                <w:szCs w:val="20"/>
              </w:rPr>
              <w:t xml:space="preserve">Read only.</w:t>
            </w:r>
          </w:p>
        </w:tc>
      </w:tr>
      <w:tr>
        <w:tc>
          <w:tcPr>
            <w:tcW w:type="dxa" w:w="1700"/>
            <w:tcMar>
              <w:top w:type="dxa" w:w="100"/>
              <w:left w:type="dxa" w:w="140"/>
              <w:bottom w:type="dxa" w:w="100"/>
              <w:right w:type="dxa" w:w="140"/>
            </w:tcMar>
          </w:tcPr>
          <w:p>
            <w:pPr>
              <w:spacing w:after="0" w:before="0" w:line="260"/>
            </w:pPr>
            <w:r>
              <w:rPr>
                <w:b w:val="false"/>
                <w:bCs w:val="false"/>
                <w:color w:val="1F2937"/>
                <w:sz w:val="20"/>
                <w:szCs w:val="20"/>
              </w:rPr>
              <w:t xml:space="preserve">Data Dictionary</w:t>
            </w:r>
          </w:p>
        </w:tc>
        <w:tc>
          <w:tcPr>
            <w:tcW w:type="dxa" w:w="4300"/>
            <w:tcMar>
              <w:top w:type="dxa" w:w="100"/>
              <w:left w:type="dxa" w:w="140"/>
              <w:bottom w:type="dxa" w:w="100"/>
              <w:right w:type="dxa" w:w="140"/>
            </w:tcMar>
          </w:tcPr>
          <w:p>
            <w:pPr>
              <w:spacing w:after="0" w:before="0" w:line="260"/>
            </w:pPr>
            <w:r>
              <w:rPr>
                <w:b w:val="false"/>
                <w:bCs w:val="false"/>
                <w:color w:val="1F2937"/>
                <w:sz w:val="20"/>
                <w:szCs w:val="20"/>
              </w:rPr>
              <w:t xml:space="preserve">Shows official province, VAT provision, and benchmark-rate references.</w:t>
            </w:r>
          </w:p>
        </w:tc>
        <w:tc>
          <w:tcPr>
            <w:tcW w:type="dxa" w:w="3360"/>
            <w:tcMar>
              <w:top w:type="dxa" w:w="100"/>
              <w:left w:type="dxa" w:w="140"/>
              <w:bottom w:type="dxa" w:w="100"/>
              <w:right w:type="dxa" w:w="140"/>
            </w:tcMar>
          </w:tcPr>
          <w:p>
            <w:pPr>
              <w:spacing w:after="0" w:before="0" w:line="260"/>
            </w:pPr>
            <w:r>
              <w:rPr>
                <w:b w:val="false"/>
                <w:bCs w:val="false"/>
                <w:color w:val="1F2937"/>
                <w:sz w:val="20"/>
                <w:szCs w:val="20"/>
              </w:rPr>
              <w:t xml:space="preserve">Read only.</w:t>
            </w:r>
          </w:p>
        </w:tc>
      </w:tr>
      <w:tr>
        <w:tc>
          <w:tcPr>
            <w:tcW w:type="dxa" w:w="1700"/>
            <w:tcMar>
              <w:top w:type="dxa" w:w="100"/>
              <w:left w:type="dxa" w:w="140"/>
              <w:bottom w:type="dxa" w:w="100"/>
              <w:right w:type="dxa" w:w="140"/>
            </w:tcMar>
          </w:tcPr>
          <w:p>
            <w:pPr>
              <w:spacing w:after="0" w:before="0" w:line="260"/>
            </w:pPr>
            <w:r>
              <w:rPr>
                <w:b w:val="false"/>
                <w:bCs w:val="false"/>
                <w:color w:val="1F2937"/>
                <w:sz w:val="20"/>
                <w:szCs w:val="20"/>
              </w:rPr>
              <w:t xml:space="preserve">Change Log</w:t>
            </w:r>
          </w:p>
        </w:tc>
        <w:tc>
          <w:tcPr>
            <w:tcW w:type="dxa" w:w="4300"/>
            <w:tcMar>
              <w:top w:type="dxa" w:w="100"/>
              <w:left w:type="dxa" w:w="140"/>
              <w:bottom w:type="dxa" w:w="100"/>
              <w:right w:type="dxa" w:w="140"/>
            </w:tcMar>
          </w:tcPr>
          <w:p>
            <w:pPr>
              <w:spacing w:after="0" w:before="0" w:line="260"/>
            </w:pPr>
            <w:r>
              <w:rPr>
                <w:b w:val="false"/>
                <w:bCs w:val="false"/>
                <w:color w:val="1F2937"/>
                <w:sz w:val="20"/>
                <w:szCs w:val="20"/>
              </w:rPr>
              <w:t xml:space="preserve">Records template version and changes.</w:t>
            </w:r>
          </w:p>
        </w:tc>
        <w:tc>
          <w:tcPr>
            <w:tcW w:type="dxa" w:w="3360"/>
            <w:tcMar>
              <w:top w:type="dxa" w:w="100"/>
              <w:left w:type="dxa" w:w="140"/>
              <w:bottom w:type="dxa" w:w="100"/>
              <w:right w:type="dxa" w:w="140"/>
            </w:tcMar>
          </w:tcPr>
          <w:p>
            <w:pPr>
              <w:spacing w:after="0" w:before="0" w:line="260"/>
            </w:pPr>
            <w:r>
              <w:rPr>
                <w:b w:val="false"/>
                <w:bCs w:val="false"/>
                <w:color w:val="1F2937"/>
                <w:sz w:val="20"/>
                <w:szCs w:val="20"/>
              </w:rPr>
              <w:t xml:space="preserve">Read only/reference.</w:t>
            </w:r>
          </w:p>
        </w:tc>
      </w:tr>
    </w:tbl>
    <w:p>
      <w:pPr>
        <w:pStyle w:val="Heading1"/>
        <w:spacing w:after="120" w:before="280"/>
      </w:pPr>
      <w:r>
        <w:rPr>
          <w:b/>
          <w:bCs/>
          <w:color w:val="2E74B5"/>
          <w:sz w:val="32"/>
          <w:szCs w:val="32"/>
        </w:rPr>
        <w:t xml:space="preserve">2. Information Groups</w:t>
      </w:r>
    </w:p>
    <w:p>
      <w:pPr>
        <w:spacing w:after="120" w:before="0" w:line="300"/>
      </w:pPr>
      <w:r>
        <w:rPr>
          <w:color w:val="1F2937"/>
          <w:sz w:val="22"/>
          <w:szCs w:val="22"/>
        </w:rPr>
        <w:t xml:space="preserve">The template keeps the expert's simpler raw-data direction but adds APIS controls. Current-compatible fields are placed first, and user fallback fields are clearly separated from primary filing data.</w:t>
      </w:r>
    </w:p>
    <w:tbl>
      <w:tblPr>
        <w:tblW w:type="dxa" w:w="9360"/>
        <w:tblBorders>
          <w:top w:val="single" w:color="D9E2EA" w:sz="4"/>
          <w:left w:val="single" w:color="D9E2EA" w:sz="4"/>
          <w:bottom w:val="single" w:color="D9E2EA" w:sz="4"/>
          <w:right w:val="single" w:color="D9E2EA" w:sz="4"/>
          <w:insideH w:val="single" w:color="D9E2EA" w:sz="4"/>
          <w:insideV w:val="single" w:color="D9E2EA" w:sz="4"/>
        </w:tblBorders>
      </w:tblPr>
      <w:tblGrid>
        <w:gridCol w:w="100"/>
        <w:gridCol w:w="100"/>
        <w:gridCol w:w="100"/>
      </w:tblGrid>
      <w:tr>
        <w:tc>
          <w:tcPr>
            <w:tcW w:type="dxa" w:w="2100"/>
            <w:shd w:fill="F2F4F7" w:val="clear"/>
            <w:tcMar>
              <w:top w:type="dxa" w:w="100"/>
              <w:left w:type="dxa" w:w="140"/>
              <w:bottom w:type="dxa" w:w="100"/>
              <w:right w:type="dxa" w:w="140"/>
            </w:tcMar>
          </w:tcPr>
          <w:p>
            <w:pPr>
              <w:spacing w:after="0" w:before="0" w:line="260"/>
            </w:pPr>
            <w:r>
              <w:rPr>
                <w:b/>
                <w:bCs/>
                <w:color w:val="1F2937"/>
                <w:sz w:val="20"/>
                <w:szCs w:val="20"/>
              </w:rPr>
              <w:t xml:space="preserve">Group</w:t>
            </w:r>
          </w:p>
        </w:tc>
        <w:tc>
          <w:tcPr>
            <w:tcW w:type="dxa" w:w="2700"/>
            <w:shd w:fill="F2F4F7" w:val="clear"/>
            <w:tcMar>
              <w:top w:type="dxa" w:w="100"/>
              <w:left w:type="dxa" w:w="140"/>
              <w:bottom w:type="dxa" w:w="100"/>
              <w:right w:type="dxa" w:w="140"/>
            </w:tcMar>
          </w:tcPr>
          <w:p>
            <w:pPr>
              <w:spacing w:after="0" w:before="0" w:line="260"/>
            </w:pPr>
            <w:r>
              <w:rPr>
                <w:b/>
                <w:bCs/>
                <w:color w:val="1F2937"/>
                <w:sz w:val="20"/>
                <w:szCs w:val="20"/>
              </w:rPr>
              <w:t xml:space="preserve">Color</w:t>
            </w:r>
          </w:p>
        </w:tc>
        <w:tc>
          <w:tcPr>
            <w:tcW w:type="dxa" w:w="4560"/>
            <w:shd w:fill="F2F4F7" w:val="clear"/>
            <w:tcMar>
              <w:top w:type="dxa" w:w="100"/>
              <w:left w:type="dxa" w:w="140"/>
              <w:bottom w:type="dxa" w:w="100"/>
              <w:right w:type="dxa" w:w="140"/>
            </w:tcMar>
          </w:tcPr>
          <w:p>
            <w:pPr>
              <w:spacing w:after="0" w:before="0" w:line="260"/>
            </w:pPr>
            <w:r>
              <w:rPr>
                <w:b/>
                <w:bCs/>
                <w:color w:val="1F2937"/>
                <w:sz w:val="20"/>
                <w:szCs w:val="20"/>
              </w:rPr>
              <w:t xml:space="preserve">Meaning</w:t>
            </w:r>
          </w:p>
        </w:tc>
      </w:tr>
      <w:tr>
        <w:tc>
          <w:tcPr>
            <w:tcW w:type="dxa" w:w="2100"/>
            <w:tcMar>
              <w:top w:type="dxa" w:w="100"/>
              <w:left w:type="dxa" w:w="140"/>
              <w:bottom w:type="dxa" w:w="100"/>
              <w:right w:type="dxa" w:w="140"/>
            </w:tcMar>
          </w:tcPr>
          <w:p>
            <w:pPr>
              <w:spacing w:after="0" w:before="0" w:line="260"/>
            </w:pPr>
            <w:r>
              <w:rPr>
                <w:b w:val="false"/>
                <w:bCs w:val="false"/>
                <w:color w:val="1F2937"/>
                <w:sz w:val="20"/>
                <w:szCs w:val="20"/>
              </w:rPr>
              <w:t xml:space="preserve">Primary Required</w:t>
            </w:r>
          </w:p>
        </w:tc>
        <w:tc>
          <w:tcPr>
            <w:tcW w:type="dxa" w:w="2700"/>
            <w:tcMar>
              <w:top w:type="dxa" w:w="100"/>
              <w:left w:type="dxa" w:w="140"/>
              <w:bottom w:type="dxa" w:w="100"/>
              <w:right w:type="dxa" w:w="140"/>
            </w:tcMar>
          </w:tcPr>
          <w:p>
            <w:pPr>
              <w:spacing w:after="0" w:before="0" w:line="260"/>
            </w:pPr>
            <w:r>
              <w:rPr>
                <w:b w:val="false"/>
                <w:bCs w:val="false"/>
                <w:color w:val="1F2937"/>
                <w:sz w:val="20"/>
                <w:szCs w:val="20"/>
              </w:rPr>
              <w:t xml:space="preserve">Dark blue header / light blue cells</w:t>
            </w:r>
          </w:p>
        </w:tc>
        <w:tc>
          <w:tcPr>
            <w:tcW w:type="dxa" w:w="4560"/>
            <w:tcMar>
              <w:top w:type="dxa" w:w="100"/>
              <w:left w:type="dxa" w:w="140"/>
              <w:bottom w:type="dxa" w:w="100"/>
              <w:right w:type="dxa" w:w="140"/>
            </w:tcMar>
          </w:tcPr>
          <w:p>
            <w:pPr>
              <w:spacing w:after="0" w:before="0" w:line="260"/>
            </w:pPr>
            <w:r>
              <w:rPr>
                <w:b w:val="false"/>
                <w:bCs w:val="false"/>
                <w:color w:val="1F2937"/>
                <w:sz w:val="20"/>
                <w:szCs w:val="20"/>
              </w:rPr>
              <w:t xml:space="preserve">Required for current Domestic VAT import and reporting.</w:t>
            </w:r>
          </w:p>
        </w:tc>
      </w:tr>
      <w:tr>
        <w:tc>
          <w:tcPr>
            <w:tcW w:type="dxa" w:w="2100"/>
            <w:tcMar>
              <w:top w:type="dxa" w:w="100"/>
              <w:left w:type="dxa" w:w="140"/>
              <w:bottom w:type="dxa" w:w="100"/>
              <w:right w:type="dxa" w:w="140"/>
            </w:tcMar>
          </w:tcPr>
          <w:p>
            <w:pPr>
              <w:spacing w:after="0" w:before="0" w:line="260"/>
            </w:pPr>
            <w:r>
              <w:rPr>
                <w:b w:val="false"/>
                <w:bCs w:val="false"/>
                <w:color w:val="1F2937"/>
                <w:sz w:val="20"/>
                <w:szCs w:val="20"/>
              </w:rPr>
              <w:t xml:space="preserve">Primary Conditional</w:t>
            </w:r>
          </w:p>
        </w:tc>
        <w:tc>
          <w:tcPr>
            <w:tcW w:type="dxa" w:w="2700"/>
            <w:tcMar>
              <w:top w:type="dxa" w:w="100"/>
              <w:left w:type="dxa" w:w="140"/>
              <w:bottom w:type="dxa" w:w="100"/>
              <w:right w:type="dxa" w:w="140"/>
            </w:tcMar>
          </w:tcPr>
          <w:p>
            <w:pPr>
              <w:spacing w:after="0" w:before="0" w:line="260"/>
            </w:pPr>
            <w:r>
              <w:rPr>
                <w:b w:val="false"/>
                <w:bCs w:val="false"/>
                <w:color w:val="1F2937"/>
                <w:sz w:val="20"/>
                <w:szCs w:val="20"/>
              </w:rPr>
              <w:t xml:space="preserve">Medium blue header / near-white cells</w:t>
            </w:r>
          </w:p>
        </w:tc>
        <w:tc>
          <w:tcPr>
            <w:tcW w:type="dxa" w:w="4560"/>
            <w:tcMar>
              <w:top w:type="dxa" w:w="100"/>
              <w:left w:type="dxa" w:w="140"/>
              <w:bottom w:type="dxa" w:w="100"/>
              <w:right w:type="dxa" w:w="140"/>
            </w:tcMar>
          </w:tcPr>
          <w:p>
            <w:pPr>
              <w:spacing w:after="0" w:before="0" w:line="260"/>
            </w:pPr>
            <w:r>
              <w:rPr>
                <w:b w:val="false"/>
                <w:bCs w:val="false"/>
                <w:color w:val="1F2937"/>
                <w:sz w:val="20"/>
                <w:szCs w:val="20"/>
              </w:rPr>
              <w:t xml:space="preserve">Needed only when the future full VAT calculation path is used.</w:t>
            </w:r>
          </w:p>
        </w:tc>
      </w:tr>
      <w:tr>
        <w:tc>
          <w:tcPr>
            <w:tcW w:type="dxa" w:w="2100"/>
            <w:tcMar>
              <w:top w:type="dxa" w:w="100"/>
              <w:left w:type="dxa" w:w="140"/>
              <w:bottom w:type="dxa" w:w="100"/>
              <w:right w:type="dxa" w:w="140"/>
            </w:tcMar>
          </w:tcPr>
          <w:p>
            <w:pPr>
              <w:spacing w:after="0" w:before="0" w:line="260"/>
            </w:pPr>
            <w:r>
              <w:rPr>
                <w:b w:val="false"/>
                <w:bCs w:val="false"/>
                <w:color w:val="1F2937"/>
                <w:sz w:val="20"/>
                <w:szCs w:val="20"/>
              </w:rPr>
              <w:t xml:space="preserve">Primary Optional</w:t>
            </w:r>
          </w:p>
        </w:tc>
        <w:tc>
          <w:tcPr>
            <w:tcW w:type="dxa" w:w="2700"/>
            <w:tcMar>
              <w:top w:type="dxa" w:w="100"/>
              <w:left w:type="dxa" w:w="140"/>
              <w:bottom w:type="dxa" w:w="100"/>
              <w:right w:type="dxa" w:w="140"/>
            </w:tcMar>
          </w:tcPr>
          <w:p>
            <w:pPr>
              <w:spacing w:after="0" w:before="0" w:line="260"/>
            </w:pPr>
            <w:r>
              <w:rPr>
                <w:b w:val="false"/>
                <w:bCs w:val="false"/>
                <w:color w:val="1F2937"/>
                <w:sz w:val="20"/>
                <w:szCs w:val="20"/>
              </w:rPr>
              <w:t xml:space="preserve">Slate header / white cells</w:t>
            </w:r>
          </w:p>
        </w:tc>
        <w:tc>
          <w:tcPr>
            <w:tcW w:type="dxa" w:w="4560"/>
            <w:tcMar>
              <w:top w:type="dxa" w:w="100"/>
              <w:left w:type="dxa" w:w="140"/>
              <w:bottom w:type="dxa" w:w="100"/>
              <w:right w:type="dxa" w:w="140"/>
            </w:tcMar>
          </w:tcPr>
          <w:p>
            <w:pPr>
              <w:spacing w:after="0" w:before="0" w:line="260"/>
            </w:pPr>
            <w:r>
              <w:rPr>
                <w:b w:val="false"/>
                <w:bCs w:val="false"/>
                <w:color w:val="1F2937"/>
                <w:sz w:val="20"/>
                <w:szCs w:val="20"/>
              </w:rPr>
              <w:t xml:space="preserve">Official or supporting filing information useful for audit.</w:t>
            </w:r>
          </w:p>
        </w:tc>
      </w:tr>
      <w:tr>
        <w:tc>
          <w:tcPr>
            <w:tcW w:type="dxa" w:w="2100"/>
            <w:tcMar>
              <w:top w:type="dxa" w:w="100"/>
              <w:left w:type="dxa" w:w="140"/>
              <w:bottom w:type="dxa" w:w="100"/>
              <w:right w:type="dxa" w:w="140"/>
            </w:tcMar>
          </w:tcPr>
          <w:p>
            <w:pPr>
              <w:spacing w:after="0" w:before="0" w:line="260"/>
            </w:pPr>
            <w:r>
              <w:rPr>
                <w:b w:val="false"/>
                <w:bCs w:val="false"/>
                <w:color w:val="1F2937"/>
                <w:sz w:val="20"/>
                <w:szCs w:val="20"/>
              </w:rPr>
              <w:t xml:space="preserve">User Fallback</w:t>
            </w:r>
          </w:p>
        </w:tc>
        <w:tc>
          <w:tcPr>
            <w:tcW w:type="dxa" w:w="2700"/>
            <w:tcMar>
              <w:top w:type="dxa" w:w="100"/>
              <w:left w:type="dxa" w:w="140"/>
              <w:bottom w:type="dxa" w:w="100"/>
              <w:right w:type="dxa" w:w="140"/>
            </w:tcMar>
          </w:tcPr>
          <w:p>
            <w:pPr>
              <w:spacing w:after="0" w:before="0" w:line="260"/>
            </w:pPr>
            <w:r>
              <w:rPr>
                <w:b w:val="false"/>
                <w:bCs w:val="false"/>
                <w:color w:val="1F2937"/>
                <w:sz w:val="20"/>
                <w:szCs w:val="20"/>
              </w:rPr>
              <w:t xml:space="preserve">Orange header / light amber cells</w:t>
            </w:r>
          </w:p>
        </w:tc>
        <w:tc>
          <w:tcPr>
            <w:tcW w:type="dxa" w:w="4560"/>
            <w:tcMar>
              <w:top w:type="dxa" w:w="100"/>
              <w:left w:type="dxa" w:w="140"/>
              <w:bottom w:type="dxa" w:w="100"/>
              <w:right w:type="dxa" w:w="140"/>
            </w:tcMar>
          </w:tcPr>
          <w:p>
            <w:pPr>
              <w:spacing w:after="0" w:before="0" w:line="260"/>
            </w:pPr>
            <w:r>
              <w:rPr>
                <w:b w:val="false"/>
                <w:bCs w:val="false"/>
                <w:color w:val="1F2937"/>
                <w:sz w:val="20"/>
                <w:szCs w:val="20"/>
              </w:rPr>
              <w:t xml:space="preserve">Optional user-provided TE or benchmark values used only when primary information is incomplete or special judgement is required.</w:t>
            </w:r>
          </w:p>
        </w:tc>
      </w:tr>
    </w:tbl>
    <w:p>
      <w:pPr>
        <w:pStyle w:val="Heading1"/>
        <w:spacing w:after="120" w:before="280"/>
      </w:pPr>
      <w:r>
        <w:rPr>
          <w:b/>
          <w:bCs/>
          <w:color w:val="2E74B5"/>
          <w:sz w:val="32"/>
          <w:szCs w:val="32"/>
        </w:rPr>
        <w:t xml:space="preserve">3. How To Fill The Template</w:t>
      </w:r>
    </w:p>
    <w:tbl>
      <w:tblPr>
        <w:tblW w:type="dxa" w:w="9360"/>
        <w:tblBorders>
          <w:top w:val="single" w:color="D9E2EA" w:sz="4"/>
          <w:left w:val="single" w:color="D9E2EA" w:sz="4"/>
          <w:bottom w:val="single" w:color="D9E2EA" w:sz="4"/>
          <w:right w:val="single" w:color="D9E2EA" w:sz="4"/>
          <w:insideH w:val="single" w:color="D9E2EA" w:sz="4"/>
          <w:insideV w:val="single" w:color="D9E2EA" w:sz="4"/>
        </w:tblBorders>
      </w:tblPr>
      <w:tblGrid>
        <w:gridCol w:w="100"/>
        <w:gridCol w:w="100"/>
      </w:tblGrid>
      <w:tr>
        <w:tc>
          <w:tcPr>
            <w:tcW w:type="dxa" w:w="900"/>
            <w:shd w:fill="F2F4F7" w:val="clear"/>
            <w:tcMar>
              <w:top w:type="dxa" w:w="100"/>
              <w:left w:type="dxa" w:w="140"/>
              <w:bottom w:type="dxa" w:w="100"/>
              <w:right w:type="dxa" w:w="140"/>
            </w:tcMar>
          </w:tcPr>
          <w:p>
            <w:pPr>
              <w:spacing w:after="0" w:before="0" w:line="260"/>
            </w:pPr>
            <w:r>
              <w:rPr>
                <w:b/>
                <w:bCs/>
                <w:color w:val="1F2937"/>
                <w:sz w:val="20"/>
                <w:szCs w:val="20"/>
              </w:rPr>
              <w:t xml:space="preserve">Step</w:t>
            </w:r>
          </w:p>
        </w:tc>
        <w:tc>
          <w:tcPr>
            <w:tcW w:type="dxa" w:w="8460"/>
            <w:shd w:fill="F2F4F7" w:val="clear"/>
            <w:tcMar>
              <w:top w:type="dxa" w:w="100"/>
              <w:left w:type="dxa" w:w="140"/>
              <w:bottom w:type="dxa" w:w="100"/>
              <w:right w:type="dxa" w:w="140"/>
            </w:tcMar>
          </w:tcPr>
          <w:p>
            <w:pPr>
              <w:spacing w:after="0" w:before="0" w:line="260"/>
            </w:pPr>
            <w:r>
              <w:rPr>
                <w:b/>
                <w:bCs/>
                <w:color w:val="1F2937"/>
                <w:sz w:val="20"/>
                <w:szCs w:val="20"/>
              </w:rPr>
              <w:t xml:space="preserve">Action</w:t>
            </w:r>
          </w:p>
        </w:tc>
      </w:tr>
      <w:tr>
        <w:tc>
          <w:tcPr>
            <w:tcW w:type="dxa" w:w="900"/>
            <w:tcMar>
              <w:top w:type="dxa" w:w="100"/>
              <w:left w:type="dxa" w:w="140"/>
              <w:bottom w:type="dxa" w:w="100"/>
              <w:right w:type="dxa" w:w="140"/>
            </w:tcMar>
          </w:tcPr>
          <w:p>
            <w:pPr>
              <w:spacing w:after="0" w:before="0" w:line="260"/>
            </w:pPr>
            <w:r>
              <w:rPr>
                <w:b w:val="false"/>
                <w:bCs w:val="false"/>
                <w:color w:val="1F2937"/>
                <w:sz w:val="20"/>
                <w:szCs w:val="20"/>
              </w:rPr>
              <w:t xml:space="preserve">1</w:t>
            </w:r>
          </w:p>
        </w:tc>
        <w:tc>
          <w:tcPr>
            <w:tcW w:type="dxa" w:w="8460"/>
            <w:tcMar>
              <w:top w:type="dxa" w:w="100"/>
              <w:left w:type="dxa" w:w="140"/>
              <w:bottom w:type="dxa" w:w="100"/>
              <w:right w:type="dxa" w:w="140"/>
            </w:tcMar>
          </w:tcPr>
          <w:p>
            <w:pPr>
              <w:spacing w:after="0" w:before="0" w:line="260"/>
            </w:pPr>
            <w:r>
              <w:rPr>
                <w:b w:val="false"/>
                <w:bCs w:val="false"/>
                <w:color w:val="1F2937"/>
                <w:sz w:val="20"/>
                <w:szCs w:val="20"/>
              </w:rPr>
              <w:t xml:space="preserve">Open the workbook and go to the VAT Import sheet.</w:t>
            </w:r>
          </w:p>
        </w:tc>
      </w:tr>
      <w:tr>
        <w:tc>
          <w:tcPr>
            <w:tcW w:type="dxa" w:w="900"/>
            <w:tcMar>
              <w:top w:type="dxa" w:w="100"/>
              <w:left w:type="dxa" w:w="140"/>
              <w:bottom w:type="dxa" w:w="100"/>
              <w:right w:type="dxa" w:w="140"/>
            </w:tcMar>
          </w:tcPr>
          <w:p>
            <w:pPr>
              <w:spacing w:after="0" w:before="0" w:line="260"/>
            </w:pPr>
            <w:r>
              <w:rPr>
                <w:b w:val="false"/>
                <w:bCs w:val="false"/>
                <w:color w:val="1F2937"/>
                <w:sz w:val="20"/>
                <w:szCs w:val="20"/>
              </w:rPr>
              <w:t xml:space="preserve">2</w:t>
            </w:r>
          </w:p>
        </w:tc>
        <w:tc>
          <w:tcPr>
            <w:tcW w:type="dxa" w:w="8460"/>
            <w:tcMar>
              <w:top w:type="dxa" w:w="100"/>
              <w:left w:type="dxa" w:w="140"/>
              <w:bottom w:type="dxa" w:w="100"/>
              <w:right w:type="dxa" w:w="140"/>
            </w:tcMar>
          </w:tcPr>
          <w:p>
            <w:pPr>
              <w:spacing w:after="0" w:before="0" w:line="260"/>
            </w:pPr>
            <w:r>
              <w:rPr>
                <w:b w:val="false"/>
                <w:bCs w:val="false"/>
                <w:color w:val="1F2937"/>
                <w:sz w:val="20"/>
                <w:szCs w:val="20"/>
              </w:rPr>
              <w:t xml:space="preserve">Complete Province, TIN, Filing Period, Domestic Sale Exempt, and Provision Number.</w:t>
            </w:r>
          </w:p>
        </w:tc>
      </w:tr>
      <w:tr>
        <w:tc>
          <w:tcPr>
            <w:tcW w:type="dxa" w:w="900"/>
            <w:tcMar>
              <w:top w:type="dxa" w:w="100"/>
              <w:left w:type="dxa" w:w="140"/>
              <w:bottom w:type="dxa" w:w="100"/>
              <w:right w:type="dxa" w:w="140"/>
            </w:tcMar>
          </w:tcPr>
          <w:p>
            <w:pPr>
              <w:spacing w:after="0" w:before="0" w:line="260"/>
            </w:pPr>
            <w:r>
              <w:rPr>
                <w:b w:val="false"/>
                <w:bCs w:val="false"/>
                <w:color w:val="1F2937"/>
                <w:sz w:val="20"/>
                <w:szCs w:val="20"/>
              </w:rPr>
              <w:t xml:space="preserve">3</w:t>
            </w:r>
          </w:p>
        </w:tc>
        <w:tc>
          <w:tcPr>
            <w:tcW w:type="dxa" w:w="8460"/>
            <w:tcMar>
              <w:top w:type="dxa" w:w="100"/>
              <w:left w:type="dxa" w:w="140"/>
              <w:bottom w:type="dxa" w:w="100"/>
              <w:right w:type="dxa" w:w="140"/>
            </w:tcMar>
          </w:tcPr>
          <w:p>
            <w:pPr>
              <w:spacing w:after="0" w:before="0" w:line="260"/>
            </w:pPr>
            <w:r>
              <w:rPr>
                <w:b w:val="false"/>
                <w:bCs w:val="false"/>
                <w:color w:val="1F2937"/>
                <w:sz w:val="20"/>
                <w:szCs w:val="20"/>
              </w:rPr>
              <w:t xml:space="preserve">Use dropdowns for Province, Provision Number, Use User Fallback?, and User Fallback Reason.</w:t>
            </w:r>
          </w:p>
        </w:tc>
      </w:tr>
      <w:tr>
        <w:tc>
          <w:tcPr>
            <w:tcW w:type="dxa" w:w="900"/>
            <w:tcMar>
              <w:top w:type="dxa" w:w="100"/>
              <w:left w:type="dxa" w:w="140"/>
              <w:bottom w:type="dxa" w:w="100"/>
              <w:right w:type="dxa" w:w="140"/>
            </w:tcMar>
          </w:tcPr>
          <w:p>
            <w:pPr>
              <w:spacing w:after="0" w:before="0" w:line="260"/>
            </w:pPr>
            <w:r>
              <w:rPr>
                <w:b w:val="false"/>
                <w:bCs w:val="false"/>
                <w:color w:val="1F2937"/>
                <w:sz w:val="20"/>
                <w:szCs w:val="20"/>
              </w:rPr>
              <w:t xml:space="preserve">4</w:t>
            </w:r>
          </w:p>
        </w:tc>
        <w:tc>
          <w:tcPr>
            <w:tcW w:type="dxa" w:w="8460"/>
            <w:tcMar>
              <w:top w:type="dxa" w:w="100"/>
              <w:left w:type="dxa" w:w="140"/>
              <w:bottom w:type="dxa" w:w="100"/>
              <w:right w:type="dxa" w:w="140"/>
            </w:tcMar>
          </w:tcPr>
          <w:p>
            <w:pPr>
              <w:spacing w:after="0" w:before="0" w:line="260"/>
            </w:pPr>
            <w:r>
              <w:rPr>
                <w:b w:val="false"/>
                <w:bCs w:val="false"/>
                <w:color w:val="1F2937"/>
                <w:sz w:val="20"/>
                <w:szCs w:val="20"/>
              </w:rPr>
              <w:t xml:space="preserve">Enter official supporting fields where available, such as Company Name, Filing Type, Input Date, VAT Rate, and Description.</w:t>
            </w:r>
          </w:p>
        </w:tc>
      </w:tr>
      <w:tr>
        <w:tc>
          <w:tcPr>
            <w:tcW w:type="dxa" w:w="900"/>
            <w:tcMar>
              <w:top w:type="dxa" w:w="100"/>
              <w:left w:type="dxa" w:w="140"/>
              <w:bottom w:type="dxa" w:w="100"/>
              <w:right w:type="dxa" w:w="140"/>
            </w:tcMar>
          </w:tcPr>
          <w:p>
            <w:pPr>
              <w:spacing w:after="0" w:before="0" w:line="260"/>
            </w:pPr>
            <w:r>
              <w:rPr>
                <w:b w:val="false"/>
                <w:bCs w:val="false"/>
                <w:color w:val="1F2937"/>
                <w:sz w:val="20"/>
                <w:szCs w:val="20"/>
              </w:rPr>
              <w:t xml:space="preserve">5</w:t>
            </w:r>
          </w:p>
        </w:tc>
        <w:tc>
          <w:tcPr>
            <w:tcW w:type="dxa" w:w="8460"/>
            <w:tcMar>
              <w:top w:type="dxa" w:w="100"/>
              <w:left w:type="dxa" w:w="140"/>
              <w:bottom w:type="dxa" w:w="100"/>
              <w:right w:type="dxa" w:w="140"/>
            </w:tcMar>
          </w:tcPr>
          <w:p>
            <w:pPr>
              <w:spacing w:after="0" w:before="0" w:line="260"/>
            </w:pPr>
            <w:r>
              <w:rPr>
                <w:b w:val="false"/>
                <w:bCs w:val="false"/>
                <w:color w:val="1F2937"/>
                <w:sz w:val="20"/>
                <w:szCs w:val="20"/>
              </w:rPr>
              <w:t xml:space="preserve">Leave User Fallback fields blank unless user judgement or legacy calculation is required.</w:t>
            </w:r>
          </w:p>
        </w:tc>
      </w:tr>
      <w:tr>
        <w:tc>
          <w:tcPr>
            <w:tcW w:type="dxa" w:w="900"/>
            <w:tcMar>
              <w:top w:type="dxa" w:w="100"/>
              <w:left w:type="dxa" w:w="140"/>
              <w:bottom w:type="dxa" w:w="100"/>
              <w:right w:type="dxa" w:w="140"/>
            </w:tcMar>
          </w:tcPr>
          <w:p>
            <w:pPr>
              <w:spacing w:after="0" w:before="0" w:line="260"/>
            </w:pPr>
            <w:r>
              <w:rPr>
                <w:b w:val="false"/>
                <w:bCs w:val="false"/>
                <w:color w:val="1F2937"/>
                <w:sz w:val="20"/>
                <w:szCs w:val="20"/>
              </w:rPr>
              <w:t xml:space="preserve">6</w:t>
            </w:r>
          </w:p>
        </w:tc>
        <w:tc>
          <w:tcPr>
            <w:tcW w:type="dxa" w:w="8460"/>
            <w:tcMar>
              <w:top w:type="dxa" w:w="100"/>
              <w:left w:type="dxa" w:w="140"/>
              <w:bottom w:type="dxa" w:w="100"/>
              <w:right w:type="dxa" w:w="140"/>
            </w:tcMar>
          </w:tcPr>
          <w:p>
            <w:pPr>
              <w:spacing w:after="0" w:before="0" w:line="260"/>
            </w:pPr>
            <w:r>
              <w:rPr>
                <w:b w:val="false"/>
                <w:bCs w:val="false"/>
                <w:color w:val="1F2937"/>
                <w:sz w:val="20"/>
                <w:szCs w:val="20"/>
              </w:rPr>
              <w:t xml:space="preserve">Complete future calculation fields only if the agreed final template requires full system VAT calculation from sales and VAT payable values.</w:t>
            </w:r>
          </w:p>
        </w:tc>
      </w:tr>
    </w:tbl>
    <w:p>
      <w:pPr>
        <w:pStyle w:val="Heading1"/>
        <w:spacing w:after="120" w:before="280"/>
      </w:pPr>
      <w:r>
        <w:rPr>
          <w:b/>
          <w:bCs/>
          <w:color w:val="2E74B5"/>
          <w:sz w:val="32"/>
          <w:szCs w:val="32"/>
        </w:rPr>
        <w:t xml:space="preserve">4. Why This Template Is Recommended</w:t>
      </w:r>
    </w:p>
    <w:p>
      <w:pPr>
        <w:spacing w:after="120" w:before="0" w:line="300"/>
      </w:pPr>
      <w:r>
        <w:rPr>
          <w:color w:val="1F2937"/>
          <w:sz w:val="22"/>
          <w:szCs w:val="22"/>
        </w:rPr>
        <w:t xml:space="preserve">The original VAT workbook included Domestic VAT TE as a calculated value. The newer expert workbook removed that calculated field and kept only the raw exempt sale and VAT rate. That is a better direction because simple TE calculations should be handled by the system, not repeated in Excel.</w:t>
      </w:r>
    </w:p>
    <w:p>
      <w:pPr>
        <w:spacing w:after="120" w:before="0" w:line="300"/>
      </w:pPr>
      <w:r>
        <w:rPr>
          <w:color w:val="1F2937"/>
          <w:sz w:val="22"/>
          <w:szCs w:val="22"/>
        </w:rPr>
        <w:t xml:space="preserve">The APIS template keeps this raw-data direction and adds structure: official province dropdowns, provision dropdowns, protected reference sheets, optional user fallback fields, and future calculation fields that can be activated after agreement.</w:t>
      </w:r>
    </w:p>
    <w:p>
      <w:pPr>
        <w:pStyle w:val="Heading1"/>
        <w:spacing w:after="120" w:before="280"/>
      </w:pPr>
      <w:r>
        <w:rPr>
          <w:b/>
          <w:bCs/>
          <w:color w:val="2E74B5"/>
          <w:sz w:val="32"/>
          <w:szCs w:val="32"/>
        </w:rPr>
        <w:t xml:space="preserve">5. Fallback Principle</w:t>
      </w:r>
    </w:p>
    <w:p>
      <w:pPr>
        <w:spacing w:after="120" w:before="0" w:line="300"/>
      </w:pPr>
      <w:r>
        <w:rPr>
          <w:color w:val="1F2937"/>
          <w:sz w:val="22"/>
          <w:szCs w:val="22"/>
        </w:rPr>
        <w:t xml:space="preserve">The system should calculate Domestic VAT TE from primary filing data whenever possible. User TE and User Benchmark fields are controlled exceptions. They allow the user to preserve an agreed expert value when primary data is incomplete or when a legacy calculation must be documented.</w:t>
      </w:r>
    </w:p>
    <w:p>
      <w:pPr>
        <w:pStyle w:val="Heading1"/>
        <w:spacing w:after="120" w:before="280"/>
      </w:pPr>
      <w:r>
        <w:rPr>
          <w:b/>
          <w:bCs/>
          <w:color w:val="2E74B5"/>
          <w:sz w:val="32"/>
          <w:szCs w:val="32"/>
        </w:rPr>
        <w:t xml:space="preserve">6. Discussion Points For Expert Agreement</w:t>
      </w:r>
    </w:p>
    <w:tbl>
      <w:tblPr>
        <w:tblW w:type="dxa" w:w="9360"/>
        <w:tblBorders>
          <w:top w:val="single" w:color="D9E2EA" w:sz="4"/>
          <w:left w:val="single" w:color="D9E2EA" w:sz="4"/>
          <w:bottom w:val="single" w:color="D9E2EA" w:sz="4"/>
          <w:right w:val="single" w:color="D9E2EA" w:sz="4"/>
          <w:insideH w:val="single" w:color="D9E2EA" w:sz="4"/>
          <w:insideV w:val="single" w:color="D9E2EA" w:sz="4"/>
        </w:tblBorders>
      </w:tblPr>
      <w:tblGrid>
        <w:gridCol w:w="100"/>
        <w:gridCol w:w="100"/>
      </w:tblGrid>
      <w:tr>
        <w:tc>
          <w:tcPr>
            <w:tcW w:type="dxa" w:w="2600"/>
            <w:shd w:fill="F2F4F7" w:val="clear"/>
            <w:tcMar>
              <w:top w:type="dxa" w:w="100"/>
              <w:left w:type="dxa" w:w="140"/>
              <w:bottom w:type="dxa" w:w="100"/>
              <w:right w:type="dxa" w:w="140"/>
            </w:tcMar>
          </w:tcPr>
          <w:p>
            <w:pPr>
              <w:spacing w:after="0" w:before="0" w:line="260"/>
            </w:pPr>
            <w:r>
              <w:rPr>
                <w:b/>
                <w:bCs/>
                <w:color w:val="1F2937"/>
                <w:sz w:val="20"/>
                <w:szCs w:val="20"/>
              </w:rPr>
              <w:t xml:space="preserve">Topic</w:t>
            </w:r>
          </w:p>
        </w:tc>
        <w:tc>
          <w:tcPr>
            <w:tcW w:type="dxa" w:w="6760"/>
            <w:shd w:fill="F2F4F7" w:val="clear"/>
            <w:tcMar>
              <w:top w:type="dxa" w:w="100"/>
              <w:left w:type="dxa" w:w="140"/>
              <w:bottom w:type="dxa" w:w="100"/>
              <w:right w:type="dxa" w:w="140"/>
            </w:tcMar>
          </w:tcPr>
          <w:p>
            <w:pPr>
              <w:spacing w:after="0" w:before="0" w:line="260"/>
            </w:pPr>
            <w:r>
              <w:rPr>
                <w:b/>
                <w:bCs/>
                <w:color w:val="1F2937"/>
                <w:sz w:val="20"/>
                <w:szCs w:val="20"/>
              </w:rPr>
              <w:t xml:space="preserve">Question For Agreement</w:t>
            </w:r>
          </w:p>
        </w:tc>
      </w:tr>
      <w:tr>
        <w:tc>
          <w:tcPr>
            <w:tcW w:type="dxa" w:w="2600"/>
            <w:tcMar>
              <w:top w:type="dxa" w:w="100"/>
              <w:left w:type="dxa" w:w="140"/>
              <w:bottom w:type="dxa" w:w="100"/>
              <w:right w:type="dxa" w:w="140"/>
            </w:tcMar>
          </w:tcPr>
          <w:p>
            <w:pPr>
              <w:spacing w:after="0" w:before="0" w:line="260"/>
            </w:pPr>
            <w:r>
              <w:rPr>
                <w:b w:val="false"/>
                <w:bCs w:val="false"/>
                <w:color w:val="1F2937"/>
                <w:sz w:val="20"/>
                <w:szCs w:val="20"/>
              </w:rPr>
              <w:t xml:space="preserve">Mandatory fields</w:t>
            </w:r>
          </w:p>
        </w:tc>
        <w:tc>
          <w:tcPr>
            <w:tcW w:type="dxa" w:w="6760"/>
            <w:tcMar>
              <w:top w:type="dxa" w:w="100"/>
              <w:left w:type="dxa" w:w="140"/>
              <w:bottom w:type="dxa" w:w="100"/>
              <w:right w:type="dxa" w:w="140"/>
            </w:tcMar>
          </w:tcPr>
          <w:p>
            <w:pPr>
              <w:spacing w:after="0" w:before="0" w:line="260"/>
            </w:pPr>
            <w:r>
              <w:rPr>
                <w:b w:val="false"/>
                <w:bCs w:val="false"/>
                <w:color w:val="1F2937"/>
                <w:sz w:val="20"/>
                <w:szCs w:val="20"/>
              </w:rPr>
              <w:t xml:space="preserve">Are Province, TIN, Filing Period, Domestic Sale Exempt, and Provision Number sufficient as required fields?</w:t>
            </w:r>
          </w:p>
        </w:tc>
      </w:tr>
      <w:tr>
        <w:tc>
          <w:tcPr>
            <w:tcW w:type="dxa" w:w="2600"/>
            <w:tcMar>
              <w:top w:type="dxa" w:w="100"/>
              <w:left w:type="dxa" w:w="140"/>
              <w:bottom w:type="dxa" w:w="100"/>
              <w:right w:type="dxa" w:w="140"/>
            </w:tcMar>
          </w:tcPr>
          <w:p>
            <w:pPr>
              <w:spacing w:after="0" w:before="0" w:line="260"/>
            </w:pPr>
            <w:r>
              <w:rPr>
                <w:b w:val="false"/>
                <w:bCs w:val="false"/>
                <w:color w:val="1F2937"/>
                <w:sz w:val="20"/>
                <w:szCs w:val="20"/>
              </w:rPr>
              <w:t xml:space="preserve">Province</w:t>
            </w:r>
          </w:p>
        </w:tc>
        <w:tc>
          <w:tcPr>
            <w:tcW w:type="dxa" w:w="6760"/>
            <w:tcMar>
              <w:top w:type="dxa" w:w="100"/>
              <w:left w:type="dxa" w:w="140"/>
              <w:bottom w:type="dxa" w:w="100"/>
              <w:right w:type="dxa" w:w="140"/>
            </w:tcMar>
          </w:tcPr>
          <w:p>
            <w:pPr>
              <w:spacing w:after="0" w:before="0" w:line="260"/>
            </w:pPr>
            <w:r>
              <w:rPr>
                <w:b w:val="false"/>
                <w:bCs w:val="false"/>
                <w:color w:val="1F2937"/>
                <w:sz w:val="20"/>
                <w:szCs w:val="20"/>
              </w:rPr>
              <w:t xml:space="preserve">Should Province always be selected from the official dropdown instead of typed as free text?</w:t>
            </w:r>
          </w:p>
        </w:tc>
      </w:tr>
      <w:tr>
        <w:tc>
          <w:tcPr>
            <w:tcW w:type="dxa" w:w="2600"/>
            <w:tcMar>
              <w:top w:type="dxa" w:w="100"/>
              <w:left w:type="dxa" w:w="140"/>
              <w:bottom w:type="dxa" w:w="100"/>
              <w:right w:type="dxa" w:w="140"/>
            </w:tcMar>
          </w:tcPr>
          <w:p>
            <w:pPr>
              <w:spacing w:after="0" w:before="0" w:line="260"/>
            </w:pPr>
            <w:r>
              <w:rPr>
                <w:b w:val="false"/>
                <w:bCs w:val="false"/>
                <w:color w:val="1F2937"/>
                <w:sz w:val="20"/>
                <w:szCs w:val="20"/>
              </w:rPr>
              <w:t xml:space="preserve">Provision Number</w:t>
            </w:r>
          </w:p>
        </w:tc>
        <w:tc>
          <w:tcPr>
            <w:tcW w:type="dxa" w:w="6760"/>
            <w:tcMar>
              <w:top w:type="dxa" w:w="100"/>
              <w:left w:type="dxa" w:w="140"/>
              <w:bottom w:type="dxa" w:w="100"/>
              <w:right w:type="dxa" w:w="140"/>
            </w:tcMar>
          </w:tcPr>
          <w:p>
            <w:pPr>
              <w:spacing w:after="0" w:before="0" w:line="260"/>
            </w:pPr>
            <w:r>
              <w:rPr>
                <w:b w:val="false"/>
                <w:bCs w:val="false"/>
                <w:color w:val="1F2937"/>
                <w:sz w:val="20"/>
                <w:szCs w:val="20"/>
              </w:rPr>
              <w:t xml:space="preserve">Should every VAT row require one provision number for reporting?</w:t>
            </w:r>
          </w:p>
        </w:tc>
      </w:tr>
      <w:tr>
        <w:tc>
          <w:tcPr>
            <w:tcW w:type="dxa" w:w="2600"/>
            <w:tcMar>
              <w:top w:type="dxa" w:w="100"/>
              <w:left w:type="dxa" w:w="140"/>
              <w:bottom w:type="dxa" w:w="100"/>
              <w:right w:type="dxa" w:w="140"/>
            </w:tcMar>
          </w:tcPr>
          <w:p>
            <w:pPr>
              <w:spacing w:after="0" w:before="0" w:line="260"/>
            </w:pPr>
            <w:r>
              <w:rPr>
                <w:b w:val="false"/>
                <w:bCs w:val="false"/>
                <w:color w:val="1F2937"/>
                <w:sz w:val="20"/>
                <w:szCs w:val="20"/>
              </w:rPr>
              <w:t xml:space="preserve">Future calculation</w:t>
            </w:r>
          </w:p>
        </w:tc>
        <w:tc>
          <w:tcPr>
            <w:tcW w:type="dxa" w:w="6760"/>
            <w:tcMar>
              <w:top w:type="dxa" w:w="100"/>
              <w:left w:type="dxa" w:w="140"/>
              <w:bottom w:type="dxa" w:w="100"/>
              <w:right w:type="dxa" w:w="140"/>
            </w:tcMar>
          </w:tcPr>
          <w:p>
            <w:pPr>
              <w:spacing w:after="0" w:before="0" w:line="260"/>
            </w:pPr>
            <w:r>
              <w:rPr>
                <w:b w:val="false"/>
                <w:bCs w:val="false"/>
                <w:color w:val="1F2937"/>
                <w:sz w:val="20"/>
                <w:szCs w:val="20"/>
              </w:rPr>
              <w:t xml:space="preserve">Should the final template include Sales Standard, Sales Zero Rate, Total Input VAT, and VAT Payable?</w:t>
            </w:r>
          </w:p>
        </w:tc>
      </w:tr>
      <w:tr>
        <w:tc>
          <w:tcPr>
            <w:tcW w:type="dxa" w:w="2600"/>
            <w:tcMar>
              <w:top w:type="dxa" w:w="100"/>
              <w:left w:type="dxa" w:w="140"/>
              <w:bottom w:type="dxa" w:w="100"/>
              <w:right w:type="dxa" w:w="140"/>
            </w:tcMar>
          </w:tcPr>
          <w:p>
            <w:pPr>
              <w:spacing w:after="0" w:before="0" w:line="260"/>
            </w:pPr>
            <w:r>
              <w:rPr>
                <w:b w:val="false"/>
                <w:bCs w:val="false"/>
                <w:color w:val="1F2937"/>
                <w:sz w:val="20"/>
                <w:szCs w:val="20"/>
              </w:rPr>
              <w:t xml:space="preserve">User Fallback</w:t>
            </w:r>
          </w:p>
        </w:tc>
        <w:tc>
          <w:tcPr>
            <w:tcW w:type="dxa" w:w="6760"/>
            <w:tcMar>
              <w:top w:type="dxa" w:w="100"/>
              <w:left w:type="dxa" w:w="140"/>
              <w:bottom w:type="dxa" w:w="100"/>
              <w:right w:type="dxa" w:w="140"/>
            </w:tcMar>
          </w:tcPr>
          <w:p>
            <w:pPr>
              <w:spacing w:after="0" w:before="0" w:line="260"/>
            </w:pPr>
            <w:r>
              <w:rPr>
                <w:b w:val="false"/>
                <w:bCs w:val="false"/>
                <w:color w:val="1F2937"/>
                <w:sz w:val="20"/>
                <w:szCs w:val="20"/>
              </w:rPr>
              <w:t xml:space="preserve">When should User TE or User Benchmark VAT be accepted?</w:t>
            </w:r>
          </w:p>
        </w:tc>
      </w:tr>
      <w:tr>
        <w:tc>
          <w:tcPr>
            <w:tcW w:type="dxa" w:w="2600"/>
            <w:tcMar>
              <w:top w:type="dxa" w:w="100"/>
              <w:left w:type="dxa" w:w="140"/>
              <w:bottom w:type="dxa" w:w="100"/>
              <w:right w:type="dxa" w:w="140"/>
            </w:tcMar>
          </w:tcPr>
          <w:p>
            <w:pPr>
              <w:spacing w:after="0" w:before="0" w:line="260"/>
            </w:pPr>
            <w:r>
              <w:rPr>
                <w:b w:val="false"/>
                <w:bCs w:val="false"/>
                <w:color w:val="1F2937"/>
                <w:sz w:val="20"/>
                <w:szCs w:val="20"/>
              </w:rPr>
              <w:t xml:space="preserve">Template version</w:t>
            </w:r>
          </w:p>
        </w:tc>
        <w:tc>
          <w:tcPr>
            <w:tcW w:type="dxa" w:w="6760"/>
            <w:tcMar>
              <w:top w:type="dxa" w:w="100"/>
              <w:left w:type="dxa" w:w="140"/>
              <w:bottom w:type="dxa" w:w="100"/>
              <w:right w:type="dxa" w:w="140"/>
            </w:tcMar>
          </w:tcPr>
          <w:p>
            <w:pPr>
              <w:spacing w:after="0" w:before="0" w:line="260"/>
            </w:pPr>
            <w:r>
              <w:rPr>
                <w:b w:val="false"/>
                <w:bCs w:val="false"/>
                <w:color w:val="1F2937"/>
                <w:sz w:val="20"/>
                <w:szCs w:val="20"/>
              </w:rPr>
              <w:t xml:space="preserve">Can this become the agreed DOMESTIC_VAT_IMPORT v1.0 standard?</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2026-06-05T09:33:27.710Z</dcterms:created>
  <dcterms:modified xsi:type="dcterms:W3CDTF">2026-06-05T09:33:27.711Z</dcterms:modified>
</cp:coreProperties>
</file>

<file path=docProps/custom.xml><?xml version="1.0" encoding="utf-8"?>
<Properties xmlns="http://schemas.openxmlformats.org/officeDocument/2006/custom-properties" xmlns:vt="http://schemas.openxmlformats.org/officeDocument/2006/docPropsVTypes"/>
</file>