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Land Concession Import Template Manual</w:t>
      </w:r>
    </w:p>
    <w:p>
      <w:pPr>
        <w:shd w:fill="1F4E79" w:val="clear"/>
        <w:spacing w:after="240" w:before="0"/>
        <w:jc w:val="center"/>
      </w:pPr>
      <w:r>
        <w:rPr>
          <w:color w:val="FFFFFF"/>
          <w:sz w:val="22"/>
          <w:szCs w:val="22"/>
        </w:rPr>
        <w:t xml:space="preserve">Discussion guide for the recommended APIS non-tax Excel template</w:t>
      </w:r>
    </w:p>
    <w:p>
      <w:pPr>
        <w:spacing w:after="120" w:before="0" w:line="300"/>
      </w:pPr>
      <w:r>
        <w:rPr>
          <w:color w:val="1F2937"/>
          <w:sz w:val="22"/>
          <w:szCs w:val="22"/>
        </w:rPr>
        <w:t xml:space="preserve">This short manual explains how to use the Land Concession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Land Concession Import. The other sheets are instructions or references. They are protected to prevent accidental changes to location, benchmark, and provision references.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9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3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1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Land Concession Import</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land concession import.</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 concession item, and year.</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compatibility, and fallback rules.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Shows official province/district, land benchmark, and provision references.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expert NonTax_540 workbook already matches the current importer. The APIS version keeps columns A:L compatible and adds controlled User Fallback fields after them.</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Needed for normal Land Concession TE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Useful for location reporting, audit, or benchmark selection.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benchmark value or TE value used only when normal system calculation is insufficient.</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Land Concession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TIN, Province, Year, Concessionarea, BenchmarkRate, ConcessionFeePaid, and ProvisionName when TE should be calculated.</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Province and District dropdowns. They show both code and name, for example 01 | Vientiane Capital.</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TaxItem to identify the benchmark article and item. Then enter the selected BenchmarkRate in USD per hectare per year.</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ConcessionFeePaid as the actual paid amount in USD.</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an agreed user benchmark value or TE value is required.</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Land Concession currently depends on imported benchmark rate, area, paid amount, and provision name. The current engine does not yet calculate BenchmarkRate from TaxItem, so BenchmarkRate remains a required primary input.</w:t>
      </w:r>
    </w:p>
    <w:p>
      <w:pPr>
        <w:spacing w:after="120" w:before="0" w:line="300"/>
      </w:pPr>
      <w:r>
        <w:rPr>
          <w:color w:val="1F2937"/>
          <w:sz w:val="22"/>
          <w:szCs w:val="22"/>
        </w:rPr>
        <w:t xml:space="preserve">The APIS template improves the current file by adding official location dropdowns, benchmark article/item references, provision references, protected data dictionary sheets, and separate fallback fields without disrupting the current A:L import layout.</w:t>
      </w:r>
    </w:p>
    <w:p>
      <w:pPr>
        <w:pStyle w:val="Heading1"/>
        <w:spacing w:after="120" w:before="280"/>
      </w:pPr>
      <w:r>
        <w:rPr>
          <w:b/>
          <w:bCs/>
          <w:color w:val="2E74B5"/>
          <w:sz w:val="32"/>
          <w:szCs w:val="32"/>
        </w:rPr>
        <w:t xml:space="preserve">5. Calculation And Fallback Principle</w:t>
      </w:r>
    </w:p>
    <w:p>
      <w:pPr>
        <w:spacing w:after="120" w:before="0" w:line="300"/>
      </w:pPr>
      <w:r>
        <w:rPr>
          <w:color w:val="1F2937"/>
          <w:sz w:val="22"/>
          <w:szCs w:val="22"/>
        </w:rPr>
        <w:t xml:space="preserve">The system calculates Benchmark Value as Concessionarea multiplied by BenchmarkRate. If ProvisionName is present, Non-Tax TE is calculated as the positive difference between Benchmark Value and ConcessionFeePaid. If ProvisionName is blank, TE is zero.</w:t>
      </w:r>
    </w:p>
    <w:p>
      <w:pPr>
        <w:spacing w:after="120" w:before="0" w:line="300"/>
      </w:pPr>
      <w:r>
        <w:rPr>
          <w:color w:val="1F2937"/>
          <w:sz w:val="22"/>
          <w:szCs w:val="22"/>
        </w:rPr>
        <w:t xml:space="preserve">User Benchmark Rate, User Benchmark Value, and User Non-Tax TE are controlled exceptions. They should be used only when the benchmark reference is missing, the official rate is disputed, special legal treatment applies, or a user-agreed value must be documented.</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TIN, Province, Year, area, benchmark rate, paid fee, and provision name sufficient as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Benchmark lookup</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the future importer calculate BenchmarkRate automatically from TaxItem and zone/stage instead of requiring manual entry?</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TaxItem</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Is the Article / Item dropdown detailed enough for expert use?</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Location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District be mandatory for land concession reporting?</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Provision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the current land concession provision categories sufficient?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Benchmark Value or User Non-Tax TE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LAND_CONCESSION_IMPORT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2026-06-05T12:28:24.522Z</dcterms:created>
  <dcterms:modified xsi:type="dcterms:W3CDTF">2026-06-05T12:28:24.526Z</dcterms:modified>
</cp:coreProperties>
</file>

<file path=docProps/custom.xml><?xml version="1.0" encoding="utf-8"?>
<Properties xmlns="http://schemas.openxmlformats.org/officeDocument/2006/custom-properties" xmlns:vt="http://schemas.openxmlformats.org/officeDocument/2006/docPropsVTypes"/>
</file>