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00" w:before="0"/>
        <w:jc w:val="center"/>
      </w:pPr>
      <w:r>
        <w:rPr>
          <w:b/>
          <w:bCs/>
          <w:color w:val="FFFFFF"/>
          <w:sz w:val="34"/>
          <w:szCs w:val="34"/>
        </w:rPr>
        <w:t xml:space="preserve">Profit Tax (CIT) Import Template Manual</w:t>
      </w:r>
    </w:p>
    <w:p>
      <w:pPr>
        <w:shd w:fill="1F4E79" w:val="clear"/>
        <w:spacing w:after="240" w:before="0"/>
        <w:jc w:val="center"/>
      </w:pPr>
      <w:r>
        <w:rPr>
          <w:color w:val="FFFFFF"/>
          <w:sz w:val="22"/>
          <w:szCs w:val="22"/>
        </w:rPr>
        <w:t xml:space="preserve">Discussion guide for the recommended APIS Excel template</w:t>
      </w:r>
    </w:p>
    <w:p>
      <w:pPr>
        <w:spacing w:after="120" w:before="0" w:line="300"/>
      </w:pPr>
      <w:r>
        <w:t xml:space="preserve">This short manual explains how to use the Profit Tax (CIT) recommended import template and why the template is structured this way. It is intended for discussion with the expert before the template becomes the final standard.</w:t>
      </w:r>
    </w:p>
    <w:p>
      <w:pPr>
        <w:pStyle w:val="Heading1"/>
        <w:spacing w:after="120" w:before="280"/>
      </w:pPr>
      <w:r>
        <w:rPr>
          <w:b/>
          <w:bCs/>
          <w:color w:val="2E74B5"/>
          <w:sz w:val="32"/>
          <w:szCs w:val="32"/>
        </w:rPr>
        <w:t xml:space="preserve">1. Main Rule</w:t>
      </w:r>
    </w:p>
    <w:p>
      <w:pPr>
        <w:spacing w:after="120" w:before="0" w:line="300"/>
      </w:pPr>
      <w:r>
        <w:t xml:space="preserve">Users should enter data only in the first sheet, CIT Import. The other sheets are instructions or reference sheets. They are protected to prevent accidental changes to dropdown lists and dictionary values.</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1600"/>
            <w:shd w:fill="F2F4F7" w:val="clear"/>
            <w:tcMar>
              <w:top w:type="dxa" w:w="100"/>
              <w:left w:type="dxa" w:w="140"/>
              <w:bottom w:type="dxa" w:w="100"/>
              <w:right w:type="dxa" w:w="140"/>
            </w:tcMar>
          </w:tcPr>
          <w:p>
            <w:pPr>
              <w:spacing w:after="0" w:before="0" w:line="260"/>
            </w:pPr>
            <w:r>
              <w:rPr>
                <w:b/>
                <w:bCs/>
                <w:color w:val="1F2937"/>
                <w:sz w:val="20"/>
                <w:szCs w:val="20"/>
              </w:rPr>
              <w:t xml:space="preserve">Sheet</w:t>
            </w:r>
          </w:p>
        </w:tc>
        <w:tc>
          <w:tcPr>
            <w:tcW w:type="dxa" w:w="4200"/>
            <w:shd w:fill="F2F4F7" w:val="clear"/>
            <w:tcMar>
              <w:top w:type="dxa" w:w="100"/>
              <w:left w:type="dxa" w:w="140"/>
              <w:bottom w:type="dxa" w:w="100"/>
              <w:right w:type="dxa" w:w="140"/>
            </w:tcMar>
          </w:tcPr>
          <w:p>
            <w:pPr>
              <w:spacing w:after="0" w:before="0" w:line="260"/>
            </w:pPr>
            <w:r>
              <w:rPr>
                <w:b/>
                <w:bCs/>
                <w:color w:val="1F2937"/>
                <w:sz w:val="20"/>
                <w:szCs w:val="20"/>
              </w:rPr>
              <w:t xml:space="preserve">Purpose</w:t>
            </w:r>
          </w:p>
        </w:tc>
        <w:tc>
          <w:tcPr>
            <w:tcW w:type="dxa" w:w="3560"/>
            <w:shd w:fill="F2F4F7" w:val="clear"/>
            <w:tcMar>
              <w:top w:type="dxa" w:w="100"/>
              <w:left w:type="dxa" w:w="140"/>
              <w:bottom w:type="dxa" w:w="100"/>
              <w:right w:type="dxa" w:w="140"/>
            </w:tcMar>
          </w:tcPr>
          <w:p>
            <w:pPr>
              <w:spacing w:after="0" w:before="0" w:line="260"/>
            </w:pPr>
            <w:r>
              <w:rPr>
                <w:b/>
                <w:bCs/>
                <w:color w:val="1F2937"/>
                <w:sz w:val="20"/>
                <w:szCs w:val="20"/>
              </w:rPr>
              <w:t xml:space="preserve">User Action</w:t>
            </w:r>
          </w:p>
        </w:tc>
      </w:tr>
      <w:tr>
        <w:tc>
          <w:tcPr>
            <w:tcW w:type="dxa" w:w="1600"/>
            <w:tcMar>
              <w:top w:type="dxa" w:w="100"/>
              <w:left w:type="dxa" w:w="140"/>
              <w:bottom w:type="dxa" w:w="100"/>
              <w:right w:type="dxa" w:w="140"/>
            </w:tcMar>
          </w:tcPr>
          <w:p>
            <w:pPr>
              <w:spacing w:after="0" w:before="0" w:line="260"/>
            </w:pPr>
            <w:r>
              <w:rPr>
                <w:b w:val="false"/>
                <w:bCs w:val="false"/>
                <w:color w:val="1F2937"/>
                <w:sz w:val="20"/>
                <w:szCs w:val="20"/>
              </w:rPr>
              <w:t xml:space="preserve">CIT Import</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Main data-entry sheet for Profit Tax import.</w:t>
            </w:r>
          </w:p>
        </w:tc>
        <w:tc>
          <w:tcPr>
            <w:tcW w:type="dxa" w:w="3560"/>
            <w:tcMar>
              <w:top w:type="dxa" w:w="100"/>
              <w:left w:type="dxa" w:w="140"/>
              <w:bottom w:type="dxa" w:w="100"/>
              <w:right w:type="dxa" w:w="140"/>
            </w:tcMar>
          </w:tcPr>
          <w:p>
            <w:pPr>
              <w:spacing w:after="0" w:before="0" w:line="260"/>
            </w:pPr>
            <w:r>
              <w:rPr>
                <w:b w:val="false"/>
                <w:bCs w:val="false"/>
                <w:color w:val="1F2937"/>
                <w:sz w:val="20"/>
                <w:szCs w:val="20"/>
              </w:rPr>
              <w:t xml:space="preserve">Complete one row per taxpayer/year.</w:t>
            </w:r>
          </w:p>
        </w:tc>
      </w:tr>
      <w:tr>
        <w:tc>
          <w:tcPr>
            <w:tcW w:type="dxa" w:w="1600"/>
            <w:tcMar>
              <w:top w:type="dxa" w:w="100"/>
              <w:left w:type="dxa" w:w="140"/>
              <w:bottom w:type="dxa" w:w="100"/>
              <w:right w:type="dxa" w:w="140"/>
            </w:tcMar>
          </w:tcPr>
          <w:p>
            <w:pPr>
              <w:spacing w:after="0" w:before="0" w:line="260"/>
            </w:pPr>
            <w:r>
              <w:rPr>
                <w:b w:val="false"/>
                <w:bCs w:val="false"/>
                <w:color w:val="1F2937"/>
                <w:sz w:val="20"/>
                <w:szCs w:val="20"/>
              </w:rPr>
              <w:t xml:space="preserve">Instructions</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Explains field groups, colors, and fallback rules.</w:t>
            </w:r>
          </w:p>
        </w:tc>
        <w:tc>
          <w:tcPr>
            <w:tcW w:type="dxa" w:w="35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600"/>
            <w:tcMar>
              <w:top w:type="dxa" w:w="100"/>
              <w:left w:type="dxa" w:w="140"/>
              <w:bottom w:type="dxa" w:w="100"/>
              <w:right w:type="dxa" w:w="140"/>
            </w:tcMar>
          </w:tcPr>
          <w:p>
            <w:pPr>
              <w:spacing w:after="0" w:before="0" w:line="260"/>
            </w:pPr>
            <w:r>
              <w:rPr>
                <w:b w:val="false"/>
                <w:bCs w:val="false"/>
                <w:color w:val="1F2937"/>
                <w:sz w:val="20"/>
                <w:szCs w:val="20"/>
              </w:rPr>
              <w:t xml:space="preserve">Validation Lists</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Stores dropdown lists used by the import sheet.</w:t>
            </w:r>
          </w:p>
        </w:tc>
        <w:tc>
          <w:tcPr>
            <w:tcW w:type="dxa" w:w="35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600"/>
            <w:tcMar>
              <w:top w:type="dxa" w:w="100"/>
              <w:left w:type="dxa" w:w="140"/>
              <w:bottom w:type="dxa" w:w="100"/>
              <w:right w:type="dxa" w:w="140"/>
            </w:tcMar>
          </w:tcPr>
          <w:p>
            <w:pPr>
              <w:spacing w:after="0" w:before="0" w:line="260"/>
            </w:pPr>
            <w:r>
              <w:rPr>
                <w:b w:val="false"/>
                <w:bCs w:val="false"/>
                <w:color w:val="1F2937"/>
                <w:sz w:val="20"/>
                <w:szCs w:val="20"/>
              </w:rPr>
              <w:t xml:space="preserve">Data Dictionary</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Shows official province, district, village, and sector codes.</w:t>
            </w:r>
          </w:p>
        </w:tc>
        <w:tc>
          <w:tcPr>
            <w:tcW w:type="dxa" w:w="35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600"/>
            <w:tcMar>
              <w:top w:type="dxa" w:w="100"/>
              <w:left w:type="dxa" w:w="140"/>
              <w:bottom w:type="dxa" w:w="100"/>
              <w:right w:type="dxa" w:w="140"/>
            </w:tcMar>
          </w:tcPr>
          <w:p>
            <w:pPr>
              <w:spacing w:after="0" w:before="0" w:line="260"/>
            </w:pPr>
            <w:r>
              <w:rPr>
                <w:b w:val="false"/>
                <w:bCs w:val="false"/>
                <w:color w:val="1F2937"/>
                <w:sz w:val="20"/>
                <w:szCs w:val="20"/>
              </w:rPr>
              <w:t xml:space="preserve">Change Log</w:t>
            </w:r>
          </w:p>
        </w:tc>
        <w:tc>
          <w:tcPr>
            <w:tcW w:type="dxa" w:w="4200"/>
            <w:tcMar>
              <w:top w:type="dxa" w:w="100"/>
              <w:left w:type="dxa" w:w="140"/>
              <w:bottom w:type="dxa" w:w="100"/>
              <w:right w:type="dxa" w:w="140"/>
            </w:tcMar>
          </w:tcPr>
          <w:p>
            <w:pPr>
              <w:spacing w:after="0" w:before="0" w:line="260"/>
            </w:pPr>
            <w:r>
              <w:rPr>
                <w:b w:val="false"/>
                <w:bCs w:val="false"/>
                <w:color w:val="1F2937"/>
                <w:sz w:val="20"/>
                <w:szCs w:val="20"/>
              </w:rPr>
              <w:t xml:space="preserve">Records template version and changes.</w:t>
            </w:r>
          </w:p>
        </w:tc>
        <w:tc>
          <w:tcPr>
            <w:tcW w:type="dxa" w:w="3560"/>
            <w:tcMar>
              <w:top w:type="dxa" w:w="100"/>
              <w:left w:type="dxa" w:w="140"/>
              <w:bottom w:type="dxa" w:w="100"/>
              <w:right w:type="dxa" w:w="140"/>
            </w:tcMar>
          </w:tcPr>
          <w:p>
            <w:pPr>
              <w:spacing w:after="0" w:before="0" w:line="260"/>
            </w:pPr>
            <w:r>
              <w:rPr>
                <w:b w:val="false"/>
                <w:bCs w:val="false"/>
                <w:color w:val="1F2937"/>
                <w:sz w:val="20"/>
                <w:szCs w:val="20"/>
              </w:rPr>
              <w:t xml:space="preserve">Read only/reference.</w:t>
            </w:r>
          </w:p>
        </w:tc>
      </w:tr>
    </w:tbl>
    <w:p>
      <w:pPr>
        <w:pStyle w:val="Heading1"/>
        <w:spacing w:after="120" w:before="280"/>
      </w:pPr>
      <w:r>
        <w:rPr>
          <w:b/>
          <w:bCs/>
          <w:color w:val="2E74B5"/>
          <w:sz w:val="32"/>
          <w:szCs w:val="32"/>
        </w:rPr>
        <w:t xml:space="preserve">2. Information Groups</w:t>
      </w:r>
    </w:p>
    <w:p>
      <w:pPr>
        <w:spacing w:after="120" w:before="0" w:line="300"/>
      </w:pPr>
      <w:r>
        <w:t xml:space="preserve">The template separates normal primary data from user fallback values. This makes the import more reliable while still allowing expert judgement when required information is missing.</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2100"/>
            <w:shd w:fill="F2F4F7" w:val="clear"/>
            <w:tcMar>
              <w:top w:type="dxa" w:w="100"/>
              <w:left w:type="dxa" w:w="140"/>
              <w:bottom w:type="dxa" w:w="100"/>
              <w:right w:type="dxa" w:w="140"/>
            </w:tcMar>
          </w:tcPr>
          <w:p>
            <w:pPr>
              <w:spacing w:after="0" w:before="0" w:line="260"/>
            </w:pPr>
            <w:r>
              <w:rPr>
                <w:b/>
                <w:bCs/>
                <w:color w:val="1F2937"/>
                <w:sz w:val="20"/>
                <w:szCs w:val="20"/>
              </w:rPr>
              <w:t xml:space="preserve">Group</w:t>
            </w:r>
          </w:p>
        </w:tc>
        <w:tc>
          <w:tcPr>
            <w:tcW w:type="dxa" w:w="2700"/>
            <w:shd w:fill="F2F4F7" w:val="clear"/>
            <w:tcMar>
              <w:top w:type="dxa" w:w="100"/>
              <w:left w:type="dxa" w:w="140"/>
              <w:bottom w:type="dxa" w:w="100"/>
              <w:right w:type="dxa" w:w="140"/>
            </w:tcMar>
          </w:tcPr>
          <w:p>
            <w:pPr>
              <w:spacing w:after="0" w:before="0" w:line="260"/>
            </w:pPr>
            <w:r>
              <w:rPr>
                <w:b/>
                <w:bCs/>
                <w:color w:val="1F2937"/>
                <w:sz w:val="20"/>
                <w:szCs w:val="20"/>
              </w:rPr>
              <w:t xml:space="preserve">Color</w:t>
            </w:r>
          </w:p>
        </w:tc>
        <w:tc>
          <w:tcPr>
            <w:tcW w:type="dxa" w:w="4560"/>
            <w:shd w:fill="F2F4F7" w:val="clear"/>
            <w:tcMar>
              <w:top w:type="dxa" w:w="100"/>
              <w:left w:type="dxa" w:w="140"/>
              <w:bottom w:type="dxa" w:w="100"/>
              <w:right w:type="dxa" w:w="140"/>
            </w:tcMar>
          </w:tcPr>
          <w:p>
            <w:pPr>
              <w:spacing w:after="0" w:before="0" w:line="260"/>
            </w:pPr>
            <w:r>
              <w:rPr>
                <w:b/>
                <w:bCs/>
                <w:color w:val="1F2937"/>
                <w:sz w:val="20"/>
                <w:szCs w:val="20"/>
              </w:rPr>
              <w:t xml:space="preserve">Meaning</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Required</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Must be completed for normal system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Conditional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Medium blue header / near-white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Required only when the related provision applies.</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Optional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Slate header / white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Useful supporting information, but not always required.</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Orange header / light amber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Optional user-provided benchmark or TE values used only when primary data is incomplete or special judgement is required.</w:t>
            </w:r>
          </w:p>
        </w:tc>
      </w:tr>
    </w:tbl>
    <w:p>
      <w:pPr>
        <w:pStyle w:val="Heading1"/>
        <w:spacing w:after="120" w:before="280"/>
      </w:pPr>
      <w:r>
        <w:rPr>
          <w:b/>
          <w:bCs/>
          <w:color w:val="2E74B5"/>
          <w:sz w:val="32"/>
          <w:szCs w:val="32"/>
        </w:rPr>
        <w:t xml:space="preserve">3. How To Fill The Template</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900"/>
            <w:shd w:fill="F2F4F7" w:val="clear"/>
            <w:tcMar>
              <w:top w:type="dxa" w:w="100"/>
              <w:left w:type="dxa" w:w="140"/>
              <w:bottom w:type="dxa" w:w="100"/>
              <w:right w:type="dxa" w:w="140"/>
            </w:tcMar>
          </w:tcPr>
          <w:p>
            <w:pPr>
              <w:spacing w:after="0" w:before="0" w:line="260"/>
            </w:pPr>
            <w:r>
              <w:rPr>
                <w:b/>
                <w:bCs/>
                <w:color w:val="1F2937"/>
                <w:sz w:val="20"/>
                <w:szCs w:val="20"/>
              </w:rPr>
              <w:t xml:space="preserve">Step</w:t>
            </w:r>
          </w:p>
        </w:tc>
        <w:tc>
          <w:tcPr>
            <w:tcW w:type="dxa" w:w="8460"/>
            <w:shd w:fill="F2F4F7" w:val="clear"/>
            <w:tcMar>
              <w:top w:type="dxa" w:w="100"/>
              <w:left w:type="dxa" w:w="140"/>
              <w:bottom w:type="dxa" w:w="100"/>
              <w:right w:type="dxa" w:w="140"/>
            </w:tcMar>
          </w:tcPr>
          <w:p>
            <w:pPr>
              <w:spacing w:after="0" w:before="0" w:line="260"/>
            </w:pPr>
            <w:r>
              <w:rPr>
                <w:b/>
                <w:bCs/>
                <w:color w:val="1F2937"/>
                <w:sz w:val="20"/>
                <w:szCs w:val="20"/>
              </w:rPr>
              <w:t xml:space="preserve">Action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1</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Open the workbook and go to the CIT Import sheet.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2</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required primary fields: Tax Year, TIN, Company Name, Province, District, Sector, Revenue, Expense, Net Profit, and Profit Tax Paid.</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3</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Use dropdown fields where available. Do not type free-text province, district, village, or sector names.</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4</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conditional fields only when they are relevant, such as tax holiday, reinvestment, MSME, or stock exchange fields.</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5</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Leave User Fallback fields blank unless the primary information is incomplete or a special expert judgement is needed.</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6</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If Use User Fallback? is Yes, complete User Fallback Reason and the relevant User Benchmark Rate, User Benchmark PT, or User TE fields.</w:t>
            </w:r>
          </w:p>
        </w:tc>
      </w:tr>
    </w:tbl>
    <w:p>
      <w:pPr>
        <w:pStyle w:val="Heading1"/>
        <w:spacing w:after="120" w:before="280"/>
      </w:pPr>
      <w:r>
        <w:rPr>
          <w:b/>
          <w:bCs/>
          <w:color w:val="2E74B5"/>
          <w:sz w:val="32"/>
          <w:szCs w:val="32"/>
        </w:rPr>
        <w:t xml:space="preserve">4. Why This Template Is Recommended</w:t>
      </w:r>
    </w:p>
    <w:p>
      <w:pPr>
        <w:spacing w:after="120" w:before="0" w:line="300"/>
      </w:pPr>
      <w:r>
        <w:t xml:space="preserve">The previous expert files changed format and used plain text for standard dictionary fields. This caused import problems such as misspelled province names, district values in the wrong column, unclear sector labels, and calculated columns that duplicated system logic.</w:t>
      </w:r>
    </w:p>
    <w:p>
      <w:pPr>
        <w:spacing w:after="120" w:before="0" w:line="300"/>
      </w:pPr>
      <w:r>
        <w:t xml:space="preserve">The recommended template addresses these issues by using dropdowns, stable official codes, clear mandatory fields, and a controlled fallback area. The goal is not to make Excel more complicated; the goal is to make the import predictable, auditable, and easier to explain.</w:t>
      </w:r>
    </w:p>
    <w:p>
      <w:pPr>
        <w:pStyle w:val="Heading1"/>
        <w:spacing w:after="120" w:before="280"/>
      </w:pPr>
      <w:r>
        <w:rPr>
          <w:b/>
          <w:bCs/>
          <w:color w:val="2E74B5"/>
          <w:sz w:val="32"/>
          <w:szCs w:val="32"/>
        </w:rPr>
        <w:t xml:space="preserve">5. Fallback Principle</w:t>
      </w:r>
    </w:p>
    <w:p>
      <w:pPr>
        <w:spacing w:after="120" w:before="0" w:line="300"/>
      </w:pPr>
      <w:r>
        <w:t xml:space="preserve">The system should calculate benchmark and tax expenditure from primary data whenever possible. User Fallback fields are a controlled exception. They allow the expert to provide a benchmark or TE value when normal inputs are missing, but the row should remain auditable and clearly marked as using fallback information.</w:t>
      </w:r>
    </w:p>
    <w:p>
      <w:pPr>
        <w:pStyle w:val="Heading1"/>
        <w:spacing w:after="120" w:before="280"/>
      </w:pPr>
      <w:r>
        <w:rPr>
          <w:b/>
          <w:bCs/>
          <w:color w:val="2E74B5"/>
          <w:sz w:val="32"/>
          <w:szCs w:val="32"/>
        </w:rPr>
        <w:t xml:space="preserve">6. Discussion Points For Expert Agreement</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2600"/>
            <w:shd w:fill="F2F4F7" w:val="clear"/>
            <w:tcMar>
              <w:top w:type="dxa" w:w="100"/>
              <w:left w:type="dxa" w:w="140"/>
              <w:bottom w:type="dxa" w:w="100"/>
              <w:right w:type="dxa" w:w="140"/>
            </w:tcMar>
          </w:tcPr>
          <w:p>
            <w:pPr>
              <w:spacing w:after="0" w:before="0" w:line="260"/>
            </w:pPr>
            <w:r>
              <w:rPr>
                <w:b/>
                <w:bCs/>
                <w:color w:val="1F2937"/>
                <w:sz w:val="20"/>
                <w:szCs w:val="20"/>
              </w:rPr>
              <w:t xml:space="preserve">Topic</w:t>
            </w:r>
          </w:p>
        </w:tc>
        <w:tc>
          <w:tcPr>
            <w:tcW w:type="dxa" w:w="6760"/>
            <w:shd w:fill="F2F4F7" w:val="clear"/>
            <w:tcMar>
              <w:top w:type="dxa" w:w="100"/>
              <w:left w:type="dxa" w:w="140"/>
              <w:bottom w:type="dxa" w:w="100"/>
              <w:right w:type="dxa" w:w="140"/>
            </w:tcMar>
          </w:tcPr>
          <w:p>
            <w:pPr>
              <w:spacing w:after="0" w:before="0" w:line="260"/>
            </w:pPr>
            <w:r>
              <w:rPr>
                <w:b/>
                <w:bCs/>
                <w:color w:val="1F2937"/>
                <w:sz w:val="20"/>
                <w:szCs w:val="20"/>
              </w:rPr>
              <w:t xml:space="preserve">Question For Agreement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Mandatory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the proposed required CIT fields sufficient?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Conditional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Which fields become required for specific provisions?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Village</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village be required for CIT, or kept optional?</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When should User Benchmark PT or User TE be accepted?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Template version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Can this become the agreed CIT_IMPORT v1.0 standard?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2026-06-05T08:11:00.232Z</dcterms:created>
  <dcterms:modified xsi:type="dcterms:W3CDTF">2026-06-05T08:11:00.234Z</dcterms:modified>
</cp:coreProperties>
</file>

<file path=docProps/custom.xml><?xml version="1.0" encoding="utf-8"?>
<Properties xmlns="http://schemas.openxmlformats.org/officeDocument/2006/custom-properties" xmlns:vt="http://schemas.openxmlformats.org/officeDocument/2006/docPropsVTypes"/>
</file>