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Resource Fee Import Template Manual</w:t>
      </w:r>
    </w:p>
    <w:p>
      <w:pPr>
        <w:shd w:fill="1F4E79" w:val="clear"/>
        <w:spacing w:after="240" w:before="0"/>
        <w:jc w:val="center"/>
      </w:pPr>
      <w:r>
        <w:rPr>
          <w:color w:val="FFFFFF"/>
          <w:sz w:val="22"/>
          <w:szCs w:val="22"/>
        </w:rPr>
        <w:t xml:space="preserve">Discussion guide for the recommended APIS non-tax Excel template</w:t>
      </w:r>
    </w:p>
    <w:p>
      <w:pPr>
        <w:spacing w:after="120" w:before="0" w:line="300"/>
      </w:pPr>
      <w:r>
        <w:rPr>
          <w:color w:val="1F2937"/>
          <w:sz w:val="22"/>
          <w:szCs w:val="22"/>
        </w:rPr>
        <w:t xml:space="preserve">This short manual explains how to use the Resource Fee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Resource Fee Import. The other sheets are instructions or references. They are protected to prevent accidental changes to benchmark resource types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9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3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1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Resource Fee Import</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resource fee import.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 resource type, and year.</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Shows official natural resource benchmark rates and Resource Fee provision references.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current expert template is compact and is already being used for import. The APIS version keeps the compatible columns first and adds optional User Fallback fields after them.</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Resource Fee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for audit and source tracing, but not always required for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rate, benchmark fee, or TE value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Resource Fee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TIN, Type_of_natural_resource, Resource_fee_rate, Resource_fee_collected, and Year_data.</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the Type_of_natural_resource dropdown. It shows both item number and name, for example 11 | Stone.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Resource_fee_rate as the actual rate applied to the taxpayer, not the benchmark rate.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Resource_fee_collected as the actual collected amount in LAK.</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an agreed user benchmark or TE value is required.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Resource Fee has less detailed information than the main tax types. The minimum reliable calculation uses actual collected fee, actual applied rate, tax year, and the official natural resource benchmark rate in the repository.</w:t>
      </w:r>
    </w:p>
    <w:p>
      <w:pPr>
        <w:spacing w:after="120" w:before="0" w:line="300"/>
      </w:pPr>
      <w:r>
        <w:rPr>
          <w:color w:val="1F2937"/>
          <w:sz w:val="22"/>
          <w:szCs w:val="22"/>
        </w:rPr>
        <w:t xml:space="preserve">The APIS template improves the current file by replacing plain-text resource type entry with an official dropdown, adding protected benchmark/provision references, and keeping fallback values clearly separated from primary data.</w:t>
      </w:r>
    </w:p>
    <w:p>
      <w:pPr>
        <w:pStyle w:val="Heading1"/>
        <w:spacing w:after="120" w:before="280"/>
      </w:pPr>
      <w:r>
        <w:rPr>
          <w:b/>
          <w:bCs/>
          <w:color w:val="2E74B5"/>
          <w:sz w:val="32"/>
          <w:szCs w:val="32"/>
        </w:rPr>
        <w:t xml:space="preserve">5. Calculation And Fallback Principle</w:t>
      </w:r>
    </w:p>
    <w:p>
      <w:pPr>
        <w:spacing w:after="120" w:before="0" w:line="300"/>
      </w:pPr>
      <w:r>
        <w:rPr>
          <w:color w:val="1F2937"/>
          <w:sz w:val="22"/>
          <w:szCs w:val="22"/>
        </w:rPr>
        <w:t xml:space="preserve">The system should calculate TE from primary data whenever possible. If the actual resource fee rate is below the benchmark rate, the system estimates the base value from collected fee and actual rate, then calculates the benchmark fee and TE.</w:t>
      </w:r>
    </w:p>
    <w:p>
      <w:pPr>
        <w:spacing w:after="120" w:before="0" w:line="300"/>
      </w:pPr>
      <w:r>
        <w:rPr>
          <w:color w:val="1F2937"/>
          <w:sz w:val="22"/>
          <w:szCs w:val="22"/>
        </w:rPr>
        <w:t xml:space="preserve">User Benchmark Rate, User Benchmark Fee, and User TE are controlled exceptions. They should be used only when the benchmark reference is missing, the resource type is not yet in the repository, special legal treatment applies, or a user-agreed value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resource type, actual rate, collected fee, and year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Resource type list</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Is the bm_natural_resource repository complete enough for the dropdown list?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Benchmark rate</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any user benchmark rate be accepted before the official repository is updated?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 mapping</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Is one Resource Fee provision category sufficient, or should resource fee provisions be split into more detailed provision codes?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Fee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RESOURCE_FEE_IMPORT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2026-06-05T12:13:11.095Z</dcterms:created>
  <dcterms:modified xsi:type="dcterms:W3CDTF">2026-06-05T12:13:11.101Z</dcterms:modified>
</cp:coreProperties>
</file>

<file path=docProps/custom.xml><?xml version="1.0" encoding="utf-8"?>
<Properties xmlns="http://schemas.openxmlformats.org/officeDocument/2006/custom-properties" xmlns:vt="http://schemas.openxmlformats.org/officeDocument/2006/docPropsVTypes"/>
</file>