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Royalty Fee Import Template Manual</w:t>
      </w:r>
    </w:p>
    <w:p>
      <w:pPr>
        <w:shd w:fill="1F4E79" w:val="clear"/>
        <w:spacing w:after="240" w:before="0"/>
        <w:jc w:val="center"/>
      </w:pPr>
      <w:r>
        <w:rPr>
          <w:color w:val="FFFFFF"/>
          <w:sz w:val="22"/>
          <w:szCs w:val="22"/>
        </w:rPr>
        <w:t xml:space="preserve">Discussion guide for the recommended APIS non-tax Excel template</w:t>
      </w:r>
    </w:p>
    <w:p>
      <w:pPr>
        <w:spacing w:after="120" w:before="0" w:line="300"/>
      </w:pPr>
      <w:r>
        <w:rPr>
          <w:color w:val="1F2937"/>
          <w:sz w:val="22"/>
          <w:szCs w:val="22"/>
        </w:rPr>
        <w:t xml:space="preserve">This short manual explains how to use the Royalty Fee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Royalty Fee Import. The other sheets are instructions or references. They are protected to prevent accidental changes to benchmark and provision references.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9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3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1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Royalty Fee Import</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royalty fee import.</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 and year.</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compatibility, and fallback rules.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Shows royalty benchmark and provision references.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9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1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current Royalty Fee file is compact and uses only six columns. The APIS version keeps columns A:F compatible and adds optional User Fallback fields after them.</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Needed for normal Royalty Fee TE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Useful for audit and source tracing, but not always required for calculation.</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benchmark rate, benchmark fee, or TE value used only when normal system calculation is insufficient.</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Royalty Fee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TIN, Electricity_sale_value, Royalty_fee_rate, Royalty_fee_collected, and Year_data.</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Date_Investment_License when available for audit trail.</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Royalty_fee_rate as the actual rate applied to the taxpayer, not the benchmark rate.</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Royalty_fee_collected as the actual collected amount in LAK.</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an agreed user benchmark or TE value is required.</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Royalty Fee currently depends on electricity sale value, actual royalty rate, collected fee, and tax year. The system uses Year_data to look up the benchmark rate from bm_royalty_fees.</w:t>
      </w:r>
    </w:p>
    <w:p>
      <w:pPr>
        <w:spacing w:after="120" w:before="0" w:line="300"/>
      </w:pPr>
      <w:r>
        <w:rPr>
          <w:color w:val="1F2937"/>
          <w:sz w:val="22"/>
          <w:szCs w:val="22"/>
        </w:rPr>
        <w:t xml:space="preserve">The local bm_royalty_fees table is currently empty. Before calculation can succeed, the official royalty benchmark rate rows must be added to that repository. The template includes a reference sheet and fallback fields to support expert discussion, not to replace the repository.</w:t>
      </w:r>
    </w:p>
    <w:p>
      <w:pPr>
        <w:pStyle w:val="Heading1"/>
        <w:spacing w:after="120" w:before="280"/>
      </w:pPr>
      <w:r>
        <w:rPr>
          <w:b/>
          <w:bCs/>
          <w:color w:val="2E74B5"/>
          <w:sz w:val="32"/>
          <w:szCs w:val="32"/>
        </w:rPr>
        <w:t xml:space="preserve">5. Calculation And Fallback Principle</w:t>
      </w:r>
    </w:p>
    <w:p>
      <w:pPr>
        <w:spacing w:after="120" w:before="0" w:line="300"/>
      </w:pPr>
      <w:r>
        <w:rPr>
          <w:color w:val="1F2937"/>
          <w:sz w:val="22"/>
          <w:szCs w:val="22"/>
        </w:rPr>
        <w:t xml:space="preserve">The system calculates benchmark fee as Electricity_sale_value multiplied by the benchmark royalty rate. TE is the positive difference between benchmark fee and Royalty_fee_collected.</w:t>
      </w:r>
    </w:p>
    <w:p>
      <w:pPr>
        <w:spacing w:after="120" w:before="0" w:line="300"/>
      </w:pPr>
      <w:r>
        <w:rPr>
          <w:color w:val="1F2937"/>
          <w:sz w:val="22"/>
          <w:szCs w:val="22"/>
        </w:rPr>
        <w:t xml:space="preserve">User Benchmark Rate, User Benchmark Fee, and User TE are controlled exceptions. They should be used only when the official benchmark is missing, disputed, special legal treatment applies, or a user-agreed value must be documented.</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TIN, electricity sale value, actual rate, collected fee, and year sufficient as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Benchmark repository</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What official royalty benchmark rates should be inserted into bm_royalty_fees for each year?</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Provision mapping</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Is one Royalty Fee provision category sufficient, or should provisions be split into more detailed codes?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Benchmark Fee or User TE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ROYALTY_FEE_IMPORT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2026-06-05T12:49:20.903Z</dcterms:created>
  <dcterms:modified xsi:type="dcterms:W3CDTF">2026-06-05T12:49:20.907Z</dcterms:modified>
</cp:coreProperties>
</file>

<file path=docProps/custom.xml><?xml version="1.0" encoding="utf-8"?>
<Properties xmlns="http://schemas.openxmlformats.org/officeDocument/2006/custom-properties" xmlns:vt="http://schemas.openxmlformats.org/officeDocument/2006/docPropsVTypes"/>
</file>