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00" w:before="0"/>
        <w:jc w:val="center"/>
      </w:pPr>
      <w:r>
        <w:rPr>
          <w:b/>
          <w:bCs/>
          <w:color w:val="FFFFFF"/>
          <w:sz w:val="34"/>
          <w:szCs w:val="34"/>
        </w:rPr>
        <w:t xml:space="preserve">Salary Tax Import Template Manual</w:t>
      </w:r>
    </w:p>
    <w:p>
      <w:pPr>
        <w:shd w:fill="1F4E79" w:val="clear"/>
        <w:spacing w:after="240" w:before="0"/>
        <w:jc w:val="center"/>
      </w:pPr>
      <w:r>
        <w:rPr>
          <w:color w:val="FFFFFF"/>
          <w:sz w:val="22"/>
          <w:szCs w:val="22"/>
        </w:rPr>
        <w:t xml:space="preserve">Discussion guide for the recommended APIS Excel template</w:t>
      </w:r>
    </w:p>
    <w:p>
      <w:pPr>
        <w:spacing w:after="120" w:before="0" w:line="300"/>
      </w:pPr>
      <w:r>
        <w:rPr>
          <w:color w:val="1F2937"/>
          <w:sz w:val="22"/>
          <w:szCs w:val="22"/>
        </w:rPr>
        <w:t xml:space="preserve">This short manual explains how to use the Salary Tax recommended import template and why the template is structured this way. It is intended for discussion before the template becomes the final standard.</w:t>
      </w:r>
    </w:p>
    <w:p>
      <w:pPr>
        <w:pStyle w:val="Heading1"/>
        <w:spacing w:after="120" w:before="280"/>
      </w:pPr>
      <w:r>
        <w:rPr>
          <w:b/>
          <w:bCs/>
          <w:color w:val="2E74B5"/>
          <w:sz w:val="32"/>
          <w:szCs w:val="32"/>
        </w:rPr>
        <w:t xml:space="preserve">1. Main Rule</w:t>
      </w:r>
    </w:p>
    <w:p>
      <w:pPr>
        <w:spacing w:after="120" w:before="0" w:line="300"/>
      </w:pPr>
      <w:r>
        <w:rPr>
          <w:color w:val="1F2937"/>
          <w:sz w:val="22"/>
          <w:szCs w:val="22"/>
        </w:rPr>
        <w:t xml:space="preserve">Users should enter data only in the first sheet, Salary Import. The other sheets are instructions or reference sheets. They are protected to prevent accidental changes to dropdown lists, benchmark rates, and provision references.</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1700"/>
            <w:shd w:fill="F2F4F7" w:val="clear"/>
            <w:tcMar>
              <w:top w:type="dxa" w:w="100"/>
              <w:left w:type="dxa" w:w="140"/>
              <w:bottom w:type="dxa" w:w="100"/>
              <w:right w:type="dxa" w:w="140"/>
            </w:tcMar>
          </w:tcPr>
          <w:p>
            <w:pPr>
              <w:spacing w:after="0" w:before="0" w:line="260"/>
            </w:pPr>
            <w:r>
              <w:rPr>
                <w:b/>
                <w:bCs/>
                <w:color w:val="1F2937"/>
                <w:sz w:val="20"/>
                <w:szCs w:val="20"/>
              </w:rPr>
              <w:t xml:space="preserve">Sheet</w:t>
            </w:r>
          </w:p>
        </w:tc>
        <w:tc>
          <w:tcPr>
            <w:tcW w:type="dxa" w:w="4200"/>
            <w:shd w:fill="F2F4F7" w:val="clear"/>
            <w:tcMar>
              <w:top w:type="dxa" w:w="100"/>
              <w:left w:type="dxa" w:w="140"/>
              <w:bottom w:type="dxa" w:w="100"/>
              <w:right w:type="dxa" w:w="140"/>
            </w:tcMar>
          </w:tcPr>
          <w:p>
            <w:pPr>
              <w:spacing w:after="0" w:before="0" w:line="260"/>
            </w:pPr>
            <w:r>
              <w:rPr>
                <w:b/>
                <w:bCs/>
                <w:color w:val="1F2937"/>
                <w:sz w:val="20"/>
                <w:szCs w:val="20"/>
              </w:rPr>
              <w:t xml:space="preserve">Purpose</w:t>
            </w:r>
          </w:p>
        </w:tc>
        <w:tc>
          <w:tcPr>
            <w:tcW w:type="dxa" w:w="3460"/>
            <w:shd w:fill="F2F4F7" w:val="clear"/>
            <w:tcMar>
              <w:top w:type="dxa" w:w="100"/>
              <w:left w:type="dxa" w:w="140"/>
              <w:bottom w:type="dxa" w:w="100"/>
              <w:right w:type="dxa" w:w="140"/>
            </w:tcMar>
          </w:tcPr>
          <w:p>
            <w:pPr>
              <w:spacing w:after="0" w:before="0" w:line="260"/>
            </w:pPr>
            <w:r>
              <w:rPr>
                <w:b/>
                <w:bCs/>
                <w:color w:val="1F2937"/>
                <w:sz w:val="20"/>
                <w:szCs w:val="20"/>
              </w:rPr>
              <w:t xml:space="preserve">User Action</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Salary Import</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Main data-entry sheet for Salary Tax import.</w:t>
            </w:r>
          </w:p>
        </w:tc>
        <w:tc>
          <w:tcPr>
            <w:tcW w:type="dxa" w:w="3460"/>
            <w:tcMar>
              <w:top w:type="dxa" w:w="100"/>
              <w:left w:type="dxa" w:w="140"/>
              <w:bottom w:type="dxa" w:w="100"/>
              <w:right w:type="dxa" w:w="140"/>
            </w:tcMar>
          </w:tcPr>
          <w:p>
            <w:pPr>
              <w:spacing w:after="0" w:before="0" w:line="260"/>
            </w:pPr>
            <w:r>
              <w:rPr>
                <w:b w:val="false"/>
                <w:bCs w:val="false"/>
                <w:color w:val="1F2937"/>
                <w:sz w:val="20"/>
                <w:szCs w:val="20"/>
              </w:rPr>
              <w:t xml:space="preserve">Complete one row per taxpayer and filing period.</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Instructions</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Explains field groups, colors, and fallback rules.</w:t>
            </w:r>
          </w:p>
        </w:tc>
        <w:tc>
          <w:tcPr>
            <w:tcW w:type="dxa" w:w="34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Validation Lists</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Stores dropdown lists used by the import sheet.</w:t>
            </w:r>
          </w:p>
        </w:tc>
        <w:tc>
          <w:tcPr>
            <w:tcW w:type="dxa" w:w="34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Data Dictionary</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Shows salary tax provisions and benchmark rates.</w:t>
            </w:r>
          </w:p>
        </w:tc>
        <w:tc>
          <w:tcPr>
            <w:tcW w:type="dxa" w:w="34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Change Log</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Records template version and changes.</w:t>
            </w:r>
          </w:p>
        </w:tc>
        <w:tc>
          <w:tcPr>
            <w:tcW w:type="dxa" w:w="3460"/>
            <w:tcMar>
              <w:top w:type="dxa" w:w="100"/>
              <w:left w:type="dxa" w:w="140"/>
              <w:bottom w:type="dxa" w:w="100"/>
              <w:right w:type="dxa" w:w="140"/>
            </w:tcMar>
          </w:tcPr>
          <w:p>
            <w:pPr>
              <w:spacing w:after="0" w:before="0" w:line="260"/>
            </w:pPr>
            <w:r>
              <w:rPr>
                <w:b w:val="false"/>
                <w:bCs w:val="false"/>
                <w:color w:val="1F2937"/>
                <w:sz w:val="20"/>
                <w:szCs w:val="20"/>
              </w:rPr>
              <w:t xml:space="preserve">Read only/reference.</w:t>
            </w:r>
          </w:p>
        </w:tc>
      </w:tr>
    </w:tbl>
    <w:p>
      <w:pPr>
        <w:pStyle w:val="Heading1"/>
        <w:spacing w:after="120" w:before="280"/>
      </w:pPr>
      <w:r>
        <w:rPr>
          <w:b/>
          <w:bCs/>
          <w:color w:val="2E74B5"/>
          <w:sz w:val="32"/>
          <w:szCs w:val="32"/>
        </w:rPr>
        <w:t xml:space="preserve">2. Information Groups</w:t>
      </w:r>
    </w:p>
    <w:p>
      <w:pPr>
        <w:spacing w:after="120" w:before="0" w:line="300"/>
      </w:pPr>
      <w:r>
        <w:rPr>
          <w:color w:val="1F2937"/>
          <w:sz w:val="22"/>
          <w:szCs w:val="22"/>
        </w:rPr>
        <w:t xml:space="preserve">The template keeps the current import-compatible columns first, then adds controlled fallback fields. This allows current import testing to continue while preparing a cleaner agreed standard.</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2100"/>
            <w:shd w:fill="F2F4F7" w:val="clear"/>
            <w:tcMar>
              <w:top w:type="dxa" w:w="100"/>
              <w:left w:type="dxa" w:w="140"/>
              <w:bottom w:type="dxa" w:w="100"/>
              <w:right w:type="dxa" w:w="140"/>
            </w:tcMar>
          </w:tcPr>
          <w:p>
            <w:pPr>
              <w:spacing w:after="0" w:before="0" w:line="260"/>
            </w:pPr>
            <w:r>
              <w:rPr>
                <w:b/>
                <w:bCs/>
                <w:color w:val="1F2937"/>
                <w:sz w:val="20"/>
                <w:szCs w:val="20"/>
              </w:rPr>
              <w:t xml:space="preserve">Group</w:t>
            </w:r>
          </w:p>
        </w:tc>
        <w:tc>
          <w:tcPr>
            <w:tcW w:type="dxa" w:w="2700"/>
            <w:shd w:fill="F2F4F7" w:val="clear"/>
            <w:tcMar>
              <w:top w:type="dxa" w:w="100"/>
              <w:left w:type="dxa" w:w="140"/>
              <w:bottom w:type="dxa" w:w="100"/>
              <w:right w:type="dxa" w:w="140"/>
            </w:tcMar>
          </w:tcPr>
          <w:p>
            <w:pPr>
              <w:spacing w:after="0" w:before="0" w:line="260"/>
            </w:pPr>
            <w:r>
              <w:rPr>
                <w:b/>
                <w:bCs/>
                <w:color w:val="1F2937"/>
                <w:sz w:val="20"/>
                <w:szCs w:val="20"/>
              </w:rPr>
              <w:t xml:space="preserve">Color</w:t>
            </w:r>
          </w:p>
        </w:tc>
        <w:tc>
          <w:tcPr>
            <w:tcW w:type="dxa" w:w="4560"/>
            <w:shd w:fill="F2F4F7" w:val="clear"/>
            <w:tcMar>
              <w:top w:type="dxa" w:w="100"/>
              <w:left w:type="dxa" w:w="140"/>
              <w:bottom w:type="dxa" w:w="100"/>
              <w:right w:type="dxa" w:w="140"/>
            </w:tcMar>
          </w:tcPr>
          <w:p>
            <w:pPr>
              <w:spacing w:after="0" w:before="0" w:line="260"/>
            </w:pPr>
            <w:r>
              <w:rPr>
                <w:b/>
                <w:bCs/>
                <w:color w:val="1F2937"/>
                <w:sz w:val="20"/>
                <w:szCs w:val="20"/>
              </w:rPr>
              <w:t xml:space="preserve">Meaning</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Required</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Needed for normal Salary Tax TE calculation.</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Optional</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Slate header / white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Official or supporting filing information used for review and audit.</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User Fallback</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Orange header / light amber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Optional user-provided benchmark rate or TE amount used only when normal system calculation is insufficient.</w:t>
            </w:r>
          </w:p>
        </w:tc>
      </w:tr>
    </w:tbl>
    <w:p>
      <w:pPr>
        <w:pStyle w:val="Heading1"/>
        <w:spacing w:after="120" w:before="280"/>
      </w:pPr>
      <w:r>
        <w:rPr>
          <w:b/>
          <w:bCs/>
          <w:color w:val="2E74B5"/>
          <w:sz w:val="32"/>
          <w:szCs w:val="32"/>
        </w:rPr>
        <w:t xml:space="preserve">3. How To Fill The Template</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900"/>
            <w:shd w:fill="F2F4F7" w:val="clear"/>
            <w:tcMar>
              <w:top w:type="dxa" w:w="100"/>
              <w:left w:type="dxa" w:w="140"/>
              <w:bottom w:type="dxa" w:w="100"/>
              <w:right w:type="dxa" w:w="140"/>
            </w:tcMar>
          </w:tcPr>
          <w:p>
            <w:pPr>
              <w:spacing w:after="0" w:before="0" w:line="260"/>
            </w:pPr>
            <w:r>
              <w:rPr>
                <w:b/>
                <w:bCs/>
                <w:color w:val="1F2937"/>
                <w:sz w:val="20"/>
                <w:szCs w:val="20"/>
              </w:rPr>
              <w:t xml:space="preserve">Step</w:t>
            </w:r>
          </w:p>
        </w:tc>
        <w:tc>
          <w:tcPr>
            <w:tcW w:type="dxa" w:w="8460"/>
            <w:shd w:fill="F2F4F7" w:val="clear"/>
            <w:tcMar>
              <w:top w:type="dxa" w:w="100"/>
              <w:left w:type="dxa" w:w="140"/>
              <w:bottom w:type="dxa" w:w="100"/>
              <w:right w:type="dxa" w:w="140"/>
            </w:tcMar>
          </w:tcPr>
          <w:p>
            <w:pPr>
              <w:spacing w:after="0" w:before="0" w:line="260"/>
            </w:pPr>
            <w:r>
              <w:rPr>
                <w:b/>
                <w:bCs/>
                <w:color w:val="1F2937"/>
                <w:sz w:val="20"/>
                <w:szCs w:val="20"/>
              </w:rPr>
              <w:t xml:space="preserve">Action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1</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Open the workbook and go to the Salary Import sheet.</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2</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Complete the core fields: TIN, Tax Year, Filing Period, Tax Exempt Amount, Tax Amount, and Provision Number.</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3</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Complete official supporting fields where available, such as Filing Type, Total Taxable Amount, Adjustment Amount, Carryforward Amount, and Total Amount Due.</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4</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Use dropdowns for Filing Type, Provision Number, Use User Fallback?, and User Fallback Reason.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5</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Leave User Fallback fields blank unless normal system calculation should be overridden or supplemented.</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6</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If Use User Fallback? is Yes, complete User Fallback Reason and the relevant User Benchmark Rate or User TE field.</w:t>
            </w:r>
          </w:p>
        </w:tc>
      </w:tr>
    </w:tbl>
    <w:p>
      <w:pPr>
        <w:pStyle w:val="Heading1"/>
        <w:spacing w:after="120" w:before="280"/>
      </w:pPr>
      <w:r>
        <w:rPr>
          <w:b/>
          <w:bCs/>
          <w:color w:val="2E74B5"/>
          <w:sz w:val="32"/>
          <w:szCs w:val="32"/>
        </w:rPr>
        <w:t xml:space="preserve">4. Why This Template Is Recommended</w:t>
      </w:r>
    </w:p>
    <w:p>
      <w:pPr>
        <w:spacing w:after="120" w:before="0" w:line="300"/>
      </w:pPr>
      <w:r>
        <w:rPr>
          <w:color w:val="1F2937"/>
          <w:sz w:val="22"/>
          <w:szCs w:val="22"/>
        </w:rPr>
        <w:t xml:space="preserve">The current salary template is already compact, so the recommended APIS version keeps its structure instead of making unnecessary changes. Columns A:N remain compatible with the current system import code.</w:t>
      </w:r>
    </w:p>
    <w:p>
      <w:pPr>
        <w:spacing w:after="120" w:before="0" w:line="300"/>
      </w:pPr>
      <w:r>
        <w:rPr>
          <w:color w:val="1F2937"/>
          <w:sz w:val="22"/>
          <w:szCs w:val="22"/>
        </w:rPr>
        <w:t xml:space="preserve">The main improvement is the controlled fallback area. It separates official filing data from user-provided judgement values, making the import easier to audit and easier to explain.</w:t>
      </w:r>
    </w:p>
    <w:p>
      <w:pPr>
        <w:pStyle w:val="Heading1"/>
        <w:spacing w:after="120" w:before="280"/>
      </w:pPr>
      <w:r>
        <w:rPr>
          <w:b/>
          <w:bCs/>
          <w:color w:val="2E74B5"/>
          <w:sz w:val="32"/>
          <w:szCs w:val="32"/>
        </w:rPr>
        <w:t xml:space="preserve">5. Fallback Principle</w:t>
      </w:r>
    </w:p>
    <w:p>
      <w:pPr>
        <w:spacing w:after="120" w:before="0" w:line="300"/>
      </w:pPr>
      <w:r>
        <w:rPr>
          <w:color w:val="1F2937"/>
          <w:sz w:val="22"/>
          <w:szCs w:val="22"/>
        </w:rPr>
        <w:t xml:space="preserve">The system should calculate Salary Tax TE from primary data whenever possible. The current calculation uses Tax Exempt Amount multiplied by the configured benchmark rate for the selected Provision Number. User Fallback fields are a controlled exception for agreed cases where normal inputs or benchmark configuration are not sufficient.</w:t>
      </w:r>
    </w:p>
    <w:p>
      <w:pPr>
        <w:pStyle w:val="Heading1"/>
        <w:spacing w:after="120" w:before="280"/>
      </w:pPr>
      <w:r>
        <w:rPr>
          <w:b/>
          <w:bCs/>
          <w:color w:val="2E74B5"/>
          <w:sz w:val="32"/>
          <w:szCs w:val="32"/>
        </w:rPr>
        <w:t xml:space="preserve">6. Discussion Points For Expert Agreement</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2600"/>
            <w:shd w:fill="F2F4F7" w:val="clear"/>
            <w:tcMar>
              <w:top w:type="dxa" w:w="100"/>
              <w:left w:type="dxa" w:w="140"/>
              <w:bottom w:type="dxa" w:w="100"/>
              <w:right w:type="dxa" w:w="140"/>
            </w:tcMar>
          </w:tcPr>
          <w:p>
            <w:pPr>
              <w:spacing w:after="0" w:before="0" w:line="260"/>
            </w:pPr>
            <w:r>
              <w:rPr>
                <w:b/>
                <w:bCs/>
                <w:color w:val="1F2937"/>
                <w:sz w:val="20"/>
                <w:szCs w:val="20"/>
              </w:rPr>
              <w:t xml:space="preserve">Topic</w:t>
            </w:r>
          </w:p>
        </w:tc>
        <w:tc>
          <w:tcPr>
            <w:tcW w:type="dxa" w:w="6760"/>
            <w:shd w:fill="F2F4F7" w:val="clear"/>
            <w:tcMar>
              <w:top w:type="dxa" w:w="100"/>
              <w:left w:type="dxa" w:w="140"/>
              <w:bottom w:type="dxa" w:w="100"/>
              <w:right w:type="dxa" w:w="140"/>
            </w:tcMar>
          </w:tcPr>
          <w:p>
            <w:pPr>
              <w:spacing w:after="0" w:before="0" w:line="260"/>
            </w:pPr>
            <w:r>
              <w:rPr>
                <w:b/>
                <w:bCs/>
                <w:color w:val="1F2937"/>
                <w:sz w:val="20"/>
                <w:szCs w:val="20"/>
              </w:rPr>
              <w:t xml:space="preserve">Question For Agreement</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Mandatory fields</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Are TIN, Tax Year, Filing Period, Tax Exempt Amount, Tax Amount, and Provision Number sufficient as required fields?</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Supporting totals</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Should Total Taxable Amount and Total Amount Due remain as official audit fields even if they are derived?</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Provision Number</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Should every row use one provision number, or should Multiple be accepted?</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User Fallback</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When should User Benchmark Rate or User TE be accepted?</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Template version</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Can this become the agreed SALARY_IMPORT v1.0 standard?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2026-06-05T09:20:50.574Z</dcterms:created>
  <dcterms:modified xsi:type="dcterms:W3CDTF">2026-06-05T09:20:50.577Z</dcterms:modified>
</cp:coreProperties>
</file>

<file path=docProps/custom.xml><?xml version="1.0" encoding="utf-8"?>
<Properties xmlns="http://schemas.openxmlformats.org/officeDocument/2006/custom-properties" xmlns:vt="http://schemas.openxmlformats.org/officeDocument/2006/docPropsVTypes"/>
</file>