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100" w:before="0"/>
        <w:jc w:val="center"/>
      </w:pPr>
      <w:r>
        <w:rPr>
          <w:b/>
          <w:bCs/>
          <w:color w:val="FFFFFF"/>
          <w:sz w:val="34"/>
          <w:szCs w:val="34"/>
        </w:rPr>
        <w:t xml:space="preserve">SEZ Investor Import Template Manual</w:t>
      </w:r>
    </w:p>
    <w:p>
      <w:pPr>
        <w:shd w:fill="1F4E79" w:val="clear"/>
        <w:spacing w:after="240" w:before="0"/>
        <w:jc w:val="center"/>
      </w:pPr>
      <w:r>
        <w:rPr>
          <w:color w:val="FFFFFF"/>
          <w:sz w:val="22"/>
          <w:szCs w:val="22"/>
        </w:rPr>
        <w:t xml:space="preserve">Discussion guide for the recommended APIS Excel template</w:t>
      </w:r>
    </w:p>
    <w:p>
      <w:pPr>
        <w:spacing w:after="120" w:before="0" w:line="300"/>
      </w:pPr>
      <w:r>
        <w:rPr>
          <w:color w:val="1F2937"/>
          <w:sz w:val="22"/>
          <w:szCs w:val="22"/>
        </w:rPr>
        <w:t xml:space="preserve">This short manual explains how to use the SEZ Investor recommended import template and why the template is structured this way. It is intended for discussion before the template becomes the final standard.</w:t>
      </w:r>
    </w:p>
    <w:p>
      <w:pPr>
        <w:pStyle w:val="Heading1"/>
        <w:spacing w:after="120" w:before="280"/>
      </w:pPr>
      <w:r>
        <w:rPr>
          <w:b/>
          <w:bCs/>
          <w:color w:val="2E74B5"/>
          <w:sz w:val="32"/>
          <w:szCs w:val="32"/>
        </w:rPr>
        <w:t xml:space="preserve">1. Main Rule</w:t>
      </w:r>
    </w:p>
    <w:p>
      <w:pPr>
        <w:spacing w:after="120" w:before="0" w:line="300"/>
      </w:pPr>
      <w:r>
        <w:rPr>
          <w:color w:val="1F2937"/>
          <w:sz w:val="22"/>
          <w:szCs w:val="22"/>
        </w:rPr>
        <w:t xml:space="preserve">Users should enter data only in the first sheet, SEZ Investor Import. The other sheets are instructions or reference sheets. They are protected to prevent accidental changes to province, district, VAT rate, and provision references.</w:t>
      </w:r>
    </w:p>
    <w:tbl>
      <w:tblPr>
        <w:tblW w:type="dxa" w:w="9360"/>
        <w:tblBorders>
          <w:top w:val="single" w:color="D9E2EA" w:sz="4"/>
          <w:left w:val="single" w:color="D9E2EA" w:sz="4"/>
          <w:bottom w:val="single" w:color="D9E2EA" w:sz="4"/>
          <w:right w:val="single" w:color="D9E2EA" w:sz="4"/>
          <w:insideH w:val="single" w:color="D9E2EA" w:sz="4"/>
          <w:insideV w:val="single" w:color="D9E2EA" w:sz="4"/>
        </w:tblBorders>
      </w:tblPr>
      <w:tblGrid>
        <w:gridCol w:w="100"/>
        <w:gridCol w:w="100"/>
        <w:gridCol w:w="100"/>
      </w:tblGrid>
      <w:tr>
        <w:tc>
          <w:tcPr>
            <w:tcW w:type="dxa" w:w="1900"/>
            <w:shd w:fill="F2F4F7" w:val="clear"/>
            <w:tcMar>
              <w:top w:type="dxa" w:w="100"/>
              <w:left w:type="dxa" w:w="140"/>
              <w:bottom w:type="dxa" w:w="100"/>
              <w:right w:type="dxa" w:w="140"/>
            </w:tcMar>
          </w:tcPr>
          <w:p>
            <w:pPr>
              <w:spacing w:after="0" w:before="0" w:line="260"/>
            </w:pPr>
            <w:r>
              <w:rPr>
                <w:b/>
                <w:bCs/>
                <w:color w:val="1F2937"/>
                <w:sz w:val="20"/>
                <w:szCs w:val="20"/>
              </w:rPr>
              <w:t xml:space="preserve">Sheet</w:t>
            </w:r>
          </w:p>
        </w:tc>
        <w:tc>
          <w:tcPr>
            <w:tcW w:type="dxa" w:w="4200"/>
            <w:shd w:fill="F2F4F7" w:val="clear"/>
            <w:tcMar>
              <w:top w:type="dxa" w:w="100"/>
              <w:left w:type="dxa" w:w="140"/>
              <w:bottom w:type="dxa" w:w="100"/>
              <w:right w:type="dxa" w:w="140"/>
            </w:tcMar>
          </w:tcPr>
          <w:p>
            <w:pPr>
              <w:spacing w:after="0" w:before="0" w:line="260"/>
            </w:pPr>
            <w:r>
              <w:rPr>
                <w:b/>
                <w:bCs/>
                <w:color w:val="1F2937"/>
                <w:sz w:val="20"/>
                <w:szCs w:val="20"/>
              </w:rPr>
              <w:t xml:space="preserve">Purpose</w:t>
            </w:r>
          </w:p>
        </w:tc>
        <w:tc>
          <w:tcPr>
            <w:tcW w:type="dxa" w:w="3260"/>
            <w:shd w:fill="F2F4F7" w:val="clear"/>
            <w:tcMar>
              <w:top w:type="dxa" w:w="100"/>
              <w:left w:type="dxa" w:w="140"/>
              <w:bottom w:type="dxa" w:w="100"/>
              <w:right w:type="dxa" w:w="140"/>
            </w:tcMar>
          </w:tcPr>
          <w:p>
            <w:pPr>
              <w:spacing w:after="0" w:before="0" w:line="260"/>
            </w:pPr>
            <w:r>
              <w:rPr>
                <w:b/>
                <w:bCs/>
                <w:color w:val="1F2937"/>
                <w:sz w:val="20"/>
                <w:szCs w:val="20"/>
              </w:rPr>
              <w:t xml:space="preserve">User Action</w:t>
            </w:r>
          </w:p>
        </w:tc>
      </w:tr>
      <w:tr>
        <w:tc>
          <w:tcPr>
            <w:tcW w:type="dxa" w:w="1900"/>
            <w:tcMar>
              <w:top w:type="dxa" w:w="100"/>
              <w:left w:type="dxa" w:w="140"/>
              <w:bottom w:type="dxa" w:w="100"/>
              <w:right w:type="dxa" w:w="140"/>
            </w:tcMar>
          </w:tcPr>
          <w:p>
            <w:pPr>
              <w:spacing w:after="0" w:before="0" w:line="260"/>
            </w:pPr>
            <w:r>
              <w:rPr>
                <w:b w:val="false"/>
                <w:bCs w:val="false"/>
                <w:color w:val="1F2937"/>
                <w:sz w:val="20"/>
                <w:szCs w:val="20"/>
              </w:rPr>
              <w:t xml:space="preserve">SEZ Investor Import</w:t>
            </w:r>
          </w:p>
        </w:tc>
        <w:tc>
          <w:tcPr>
            <w:tcW w:type="dxa" w:w="4200"/>
            <w:tcMar>
              <w:top w:type="dxa" w:w="100"/>
              <w:left w:type="dxa" w:w="140"/>
              <w:bottom w:type="dxa" w:w="100"/>
              <w:right w:type="dxa" w:w="140"/>
            </w:tcMar>
          </w:tcPr>
          <w:p>
            <w:pPr>
              <w:spacing w:after="0" w:before="0" w:line="260"/>
            </w:pPr>
            <w:r>
              <w:rPr>
                <w:b w:val="false"/>
                <w:bCs w:val="false"/>
                <w:color w:val="1F2937"/>
                <w:sz w:val="20"/>
                <w:szCs w:val="20"/>
              </w:rPr>
              <w:t xml:space="preserve">Main data-entry sheet for SEZ investor utility and infrastructure import.</w:t>
            </w:r>
          </w:p>
        </w:tc>
        <w:tc>
          <w:tcPr>
            <w:tcW w:type="dxa" w:w="3260"/>
            <w:tcMar>
              <w:top w:type="dxa" w:w="100"/>
              <w:left w:type="dxa" w:w="140"/>
              <w:bottom w:type="dxa" w:w="100"/>
              <w:right w:type="dxa" w:w="140"/>
            </w:tcMar>
          </w:tcPr>
          <w:p>
            <w:pPr>
              <w:spacing w:after="0" w:before="0" w:line="260"/>
            </w:pPr>
            <w:r>
              <w:rPr>
                <w:b w:val="false"/>
                <w:bCs w:val="false"/>
                <w:color w:val="1F2937"/>
                <w:sz w:val="20"/>
                <w:szCs w:val="20"/>
              </w:rPr>
              <w:t xml:space="preserve">Complete one row per taxpayer/year.</w:t>
            </w:r>
          </w:p>
        </w:tc>
      </w:tr>
      <w:tr>
        <w:tc>
          <w:tcPr>
            <w:tcW w:type="dxa" w:w="1900"/>
            <w:tcMar>
              <w:top w:type="dxa" w:w="100"/>
              <w:left w:type="dxa" w:w="140"/>
              <w:bottom w:type="dxa" w:w="100"/>
              <w:right w:type="dxa" w:w="140"/>
            </w:tcMar>
          </w:tcPr>
          <w:p>
            <w:pPr>
              <w:spacing w:after="0" w:before="0" w:line="260"/>
            </w:pPr>
            <w:r>
              <w:rPr>
                <w:b w:val="false"/>
                <w:bCs w:val="false"/>
                <w:color w:val="1F2937"/>
                <w:sz w:val="20"/>
                <w:szCs w:val="20"/>
              </w:rPr>
              <w:t xml:space="preserve">Instructions</w:t>
            </w:r>
          </w:p>
        </w:tc>
        <w:tc>
          <w:tcPr>
            <w:tcW w:type="dxa" w:w="4200"/>
            <w:tcMar>
              <w:top w:type="dxa" w:w="100"/>
              <w:left w:type="dxa" w:w="140"/>
              <w:bottom w:type="dxa" w:w="100"/>
              <w:right w:type="dxa" w:w="140"/>
            </w:tcMar>
          </w:tcPr>
          <w:p>
            <w:pPr>
              <w:spacing w:after="0" w:before="0" w:line="260"/>
            </w:pPr>
            <w:r>
              <w:rPr>
                <w:b w:val="false"/>
                <w:bCs w:val="false"/>
                <w:color w:val="1F2937"/>
                <w:sz w:val="20"/>
                <w:szCs w:val="20"/>
              </w:rPr>
              <w:t xml:space="preserve">Explains field groups, colors, compatibility, and fallback rules.</w:t>
            </w:r>
          </w:p>
        </w:tc>
        <w:tc>
          <w:tcPr>
            <w:tcW w:type="dxa" w:w="3260"/>
            <w:tcMar>
              <w:top w:type="dxa" w:w="100"/>
              <w:left w:type="dxa" w:w="140"/>
              <w:bottom w:type="dxa" w:w="100"/>
              <w:right w:type="dxa" w:w="140"/>
            </w:tcMar>
          </w:tcPr>
          <w:p>
            <w:pPr>
              <w:spacing w:after="0" w:before="0" w:line="260"/>
            </w:pPr>
            <w:r>
              <w:rPr>
                <w:b w:val="false"/>
                <w:bCs w:val="false"/>
                <w:color w:val="1F2937"/>
                <w:sz w:val="20"/>
                <w:szCs w:val="20"/>
              </w:rPr>
              <w:t xml:space="preserve">Read only.</w:t>
            </w:r>
          </w:p>
        </w:tc>
      </w:tr>
      <w:tr>
        <w:tc>
          <w:tcPr>
            <w:tcW w:type="dxa" w:w="1900"/>
            <w:tcMar>
              <w:top w:type="dxa" w:w="100"/>
              <w:left w:type="dxa" w:w="140"/>
              <w:bottom w:type="dxa" w:w="100"/>
              <w:right w:type="dxa" w:w="140"/>
            </w:tcMar>
          </w:tcPr>
          <w:p>
            <w:pPr>
              <w:spacing w:after="0" w:before="0" w:line="260"/>
            </w:pPr>
            <w:r>
              <w:rPr>
                <w:b w:val="false"/>
                <w:bCs w:val="false"/>
                <w:color w:val="1F2937"/>
                <w:sz w:val="20"/>
                <w:szCs w:val="20"/>
              </w:rPr>
              <w:t xml:space="preserve">Validation Lists</w:t>
            </w:r>
          </w:p>
        </w:tc>
        <w:tc>
          <w:tcPr>
            <w:tcW w:type="dxa" w:w="4200"/>
            <w:tcMar>
              <w:top w:type="dxa" w:w="100"/>
              <w:left w:type="dxa" w:w="140"/>
              <w:bottom w:type="dxa" w:w="100"/>
              <w:right w:type="dxa" w:w="140"/>
            </w:tcMar>
          </w:tcPr>
          <w:p>
            <w:pPr>
              <w:spacing w:after="0" w:before="0" w:line="260"/>
            </w:pPr>
            <w:r>
              <w:rPr>
                <w:b w:val="false"/>
                <w:bCs w:val="false"/>
                <w:color w:val="1F2937"/>
                <w:sz w:val="20"/>
                <w:szCs w:val="20"/>
              </w:rPr>
              <w:t xml:space="preserve">Stores dropdown lists used by the import sheet.</w:t>
            </w:r>
          </w:p>
        </w:tc>
        <w:tc>
          <w:tcPr>
            <w:tcW w:type="dxa" w:w="3260"/>
            <w:tcMar>
              <w:top w:type="dxa" w:w="100"/>
              <w:left w:type="dxa" w:w="140"/>
              <w:bottom w:type="dxa" w:w="100"/>
              <w:right w:type="dxa" w:w="140"/>
            </w:tcMar>
          </w:tcPr>
          <w:p>
            <w:pPr>
              <w:spacing w:after="0" w:before="0" w:line="260"/>
            </w:pPr>
            <w:r>
              <w:rPr>
                <w:b w:val="false"/>
                <w:bCs w:val="false"/>
                <w:color w:val="1F2937"/>
                <w:sz w:val="20"/>
                <w:szCs w:val="20"/>
              </w:rPr>
              <w:t xml:space="preserve">Read only.</w:t>
            </w:r>
          </w:p>
        </w:tc>
      </w:tr>
      <w:tr>
        <w:tc>
          <w:tcPr>
            <w:tcW w:type="dxa" w:w="1900"/>
            <w:tcMar>
              <w:top w:type="dxa" w:w="100"/>
              <w:left w:type="dxa" w:w="140"/>
              <w:bottom w:type="dxa" w:w="100"/>
              <w:right w:type="dxa" w:w="140"/>
            </w:tcMar>
          </w:tcPr>
          <w:p>
            <w:pPr>
              <w:spacing w:after="0" w:before="0" w:line="260"/>
            </w:pPr>
            <w:r>
              <w:rPr>
                <w:b w:val="false"/>
                <w:bCs w:val="false"/>
                <w:color w:val="1F2937"/>
                <w:sz w:val="20"/>
                <w:szCs w:val="20"/>
              </w:rPr>
              <w:t xml:space="preserve">Data Dictionary</w:t>
            </w:r>
          </w:p>
        </w:tc>
        <w:tc>
          <w:tcPr>
            <w:tcW w:type="dxa" w:w="4200"/>
            <w:tcMar>
              <w:top w:type="dxa" w:w="100"/>
              <w:left w:type="dxa" w:w="140"/>
              <w:bottom w:type="dxa" w:w="100"/>
              <w:right w:type="dxa" w:w="140"/>
            </w:tcMar>
          </w:tcPr>
          <w:p>
            <w:pPr>
              <w:spacing w:after="0" w:before="0" w:line="260"/>
            </w:pPr>
            <w:r>
              <w:rPr>
                <w:b w:val="false"/>
                <w:bCs w:val="false"/>
                <w:color w:val="1F2937"/>
                <w:sz w:val="20"/>
                <w:szCs w:val="20"/>
              </w:rPr>
              <w:t xml:space="preserve">Shows official location codes, VAT rates, and investor provision references.</w:t>
            </w:r>
          </w:p>
        </w:tc>
        <w:tc>
          <w:tcPr>
            <w:tcW w:type="dxa" w:w="3260"/>
            <w:tcMar>
              <w:top w:type="dxa" w:w="100"/>
              <w:left w:type="dxa" w:w="140"/>
              <w:bottom w:type="dxa" w:w="100"/>
              <w:right w:type="dxa" w:w="140"/>
            </w:tcMar>
          </w:tcPr>
          <w:p>
            <w:pPr>
              <w:spacing w:after="0" w:before="0" w:line="260"/>
            </w:pPr>
            <w:r>
              <w:rPr>
                <w:b w:val="false"/>
                <w:bCs w:val="false"/>
                <w:color w:val="1F2937"/>
                <w:sz w:val="20"/>
                <w:szCs w:val="20"/>
              </w:rPr>
              <w:t xml:space="preserve">Read only.</w:t>
            </w:r>
          </w:p>
        </w:tc>
      </w:tr>
      <w:tr>
        <w:tc>
          <w:tcPr>
            <w:tcW w:type="dxa" w:w="1900"/>
            <w:tcMar>
              <w:top w:type="dxa" w:w="100"/>
              <w:left w:type="dxa" w:w="140"/>
              <w:bottom w:type="dxa" w:w="100"/>
              <w:right w:type="dxa" w:w="140"/>
            </w:tcMar>
          </w:tcPr>
          <w:p>
            <w:pPr>
              <w:spacing w:after="0" w:before="0" w:line="260"/>
            </w:pPr>
            <w:r>
              <w:rPr>
                <w:b w:val="false"/>
                <w:bCs w:val="false"/>
                <w:color w:val="1F2937"/>
                <w:sz w:val="20"/>
                <w:szCs w:val="20"/>
              </w:rPr>
              <w:t xml:space="preserve">Change Log</w:t>
            </w:r>
          </w:p>
        </w:tc>
        <w:tc>
          <w:tcPr>
            <w:tcW w:type="dxa" w:w="4200"/>
            <w:tcMar>
              <w:top w:type="dxa" w:w="100"/>
              <w:left w:type="dxa" w:w="140"/>
              <w:bottom w:type="dxa" w:w="100"/>
              <w:right w:type="dxa" w:w="140"/>
            </w:tcMar>
          </w:tcPr>
          <w:p>
            <w:pPr>
              <w:spacing w:after="0" w:before="0" w:line="260"/>
            </w:pPr>
            <w:r>
              <w:rPr>
                <w:b w:val="false"/>
                <w:bCs w:val="false"/>
                <w:color w:val="1F2937"/>
                <w:sz w:val="20"/>
                <w:szCs w:val="20"/>
              </w:rPr>
              <w:t xml:space="preserve">Records template version and changes.</w:t>
            </w:r>
          </w:p>
        </w:tc>
        <w:tc>
          <w:tcPr>
            <w:tcW w:type="dxa" w:w="3260"/>
            <w:tcMar>
              <w:top w:type="dxa" w:w="100"/>
              <w:left w:type="dxa" w:w="140"/>
              <w:bottom w:type="dxa" w:w="100"/>
              <w:right w:type="dxa" w:w="140"/>
            </w:tcMar>
          </w:tcPr>
          <w:p>
            <w:pPr>
              <w:spacing w:after="0" w:before="0" w:line="260"/>
            </w:pPr>
            <w:r>
              <w:rPr>
                <w:b w:val="false"/>
                <w:bCs w:val="false"/>
                <w:color w:val="1F2937"/>
                <w:sz w:val="20"/>
                <w:szCs w:val="20"/>
              </w:rPr>
              <w:t xml:space="preserve">Read only/reference.</w:t>
            </w:r>
          </w:p>
        </w:tc>
      </w:tr>
    </w:tbl>
    <w:p>
      <w:pPr>
        <w:pStyle w:val="Heading1"/>
        <w:spacing w:after="120" w:before="280"/>
      </w:pPr>
      <w:r>
        <w:rPr>
          <w:b/>
          <w:bCs/>
          <w:color w:val="2E74B5"/>
          <w:sz w:val="32"/>
          <w:szCs w:val="32"/>
        </w:rPr>
        <w:t xml:space="preserve">2. Information Groups</w:t>
      </w:r>
    </w:p>
    <w:p>
      <w:pPr>
        <w:spacing w:after="120" w:before="0" w:line="300"/>
      </w:pPr>
      <w:r>
        <w:rPr>
          <w:color w:val="1F2937"/>
          <w:sz w:val="22"/>
          <w:szCs w:val="22"/>
        </w:rPr>
        <w:t xml:space="preserve">The current SEZ Investor file is compact and has no calculated Excel TE columns. The APIS version keeps the compatible columns first and adds controlled fallback fields after them.</w:t>
      </w:r>
    </w:p>
    <w:tbl>
      <w:tblPr>
        <w:tblW w:type="dxa" w:w="9360"/>
        <w:tblBorders>
          <w:top w:val="single" w:color="D9E2EA" w:sz="4"/>
          <w:left w:val="single" w:color="D9E2EA" w:sz="4"/>
          <w:bottom w:val="single" w:color="D9E2EA" w:sz="4"/>
          <w:right w:val="single" w:color="D9E2EA" w:sz="4"/>
          <w:insideH w:val="single" w:color="D9E2EA" w:sz="4"/>
          <w:insideV w:val="single" w:color="D9E2EA" w:sz="4"/>
        </w:tblBorders>
      </w:tblPr>
      <w:tblGrid>
        <w:gridCol w:w="100"/>
        <w:gridCol w:w="100"/>
        <w:gridCol w:w="100"/>
      </w:tblGrid>
      <w:tr>
        <w:tc>
          <w:tcPr>
            <w:tcW w:type="dxa" w:w="2100"/>
            <w:shd w:fill="F2F4F7" w:val="clear"/>
            <w:tcMar>
              <w:top w:type="dxa" w:w="100"/>
              <w:left w:type="dxa" w:w="140"/>
              <w:bottom w:type="dxa" w:w="100"/>
              <w:right w:type="dxa" w:w="140"/>
            </w:tcMar>
          </w:tcPr>
          <w:p>
            <w:pPr>
              <w:spacing w:after="0" w:before="0" w:line="260"/>
            </w:pPr>
            <w:r>
              <w:rPr>
                <w:b/>
                <w:bCs/>
                <w:color w:val="1F2937"/>
                <w:sz w:val="20"/>
                <w:szCs w:val="20"/>
              </w:rPr>
              <w:t xml:space="preserve">Group</w:t>
            </w:r>
          </w:p>
        </w:tc>
        <w:tc>
          <w:tcPr>
            <w:tcW w:type="dxa" w:w="2700"/>
            <w:shd w:fill="F2F4F7" w:val="clear"/>
            <w:tcMar>
              <w:top w:type="dxa" w:w="100"/>
              <w:left w:type="dxa" w:w="140"/>
              <w:bottom w:type="dxa" w:w="100"/>
              <w:right w:type="dxa" w:w="140"/>
            </w:tcMar>
          </w:tcPr>
          <w:p>
            <w:pPr>
              <w:spacing w:after="0" w:before="0" w:line="260"/>
            </w:pPr>
            <w:r>
              <w:rPr>
                <w:b/>
                <w:bCs/>
                <w:color w:val="1F2937"/>
                <w:sz w:val="20"/>
                <w:szCs w:val="20"/>
              </w:rPr>
              <w:t xml:space="preserve">Color</w:t>
            </w:r>
          </w:p>
        </w:tc>
        <w:tc>
          <w:tcPr>
            <w:tcW w:type="dxa" w:w="4560"/>
            <w:shd w:fill="F2F4F7" w:val="clear"/>
            <w:tcMar>
              <w:top w:type="dxa" w:w="100"/>
              <w:left w:type="dxa" w:w="140"/>
              <w:bottom w:type="dxa" w:w="100"/>
              <w:right w:type="dxa" w:w="140"/>
            </w:tcMar>
          </w:tcPr>
          <w:p>
            <w:pPr>
              <w:spacing w:after="0" w:before="0" w:line="260"/>
            </w:pPr>
            <w:r>
              <w:rPr>
                <w:b/>
                <w:bCs/>
                <w:color w:val="1F2937"/>
                <w:sz w:val="20"/>
                <w:szCs w:val="20"/>
              </w:rPr>
              <w:t xml:space="preserve">Meaning</w:t>
            </w:r>
          </w:p>
        </w:tc>
      </w:tr>
      <w:tr>
        <w:tc>
          <w:tcPr>
            <w:tcW w:type="dxa" w:w="2100"/>
            <w:tcMar>
              <w:top w:type="dxa" w:w="100"/>
              <w:left w:type="dxa" w:w="140"/>
              <w:bottom w:type="dxa" w:w="100"/>
              <w:right w:type="dxa" w:w="140"/>
            </w:tcMar>
          </w:tcPr>
          <w:p>
            <w:pPr>
              <w:spacing w:after="0" w:before="0" w:line="260"/>
            </w:pPr>
            <w:r>
              <w:rPr>
                <w:b w:val="false"/>
                <w:bCs w:val="false"/>
                <w:color w:val="1F2937"/>
                <w:sz w:val="20"/>
                <w:szCs w:val="20"/>
              </w:rPr>
              <w:t xml:space="preserve">Primary Required</w:t>
            </w:r>
          </w:p>
        </w:tc>
        <w:tc>
          <w:tcPr>
            <w:tcW w:type="dxa" w:w="2700"/>
            <w:tcMar>
              <w:top w:type="dxa" w:w="100"/>
              <w:left w:type="dxa" w:w="140"/>
              <w:bottom w:type="dxa" w:w="100"/>
              <w:right w:type="dxa" w:w="140"/>
            </w:tcMar>
          </w:tcPr>
          <w:p>
            <w:pPr>
              <w:spacing w:after="0" w:before="0" w:line="260"/>
            </w:pPr>
            <w:r>
              <w:rPr>
                <w:b w:val="false"/>
                <w:bCs w:val="false"/>
                <w:color w:val="1F2937"/>
                <w:sz w:val="20"/>
                <w:szCs w:val="20"/>
              </w:rPr>
              <w:t xml:space="preserve">Dark blue header / light blue cells</w:t>
            </w:r>
          </w:p>
        </w:tc>
        <w:tc>
          <w:tcPr>
            <w:tcW w:type="dxa" w:w="4560"/>
            <w:tcMar>
              <w:top w:type="dxa" w:w="100"/>
              <w:left w:type="dxa" w:w="140"/>
              <w:bottom w:type="dxa" w:w="100"/>
              <w:right w:type="dxa" w:w="140"/>
            </w:tcMar>
          </w:tcPr>
          <w:p>
            <w:pPr>
              <w:spacing w:after="0" w:before="0" w:line="260"/>
            </w:pPr>
            <w:r>
              <w:rPr>
                <w:b w:val="false"/>
                <w:bCs w:val="false"/>
                <w:color w:val="1F2937"/>
                <w:sz w:val="20"/>
                <w:szCs w:val="20"/>
              </w:rPr>
              <w:t xml:space="preserve">Needed for normal SEZ Investor VAT TE calculation.</w:t>
            </w:r>
          </w:p>
        </w:tc>
      </w:tr>
      <w:tr>
        <w:tc>
          <w:tcPr>
            <w:tcW w:type="dxa" w:w="2100"/>
            <w:tcMar>
              <w:top w:type="dxa" w:w="100"/>
              <w:left w:type="dxa" w:w="140"/>
              <w:bottom w:type="dxa" w:w="100"/>
              <w:right w:type="dxa" w:w="140"/>
            </w:tcMar>
          </w:tcPr>
          <w:p>
            <w:pPr>
              <w:spacing w:after="0" w:before="0" w:line="260"/>
            </w:pPr>
            <w:r>
              <w:rPr>
                <w:b w:val="false"/>
                <w:bCs w:val="false"/>
                <w:color w:val="1F2937"/>
                <w:sz w:val="20"/>
                <w:szCs w:val="20"/>
              </w:rPr>
              <w:t xml:space="preserve">Primary Optional</w:t>
            </w:r>
          </w:p>
        </w:tc>
        <w:tc>
          <w:tcPr>
            <w:tcW w:type="dxa" w:w="2700"/>
            <w:tcMar>
              <w:top w:type="dxa" w:w="100"/>
              <w:left w:type="dxa" w:w="140"/>
              <w:bottom w:type="dxa" w:w="100"/>
              <w:right w:type="dxa" w:w="140"/>
            </w:tcMar>
          </w:tcPr>
          <w:p>
            <w:pPr>
              <w:spacing w:after="0" w:before="0" w:line="260"/>
            </w:pPr>
            <w:r>
              <w:rPr>
                <w:b w:val="false"/>
                <w:bCs w:val="false"/>
                <w:color w:val="1F2937"/>
                <w:sz w:val="20"/>
                <w:szCs w:val="20"/>
              </w:rPr>
              <w:t xml:space="preserve">Dark blue header / light blue cells</w:t>
            </w:r>
          </w:p>
        </w:tc>
        <w:tc>
          <w:tcPr>
            <w:tcW w:type="dxa" w:w="4560"/>
            <w:tcMar>
              <w:top w:type="dxa" w:w="100"/>
              <w:left w:type="dxa" w:w="140"/>
              <w:bottom w:type="dxa" w:w="100"/>
              <w:right w:type="dxa" w:w="140"/>
            </w:tcMar>
          </w:tcPr>
          <w:p>
            <w:pPr>
              <w:spacing w:after="0" w:before="0" w:line="260"/>
            </w:pPr>
            <w:r>
              <w:rPr>
                <w:b w:val="false"/>
                <w:bCs w:val="false"/>
                <w:color w:val="1F2937"/>
                <w:sz w:val="20"/>
                <w:szCs w:val="20"/>
              </w:rPr>
              <w:t xml:space="preserve">Useful for audit and reporting, but not always required for calculation.</w:t>
            </w:r>
          </w:p>
        </w:tc>
      </w:tr>
      <w:tr>
        <w:tc>
          <w:tcPr>
            <w:tcW w:type="dxa" w:w="2100"/>
            <w:tcMar>
              <w:top w:type="dxa" w:w="100"/>
              <w:left w:type="dxa" w:w="140"/>
              <w:bottom w:type="dxa" w:w="100"/>
              <w:right w:type="dxa" w:w="140"/>
            </w:tcMar>
          </w:tcPr>
          <w:p>
            <w:pPr>
              <w:spacing w:after="0" w:before="0" w:line="260"/>
            </w:pPr>
            <w:r>
              <w:rPr>
                <w:b w:val="false"/>
                <w:bCs w:val="false"/>
                <w:color w:val="1F2937"/>
                <w:sz w:val="20"/>
                <w:szCs w:val="20"/>
              </w:rPr>
              <w:t xml:space="preserve">User Fallback</w:t>
            </w:r>
          </w:p>
        </w:tc>
        <w:tc>
          <w:tcPr>
            <w:tcW w:type="dxa" w:w="2700"/>
            <w:tcMar>
              <w:top w:type="dxa" w:w="100"/>
              <w:left w:type="dxa" w:w="140"/>
              <w:bottom w:type="dxa" w:w="100"/>
              <w:right w:type="dxa" w:w="140"/>
            </w:tcMar>
          </w:tcPr>
          <w:p>
            <w:pPr>
              <w:spacing w:after="0" w:before="0" w:line="260"/>
            </w:pPr>
            <w:r>
              <w:rPr>
                <w:b w:val="false"/>
                <w:bCs w:val="false"/>
                <w:color w:val="1F2937"/>
                <w:sz w:val="20"/>
                <w:szCs w:val="20"/>
              </w:rPr>
              <w:t xml:space="preserve">Orange header / light amber cells</w:t>
            </w:r>
          </w:p>
        </w:tc>
        <w:tc>
          <w:tcPr>
            <w:tcW w:type="dxa" w:w="4560"/>
            <w:tcMar>
              <w:top w:type="dxa" w:w="100"/>
              <w:left w:type="dxa" w:w="140"/>
              <w:bottom w:type="dxa" w:w="100"/>
              <w:right w:type="dxa" w:w="140"/>
            </w:tcMar>
          </w:tcPr>
          <w:p>
            <w:pPr>
              <w:spacing w:after="0" w:before="0" w:line="260"/>
            </w:pPr>
            <w:r>
              <w:rPr>
                <w:b w:val="false"/>
                <w:bCs w:val="false"/>
                <w:color w:val="1F2937"/>
                <w:sz w:val="20"/>
                <w:szCs w:val="20"/>
              </w:rPr>
              <w:t xml:space="preserve">Optional user-provided benchmark rate or TE value used only when normal system calculation is insufficient.</w:t>
            </w:r>
          </w:p>
        </w:tc>
      </w:tr>
    </w:tbl>
    <w:p>
      <w:pPr>
        <w:pStyle w:val="Heading1"/>
        <w:spacing w:after="120" w:before="280"/>
      </w:pPr>
      <w:r>
        <w:rPr>
          <w:b/>
          <w:bCs/>
          <w:color w:val="2E74B5"/>
          <w:sz w:val="32"/>
          <w:szCs w:val="32"/>
        </w:rPr>
        <w:t xml:space="preserve">3. How To Fill The Template</w:t>
      </w:r>
    </w:p>
    <w:tbl>
      <w:tblPr>
        <w:tblW w:type="dxa" w:w="9360"/>
        <w:tblBorders>
          <w:top w:val="single" w:color="D9E2EA" w:sz="4"/>
          <w:left w:val="single" w:color="D9E2EA" w:sz="4"/>
          <w:bottom w:val="single" w:color="D9E2EA" w:sz="4"/>
          <w:right w:val="single" w:color="D9E2EA" w:sz="4"/>
          <w:insideH w:val="single" w:color="D9E2EA" w:sz="4"/>
          <w:insideV w:val="single" w:color="D9E2EA" w:sz="4"/>
        </w:tblBorders>
      </w:tblPr>
      <w:tblGrid>
        <w:gridCol w:w="100"/>
        <w:gridCol w:w="100"/>
      </w:tblGrid>
      <w:tr>
        <w:tc>
          <w:tcPr>
            <w:tcW w:type="dxa" w:w="900"/>
            <w:shd w:fill="F2F4F7" w:val="clear"/>
            <w:tcMar>
              <w:top w:type="dxa" w:w="100"/>
              <w:left w:type="dxa" w:w="140"/>
              <w:bottom w:type="dxa" w:w="100"/>
              <w:right w:type="dxa" w:w="140"/>
            </w:tcMar>
          </w:tcPr>
          <w:p>
            <w:pPr>
              <w:spacing w:after="0" w:before="0" w:line="260"/>
            </w:pPr>
            <w:r>
              <w:rPr>
                <w:b/>
                <w:bCs/>
                <w:color w:val="1F2937"/>
                <w:sz w:val="20"/>
                <w:szCs w:val="20"/>
              </w:rPr>
              <w:t xml:space="preserve">Step</w:t>
            </w:r>
          </w:p>
        </w:tc>
        <w:tc>
          <w:tcPr>
            <w:tcW w:type="dxa" w:w="8460"/>
            <w:shd w:fill="F2F4F7" w:val="clear"/>
            <w:tcMar>
              <w:top w:type="dxa" w:w="100"/>
              <w:left w:type="dxa" w:w="140"/>
              <w:bottom w:type="dxa" w:w="100"/>
              <w:right w:type="dxa" w:w="140"/>
            </w:tcMar>
          </w:tcPr>
          <w:p>
            <w:pPr>
              <w:spacing w:after="0" w:before="0" w:line="260"/>
            </w:pPr>
            <w:r>
              <w:rPr>
                <w:b/>
                <w:bCs/>
                <w:color w:val="1F2937"/>
                <w:sz w:val="20"/>
                <w:szCs w:val="20"/>
              </w:rPr>
              <w:t xml:space="preserve">Action</w:t>
            </w:r>
          </w:p>
        </w:tc>
      </w:tr>
      <w:tr>
        <w:tc>
          <w:tcPr>
            <w:tcW w:type="dxa" w:w="900"/>
            <w:tcMar>
              <w:top w:type="dxa" w:w="100"/>
              <w:left w:type="dxa" w:w="140"/>
              <w:bottom w:type="dxa" w:w="100"/>
              <w:right w:type="dxa" w:w="140"/>
            </w:tcMar>
          </w:tcPr>
          <w:p>
            <w:pPr>
              <w:spacing w:after="0" w:before="0" w:line="260"/>
            </w:pPr>
            <w:r>
              <w:rPr>
                <w:b w:val="false"/>
                <w:bCs w:val="false"/>
                <w:color w:val="1F2937"/>
                <w:sz w:val="20"/>
                <w:szCs w:val="20"/>
              </w:rPr>
              <w:t xml:space="preserve">1</w:t>
            </w:r>
          </w:p>
        </w:tc>
        <w:tc>
          <w:tcPr>
            <w:tcW w:type="dxa" w:w="8460"/>
            <w:tcMar>
              <w:top w:type="dxa" w:w="100"/>
              <w:left w:type="dxa" w:w="140"/>
              <w:bottom w:type="dxa" w:w="100"/>
              <w:right w:type="dxa" w:w="140"/>
            </w:tcMar>
          </w:tcPr>
          <w:p>
            <w:pPr>
              <w:spacing w:after="0" w:before="0" w:line="260"/>
            </w:pPr>
            <w:r>
              <w:rPr>
                <w:b w:val="false"/>
                <w:bCs w:val="false"/>
                <w:color w:val="1F2937"/>
                <w:sz w:val="20"/>
                <w:szCs w:val="20"/>
              </w:rPr>
              <w:t xml:space="preserve">Open the workbook and go to the SEZ Investor Import sheet.</w:t>
            </w:r>
          </w:p>
        </w:tc>
      </w:tr>
      <w:tr>
        <w:tc>
          <w:tcPr>
            <w:tcW w:type="dxa" w:w="900"/>
            <w:tcMar>
              <w:top w:type="dxa" w:w="100"/>
              <w:left w:type="dxa" w:w="140"/>
              <w:bottom w:type="dxa" w:w="100"/>
              <w:right w:type="dxa" w:w="140"/>
            </w:tcMar>
          </w:tcPr>
          <w:p>
            <w:pPr>
              <w:spacing w:after="0" w:before="0" w:line="260"/>
            </w:pPr>
            <w:r>
              <w:rPr>
                <w:b w:val="false"/>
                <w:bCs w:val="false"/>
                <w:color w:val="1F2937"/>
                <w:sz w:val="20"/>
                <w:szCs w:val="20"/>
              </w:rPr>
              <w:t xml:space="preserve">2</w:t>
            </w:r>
          </w:p>
        </w:tc>
        <w:tc>
          <w:tcPr>
            <w:tcW w:type="dxa" w:w="8460"/>
            <w:tcMar>
              <w:top w:type="dxa" w:w="100"/>
              <w:left w:type="dxa" w:w="140"/>
              <w:bottom w:type="dxa" w:w="100"/>
              <w:right w:type="dxa" w:w="140"/>
            </w:tcMar>
          </w:tcPr>
          <w:p>
            <w:pPr>
              <w:spacing w:after="0" w:before="0" w:line="260"/>
            </w:pPr>
            <w:r>
              <w:rPr>
                <w:b w:val="false"/>
                <w:bCs w:val="false"/>
                <w:color w:val="1F2937"/>
                <w:sz w:val="20"/>
                <w:szCs w:val="20"/>
              </w:rPr>
              <w:t xml:space="preserve">Complete TIN, Tax Year, ProvinceID, and at least one investor amount.</w:t>
            </w:r>
          </w:p>
        </w:tc>
      </w:tr>
      <w:tr>
        <w:tc>
          <w:tcPr>
            <w:tcW w:type="dxa" w:w="900"/>
            <w:tcMar>
              <w:top w:type="dxa" w:w="100"/>
              <w:left w:type="dxa" w:w="140"/>
              <w:bottom w:type="dxa" w:w="100"/>
              <w:right w:type="dxa" w:w="140"/>
            </w:tcMar>
          </w:tcPr>
          <w:p>
            <w:pPr>
              <w:spacing w:after="0" w:before="0" w:line="260"/>
            </w:pPr>
            <w:r>
              <w:rPr>
                <w:b w:val="false"/>
                <w:bCs w:val="false"/>
                <w:color w:val="1F2937"/>
                <w:sz w:val="20"/>
                <w:szCs w:val="20"/>
              </w:rPr>
              <w:t xml:space="preserve">3</w:t>
            </w:r>
          </w:p>
        </w:tc>
        <w:tc>
          <w:tcPr>
            <w:tcW w:type="dxa" w:w="8460"/>
            <w:tcMar>
              <w:top w:type="dxa" w:w="100"/>
              <w:left w:type="dxa" w:w="140"/>
              <w:bottom w:type="dxa" w:w="100"/>
              <w:right w:type="dxa" w:w="140"/>
            </w:tcMar>
          </w:tcPr>
          <w:p>
            <w:pPr>
              <w:spacing w:after="0" w:before="0" w:line="260"/>
            </w:pPr>
            <w:r>
              <w:rPr>
                <w:b w:val="false"/>
                <w:bCs w:val="false"/>
                <w:color w:val="1F2937"/>
                <w:sz w:val="20"/>
                <w:szCs w:val="20"/>
              </w:rPr>
              <w:t xml:space="preserve">Use ProvinceID and DistrictID dropdowns. The dropdown shows both code and name, for example 01 | Vientiane Capital.</w:t>
            </w:r>
          </w:p>
        </w:tc>
      </w:tr>
      <w:tr>
        <w:tc>
          <w:tcPr>
            <w:tcW w:type="dxa" w:w="900"/>
            <w:tcMar>
              <w:top w:type="dxa" w:w="100"/>
              <w:left w:type="dxa" w:w="140"/>
              <w:bottom w:type="dxa" w:w="100"/>
              <w:right w:type="dxa" w:w="140"/>
            </w:tcMar>
          </w:tcPr>
          <w:p>
            <w:pPr>
              <w:spacing w:after="0" w:before="0" w:line="260"/>
            </w:pPr>
            <w:r>
              <w:rPr>
                <w:b w:val="false"/>
                <w:bCs w:val="false"/>
                <w:color w:val="1F2937"/>
                <w:sz w:val="20"/>
                <w:szCs w:val="20"/>
              </w:rPr>
              <w:t xml:space="preserve">4</w:t>
            </w:r>
          </w:p>
        </w:tc>
        <w:tc>
          <w:tcPr>
            <w:tcW w:type="dxa" w:w="8460"/>
            <w:tcMar>
              <w:top w:type="dxa" w:w="100"/>
              <w:left w:type="dxa" w:w="140"/>
              <w:bottom w:type="dxa" w:w="100"/>
              <w:right w:type="dxa" w:w="140"/>
            </w:tcMar>
          </w:tcPr>
          <w:p>
            <w:pPr>
              <w:spacing w:after="0" w:before="0" w:line="260"/>
            </w:pPr>
            <w:r>
              <w:rPr>
                <w:b w:val="false"/>
                <w:bCs w:val="false"/>
                <w:color w:val="1F2937"/>
                <w:sz w:val="20"/>
                <w:szCs w:val="20"/>
              </w:rPr>
              <w:t xml:space="preserve">Enter Utility Usage Amount for electricity and water used in production.</w:t>
            </w:r>
          </w:p>
        </w:tc>
      </w:tr>
      <w:tr>
        <w:tc>
          <w:tcPr>
            <w:tcW w:type="dxa" w:w="900"/>
            <w:tcMar>
              <w:top w:type="dxa" w:w="100"/>
              <w:left w:type="dxa" w:w="140"/>
              <w:bottom w:type="dxa" w:w="100"/>
              <w:right w:type="dxa" w:w="140"/>
            </w:tcMar>
          </w:tcPr>
          <w:p>
            <w:pPr>
              <w:spacing w:after="0" w:before="0" w:line="260"/>
            </w:pPr>
            <w:r>
              <w:rPr>
                <w:b w:val="false"/>
                <w:bCs w:val="false"/>
                <w:color w:val="1F2937"/>
                <w:sz w:val="20"/>
                <w:szCs w:val="20"/>
              </w:rPr>
              <w:t xml:space="preserve">5</w:t>
            </w:r>
          </w:p>
        </w:tc>
        <w:tc>
          <w:tcPr>
            <w:tcW w:type="dxa" w:w="8460"/>
            <w:tcMar>
              <w:top w:type="dxa" w:w="100"/>
              <w:left w:type="dxa" w:w="140"/>
              <w:bottom w:type="dxa" w:w="100"/>
              <w:right w:type="dxa" w:w="140"/>
            </w:tcMar>
          </w:tcPr>
          <w:p>
            <w:pPr>
              <w:spacing w:after="0" w:before="0" w:line="260"/>
            </w:pPr>
            <w:r>
              <w:rPr>
                <w:b w:val="false"/>
                <w:bCs w:val="false"/>
                <w:color w:val="1F2937"/>
                <w:sz w:val="20"/>
                <w:szCs w:val="20"/>
              </w:rPr>
              <w:t xml:space="preserve">Enter Infrastructure Development Amount for construction or development of infrastructure.</w:t>
            </w:r>
          </w:p>
        </w:tc>
      </w:tr>
      <w:tr>
        <w:tc>
          <w:tcPr>
            <w:tcW w:type="dxa" w:w="900"/>
            <w:tcMar>
              <w:top w:type="dxa" w:w="100"/>
              <w:left w:type="dxa" w:w="140"/>
              <w:bottom w:type="dxa" w:w="100"/>
              <w:right w:type="dxa" w:w="140"/>
            </w:tcMar>
          </w:tcPr>
          <w:p>
            <w:pPr>
              <w:spacing w:after="0" w:before="0" w:line="260"/>
            </w:pPr>
            <w:r>
              <w:rPr>
                <w:b w:val="false"/>
                <w:bCs w:val="false"/>
                <w:color w:val="1F2937"/>
                <w:sz w:val="20"/>
                <w:szCs w:val="20"/>
              </w:rPr>
              <w:t xml:space="preserve">6</w:t>
            </w:r>
          </w:p>
        </w:tc>
        <w:tc>
          <w:tcPr>
            <w:tcW w:type="dxa" w:w="8460"/>
            <w:tcMar>
              <w:top w:type="dxa" w:w="100"/>
              <w:left w:type="dxa" w:w="140"/>
              <w:bottom w:type="dxa" w:w="100"/>
              <w:right w:type="dxa" w:w="140"/>
            </w:tcMar>
          </w:tcPr>
          <w:p>
            <w:pPr>
              <w:spacing w:after="0" w:before="0" w:line="260"/>
            </w:pPr>
            <w:r>
              <w:rPr>
                <w:b w:val="false"/>
                <w:bCs w:val="false"/>
                <w:color w:val="1F2937"/>
                <w:sz w:val="20"/>
                <w:szCs w:val="20"/>
              </w:rPr>
              <w:t xml:space="preserve">Leave User Fallback fields blank unless an agreed user benchmark rate or TE value is required.</w:t>
            </w:r>
          </w:p>
        </w:tc>
      </w:tr>
    </w:tbl>
    <w:p>
      <w:pPr>
        <w:pStyle w:val="Heading1"/>
        <w:spacing w:after="120" w:before="280"/>
      </w:pPr>
      <w:r>
        <w:rPr>
          <w:b/>
          <w:bCs/>
          <w:color w:val="2E74B5"/>
          <w:sz w:val="32"/>
          <w:szCs w:val="32"/>
        </w:rPr>
        <w:t xml:space="preserve">4. Why This Template Is Recommended</w:t>
      </w:r>
    </w:p>
    <w:p>
      <w:pPr>
        <w:spacing w:after="120" w:before="0" w:line="300"/>
      </w:pPr>
      <w:r>
        <w:rPr>
          <w:color w:val="1F2937"/>
          <w:sz w:val="22"/>
          <w:szCs w:val="22"/>
        </w:rPr>
        <w:t xml:space="preserve">The SEZ Investor calculation is simple and should remain system-side. The system applies the VAT benchmark rate for the Tax Year to the investor amount columns and assigns investor provisions VAT-I1 and VAT-I2.</w:t>
      </w:r>
    </w:p>
    <w:p>
      <w:pPr>
        <w:spacing w:after="120" w:before="0" w:line="300"/>
      </w:pPr>
      <w:r>
        <w:rPr>
          <w:color w:val="1F2937"/>
          <w:sz w:val="22"/>
          <w:szCs w:val="22"/>
        </w:rPr>
        <w:t xml:space="preserve">The APIS template improves the current file by adding official location dropdowns that show both code and name, protected reference sheets, clearer amount names, and controlled fallback fields without disrupting the current A:G import layout.</w:t>
      </w:r>
    </w:p>
    <w:p>
      <w:pPr>
        <w:pStyle w:val="Heading1"/>
        <w:spacing w:after="120" w:before="280"/>
      </w:pPr>
      <w:r>
        <w:rPr>
          <w:b/>
          <w:bCs/>
          <w:color w:val="2E74B5"/>
          <w:sz w:val="32"/>
          <w:szCs w:val="32"/>
        </w:rPr>
        <w:t xml:space="preserve">5. Fallback Principle</w:t>
      </w:r>
    </w:p>
    <w:p>
      <w:pPr>
        <w:spacing w:after="120" w:before="0" w:line="300"/>
      </w:pPr>
      <w:r>
        <w:rPr>
          <w:color w:val="1F2937"/>
          <w:sz w:val="22"/>
          <w:szCs w:val="22"/>
        </w:rPr>
        <w:t xml:space="preserve">The system should calculate TE from the two primary investor amounts whenever possible. User Benchmark Rate and User TE are controlled exceptions for cases where the benchmark rate is missing, special legal treatment applies, or a user-agreed value must be documented.</w:t>
      </w:r>
    </w:p>
    <w:p>
      <w:pPr>
        <w:pStyle w:val="Heading1"/>
        <w:spacing w:after="120" w:before="280"/>
      </w:pPr>
      <w:r>
        <w:rPr>
          <w:b/>
          <w:bCs/>
          <w:color w:val="2E74B5"/>
          <w:sz w:val="32"/>
          <w:szCs w:val="32"/>
        </w:rPr>
        <w:t xml:space="preserve">6. Discussion Points For Expert Agreement</w:t>
      </w:r>
    </w:p>
    <w:tbl>
      <w:tblPr>
        <w:tblW w:type="dxa" w:w="9360"/>
        <w:tblBorders>
          <w:top w:val="single" w:color="D9E2EA" w:sz="4"/>
          <w:left w:val="single" w:color="D9E2EA" w:sz="4"/>
          <w:bottom w:val="single" w:color="D9E2EA" w:sz="4"/>
          <w:right w:val="single" w:color="D9E2EA" w:sz="4"/>
          <w:insideH w:val="single" w:color="D9E2EA" w:sz="4"/>
          <w:insideV w:val="single" w:color="D9E2EA" w:sz="4"/>
        </w:tblBorders>
      </w:tblPr>
      <w:tblGrid>
        <w:gridCol w:w="100"/>
        <w:gridCol w:w="100"/>
      </w:tblGrid>
      <w:tr>
        <w:tc>
          <w:tcPr>
            <w:tcW w:type="dxa" w:w="2600"/>
            <w:shd w:fill="F2F4F7" w:val="clear"/>
            <w:tcMar>
              <w:top w:type="dxa" w:w="100"/>
              <w:left w:type="dxa" w:w="140"/>
              <w:bottom w:type="dxa" w:w="100"/>
              <w:right w:type="dxa" w:w="140"/>
            </w:tcMar>
          </w:tcPr>
          <w:p>
            <w:pPr>
              <w:spacing w:after="0" w:before="0" w:line="260"/>
            </w:pPr>
            <w:r>
              <w:rPr>
                <w:b/>
                <w:bCs/>
                <w:color w:val="1F2937"/>
                <w:sz w:val="20"/>
                <w:szCs w:val="20"/>
              </w:rPr>
              <w:t xml:space="preserve">Topic</w:t>
            </w:r>
          </w:p>
        </w:tc>
        <w:tc>
          <w:tcPr>
            <w:tcW w:type="dxa" w:w="6760"/>
            <w:shd w:fill="F2F4F7" w:val="clear"/>
            <w:tcMar>
              <w:top w:type="dxa" w:w="100"/>
              <w:left w:type="dxa" w:w="140"/>
              <w:bottom w:type="dxa" w:w="100"/>
              <w:right w:type="dxa" w:w="140"/>
            </w:tcMar>
          </w:tcPr>
          <w:p>
            <w:pPr>
              <w:spacing w:after="0" w:before="0" w:line="260"/>
            </w:pPr>
            <w:r>
              <w:rPr>
                <w:b/>
                <w:bCs/>
                <w:color w:val="1F2937"/>
                <w:sz w:val="20"/>
                <w:szCs w:val="20"/>
              </w:rPr>
              <w:t xml:space="preserve">Question For Agreement</w:t>
            </w:r>
          </w:p>
        </w:tc>
      </w:tr>
      <w:tr>
        <w:tc>
          <w:tcPr>
            <w:tcW w:type="dxa" w:w="2600"/>
            <w:tcMar>
              <w:top w:type="dxa" w:w="100"/>
              <w:left w:type="dxa" w:w="140"/>
              <w:bottom w:type="dxa" w:w="100"/>
              <w:right w:type="dxa" w:w="140"/>
            </w:tcMar>
          </w:tcPr>
          <w:p>
            <w:pPr>
              <w:spacing w:after="0" w:before="0" w:line="260"/>
            </w:pPr>
            <w:r>
              <w:rPr>
                <w:b w:val="false"/>
                <w:bCs w:val="false"/>
                <w:color w:val="1F2937"/>
                <w:sz w:val="20"/>
                <w:szCs w:val="20"/>
              </w:rPr>
              <w:t xml:space="preserve">Mandatory fields</w:t>
            </w:r>
          </w:p>
        </w:tc>
        <w:tc>
          <w:tcPr>
            <w:tcW w:type="dxa" w:w="6760"/>
            <w:tcMar>
              <w:top w:type="dxa" w:w="100"/>
              <w:left w:type="dxa" w:w="140"/>
              <w:bottom w:type="dxa" w:w="100"/>
              <w:right w:type="dxa" w:w="140"/>
            </w:tcMar>
          </w:tcPr>
          <w:p>
            <w:pPr>
              <w:spacing w:after="0" w:before="0" w:line="260"/>
            </w:pPr>
            <w:r>
              <w:rPr>
                <w:b w:val="false"/>
                <w:bCs w:val="false"/>
                <w:color w:val="1F2937"/>
                <w:sz w:val="20"/>
                <w:szCs w:val="20"/>
              </w:rPr>
              <w:t xml:space="preserve">Are TIN, Tax Year, ProvinceID, and at least one investor amount sufficient as required fields?</w:t>
            </w:r>
          </w:p>
        </w:tc>
      </w:tr>
      <w:tr>
        <w:tc>
          <w:tcPr>
            <w:tcW w:type="dxa" w:w="2600"/>
            <w:tcMar>
              <w:top w:type="dxa" w:w="100"/>
              <w:left w:type="dxa" w:w="140"/>
              <w:bottom w:type="dxa" w:w="100"/>
              <w:right w:type="dxa" w:w="140"/>
            </w:tcMar>
          </w:tcPr>
          <w:p>
            <w:pPr>
              <w:spacing w:after="0" w:before="0" w:line="260"/>
            </w:pPr>
            <w:r>
              <w:rPr>
                <w:b w:val="false"/>
                <w:bCs w:val="false"/>
                <w:color w:val="1F2937"/>
                <w:sz w:val="20"/>
                <w:szCs w:val="20"/>
              </w:rPr>
              <w:t xml:space="preserve">DistrictID</w:t>
            </w:r>
          </w:p>
        </w:tc>
        <w:tc>
          <w:tcPr>
            <w:tcW w:type="dxa" w:w="6760"/>
            <w:tcMar>
              <w:top w:type="dxa" w:w="100"/>
              <w:left w:type="dxa" w:w="140"/>
              <w:bottom w:type="dxa" w:w="100"/>
              <w:right w:type="dxa" w:w="140"/>
            </w:tcMar>
          </w:tcPr>
          <w:p>
            <w:pPr>
              <w:spacing w:after="0" w:before="0" w:line="260"/>
            </w:pPr>
            <w:r>
              <w:rPr>
                <w:b w:val="false"/>
                <w:bCs w:val="false"/>
                <w:color w:val="1F2937"/>
                <w:sz w:val="20"/>
                <w:szCs w:val="20"/>
              </w:rPr>
              <w:t xml:space="preserve">Should DistrictID be mandatory for SEZ investor reporting?</w:t>
            </w:r>
          </w:p>
        </w:tc>
      </w:tr>
      <w:tr>
        <w:tc>
          <w:tcPr>
            <w:tcW w:type="dxa" w:w="2600"/>
            <w:tcMar>
              <w:top w:type="dxa" w:w="100"/>
              <w:left w:type="dxa" w:w="140"/>
              <w:bottom w:type="dxa" w:w="100"/>
              <w:right w:type="dxa" w:w="140"/>
            </w:tcMar>
          </w:tcPr>
          <w:p>
            <w:pPr>
              <w:spacing w:after="0" w:before="0" w:line="260"/>
            </w:pPr>
            <w:r>
              <w:rPr>
                <w:b w:val="false"/>
                <w:bCs w:val="false"/>
                <w:color w:val="1F2937"/>
                <w:sz w:val="20"/>
                <w:szCs w:val="20"/>
              </w:rPr>
              <w:t xml:space="preserve">Amount split</w:t>
            </w:r>
          </w:p>
        </w:tc>
        <w:tc>
          <w:tcPr>
            <w:tcW w:type="dxa" w:w="6760"/>
            <w:tcMar>
              <w:top w:type="dxa" w:w="100"/>
              <w:left w:type="dxa" w:w="140"/>
              <w:bottom w:type="dxa" w:w="100"/>
              <w:right w:type="dxa" w:w="140"/>
            </w:tcMar>
          </w:tcPr>
          <w:p>
            <w:pPr>
              <w:spacing w:after="0" w:before="0" w:line="260"/>
            </w:pPr>
            <w:r>
              <w:rPr>
                <w:b w:val="false"/>
                <w:bCs w:val="false"/>
                <w:color w:val="1F2937"/>
                <w:sz w:val="20"/>
                <w:szCs w:val="20"/>
              </w:rPr>
              <w:t xml:space="preserve">Are Utility Usage and Infrastructure Development the correct two investor categories?</w:t>
            </w:r>
          </w:p>
        </w:tc>
      </w:tr>
      <w:tr>
        <w:tc>
          <w:tcPr>
            <w:tcW w:type="dxa" w:w="2600"/>
            <w:tcMar>
              <w:top w:type="dxa" w:w="100"/>
              <w:left w:type="dxa" w:w="140"/>
              <w:bottom w:type="dxa" w:w="100"/>
              <w:right w:type="dxa" w:w="140"/>
            </w:tcMar>
          </w:tcPr>
          <w:p>
            <w:pPr>
              <w:spacing w:after="0" w:before="0" w:line="260"/>
            </w:pPr>
            <w:r>
              <w:rPr>
                <w:b w:val="false"/>
                <w:bCs w:val="false"/>
                <w:color w:val="1F2937"/>
                <w:sz w:val="20"/>
                <w:szCs w:val="20"/>
              </w:rPr>
              <w:t xml:space="preserve">Fallback</w:t>
            </w:r>
          </w:p>
        </w:tc>
        <w:tc>
          <w:tcPr>
            <w:tcW w:type="dxa" w:w="6760"/>
            <w:tcMar>
              <w:top w:type="dxa" w:w="100"/>
              <w:left w:type="dxa" w:w="140"/>
              <w:bottom w:type="dxa" w:w="100"/>
              <w:right w:type="dxa" w:w="140"/>
            </w:tcMar>
          </w:tcPr>
          <w:p>
            <w:pPr>
              <w:spacing w:after="0" w:before="0" w:line="260"/>
            </w:pPr>
            <w:r>
              <w:rPr>
                <w:b w:val="false"/>
                <w:bCs w:val="false"/>
                <w:color w:val="1F2937"/>
                <w:sz w:val="20"/>
                <w:szCs w:val="20"/>
              </w:rPr>
              <w:t xml:space="preserve">When should User Benchmark Rate or User TE be accepted?</w:t>
            </w:r>
          </w:p>
        </w:tc>
      </w:tr>
      <w:tr>
        <w:tc>
          <w:tcPr>
            <w:tcW w:type="dxa" w:w="2600"/>
            <w:tcMar>
              <w:top w:type="dxa" w:w="100"/>
              <w:left w:type="dxa" w:w="140"/>
              <w:bottom w:type="dxa" w:w="100"/>
              <w:right w:type="dxa" w:w="140"/>
            </w:tcMar>
          </w:tcPr>
          <w:p>
            <w:pPr>
              <w:spacing w:after="0" w:before="0" w:line="260"/>
            </w:pPr>
            <w:r>
              <w:rPr>
                <w:b w:val="false"/>
                <w:bCs w:val="false"/>
                <w:color w:val="1F2937"/>
                <w:sz w:val="20"/>
                <w:szCs w:val="20"/>
              </w:rPr>
              <w:t xml:space="preserve">Template version</w:t>
            </w:r>
          </w:p>
        </w:tc>
        <w:tc>
          <w:tcPr>
            <w:tcW w:type="dxa" w:w="6760"/>
            <w:tcMar>
              <w:top w:type="dxa" w:w="100"/>
              <w:left w:type="dxa" w:w="140"/>
              <w:bottom w:type="dxa" w:w="100"/>
              <w:right w:type="dxa" w:w="140"/>
            </w:tcMar>
          </w:tcPr>
          <w:p>
            <w:pPr>
              <w:spacing w:after="0" w:before="0" w:line="260"/>
            </w:pPr>
            <w:r>
              <w:rPr>
                <w:b w:val="false"/>
                <w:bCs w:val="false"/>
                <w:color w:val="1F2937"/>
                <w:sz w:val="20"/>
                <w:szCs w:val="20"/>
              </w:rPr>
              <w:t xml:space="preserve">Can this become the agreed SEZ_INVESTOR_IMPORT v1.0 standard?</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2026-06-05T10:07:15.910Z</dcterms:created>
  <dcterms:modified xsi:type="dcterms:W3CDTF">2026-06-05T10:07:15.911Z</dcterms:modified>
</cp:coreProperties>
</file>

<file path=docProps/custom.xml><?xml version="1.0" encoding="utf-8"?>
<Properties xmlns="http://schemas.openxmlformats.org/officeDocument/2006/custom-properties" xmlns:vt="http://schemas.openxmlformats.org/officeDocument/2006/docPropsVTypes"/>
</file>