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4E79" w:val="clear"/>
        <w:spacing w:after="100" w:before="0"/>
        <w:jc w:val="center"/>
      </w:pPr>
      <w:r>
        <w:rPr>
          <w:b/>
          <w:bCs/>
          <w:color w:val="FFFFFF"/>
          <w:sz w:val="34"/>
          <w:szCs w:val="34"/>
        </w:rPr>
        <w:t xml:space="preserve">Profit Tax (CIT) Import Template Manual</w:t>
      </w:r>
    </w:p>
    <w:p>
      <w:pPr>
        <w:shd w:fill="1F4E79" w:val="clear"/>
        <w:spacing w:after="240" w:before="0"/>
        <w:jc w:val="center"/>
      </w:pPr>
      <w:r>
        <w:rPr>
          <w:color w:val="FFFFFF"/>
          <w:sz w:val="22"/>
          <w:szCs w:val="22"/>
        </w:rPr>
        <w:t xml:space="preserve">Discussion guide for the recommended APIS Excel template</w:t>
      </w:r>
    </w:p>
    <w:p>
      <w:pPr>
        <w:spacing w:after="120" w:before="0" w:line="300"/>
      </w:pPr>
      <w:r>
        <w:t xml:space="preserve">This short manual explains how to use the Profit Tax (CIT) recommended import template and why the template is structured this way. It is intended for discussion with the expert before the template becomes the final standard.</w:t>
      </w:r>
    </w:p>
    <w:p>
      <w:pPr>
        <w:pStyle w:val="Heading1"/>
        <w:spacing w:after="120" w:before="280"/>
      </w:pPr>
      <w:r>
        <w:rPr>
          <w:b/>
          <w:bCs/>
          <w:color w:val="2E74B5"/>
          <w:sz w:val="32"/>
          <w:szCs w:val="32"/>
        </w:rPr>
        <w:t xml:space="preserve">1. Main Rule</w:t>
      </w:r>
    </w:p>
    <w:p>
      <w:pPr>
        <w:spacing w:after="120" w:before="0" w:line="300"/>
      </w:pPr>
      <w:r>
        <w:t xml:space="preserve">Users should enter data only in the first sheet, CIT Import. The other sheets are instructions or reference sheets. They are protected to prevent accidental changes to dropdown lists and dictionary values.</w:t>
      </w:r>
    </w:p>
    <w:tbl>
      <w:tblPr>
        <w:tblW w:type="dxa" w:w="9360"/>
        <w:tblBorders>
          <w:top w:val="single" w:color="D9E2EA" w:sz="4"/>
          <w:left w:val="single" w:color="D9E2EA" w:sz="4"/>
          <w:bottom w:val="single" w:color="D9E2EA" w:sz="4"/>
          <w:right w:val="single" w:color="D9E2EA" w:sz="4"/>
          <w:insideH w:val="single" w:color="D9E2EA" w:sz="4"/>
          <w:insideV w:val="single" w:color="D9E2EA" w:sz="4"/>
        </w:tblBorders>
      </w:tblPr>
      <w:tblGrid>
        <w:gridCol w:w="100"/>
        <w:gridCol w:w="100"/>
        <w:gridCol w:w="100"/>
      </w:tblGrid>
      <w:tr>
        <w:tc>
          <w:tcPr>
            <w:tcW w:type="dxa" w:w="1600"/>
            <w:shd w:fill="F2F4F7" w:val="clear"/>
            <w:tcMar>
              <w:top w:type="dxa" w:w="100"/>
              <w:left w:type="dxa" w:w="140"/>
              <w:bottom w:type="dxa" w:w="100"/>
              <w:right w:type="dxa" w:w="140"/>
            </w:tcMar>
          </w:tcPr>
          <w:p>
            <w:pPr>
              <w:spacing w:after="0" w:before="0" w:line="260"/>
            </w:pPr>
            <w:r>
              <w:rPr>
                <w:b/>
                <w:bCs/>
                <w:color w:val="1F2937"/>
                <w:sz w:val="20"/>
                <w:szCs w:val="20"/>
              </w:rPr>
              <w:t xml:space="preserve">Sheet</w:t>
            </w:r>
          </w:p>
        </w:tc>
        <w:tc>
          <w:tcPr>
            <w:tcW w:type="dxa" w:w="4200"/>
            <w:shd w:fill="F2F4F7" w:val="clear"/>
            <w:tcMar>
              <w:top w:type="dxa" w:w="100"/>
              <w:left w:type="dxa" w:w="140"/>
              <w:bottom w:type="dxa" w:w="100"/>
              <w:right w:type="dxa" w:w="140"/>
            </w:tcMar>
          </w:tcPr>
          <w:p>
            <w:pPr>
              <w:spacing w:after="0" w:before="0" w:line="260"/>
            </w:pPr>
            <w:r>
              <w:rPr>
                <w:b/>
                <w:bCs/>
                <w:color w:val="1F2937"/>
                <w:sz w:val="20"/>
                <w:szCs w:val="20"/>
              </w:rPr>
              <w:t xml:space="preserve">Purpose</w:t>
            </w:r>
          </w:p>
        </w:tc>
        <w:tc>
          <w:tcPr>
            <w:tcW w:type="dxa" w:w="3560"/>
            <w:shd w:fill="F2F4F7" w:val="clear"/>
            <w:tcMar>
              <w:top w:type="dxa" w:w="100"/>
              <w:left w:type="dxa" w:w="140"/>
              <w:bottom w:type="dxa" w:w="100"/>
              <w:right w:type="dxa" w:w="140"/>
            </w:tcMar>
          </w:tcPr>
          <w:p>
            <w:pPr>
              <w:spacing w:after="0" w:before="0" w:line="260"/>
            </w:pPr>
            <w:r>
              <w:rPr>
                <w:b/>
                <w:bCs/>
                <w:color w:val="1F2937"/>
                <w:sz w:val="20"/>
                <w:szCs w:val="20"/>
              </w:rPr>
              <w:t xml:space="preserve">User Action</w:t>
            </w:r>
          </w:p>
        </w:tc>
      </w:tr>
      <w:tr>
        <w:tc>
          <w:tcPr>
            <w:tcW w:type="dxa" w:w="1600"/>
            <w:tcMar>
              <w:top w:type="dxa" w:w="100"/>
              <w:left w:type="dxa" w:w="140"/>
              <w:bottom w:type="dxa" w:w="100"/>
              <w:right w:type="dxa" w:w="140"/>
            </w:tcMar>
          </w:tcPr>
          <w:p>
            <w:pPr>
              <w:spacing w:after="0" w:before="0" w:line="260"/>
            </w:pPr>
            <w:r>
              <w:rPr>
                <w:b w:val="false"/>
                <w:bCs w:val="false"/>
                <w:color w:val="1F2937"/>
                <w:sz w:val="20"/>
                <w:szCs w:val="20"/>
              </w:rPr>
              <w:t xml:space="preserve">CIT Import</w:t>
            </w:r>
          </w:p>
        </w:tc>
        <w:tc>
          <w:tcPr>
            <w:tcW w:type="dxa" w:w="4200"/>
            <w:tcMar>
              <w:top w:type="dxa" w:w="100"/>
              <w:left w:type="dxa" w:w="140"/>
              <w:bottom w:type="dxa" w:w="100"/>
              <w:right w:type="dxa" w:w="140"/>
            </w:tcMar>
          </w:tcPr>
          <w:p>
            <w:pPr>
              <w:spacing w:after="0" w:before="0" w:line="260"/>
            </w:pPr>
            <w:r>
              <w:rPr>
                <w:b w:val="false"/>
                <w:bCs w:val="false"/>
                <w:color w:val="1F2937"/>
                <w:sz w:val="20"/>
                <w:szCs w:val="20"/>
              </w:rPr>
              <w:t xml:space="preserve">Main data-entry sheet for Profit Tax import.</w:t>
            </w:r>
          </w:p>
        </w:tc>
        <w:tc>
          <w:tcPr>
            <w:tcW w:type="dxa" w:w="3560"/>
            <w:tcMar>
              <w:top w:type="dxa" w:w="100"/>
              <w:left w:type="dxa" w:w="140"/>
              <w:bottom w:type="dxa" w:w="100"/>
              <w:right w:type="dxa" w:w="140"/>
            </w:tcMar>
          </w:tcPr>
          <w:p>
            <w:pPr>
              <w:spacing w:after="0" w:before="0" w:line="260"/>
            </w:pPr>
            <w:r>
              <w:rPr>
                <w:b w:val="false"/>
                <w:bCs w:val="false"/>
                <w:color w:val="1F2937"/>
                <w:sz w:val="20"/>
                <w:szCs w:val="20"/>
              </w:rPr>
              <w:t xml:space="preserve">Complete one row per taxpayer/year.</w:t>
            </w:r>
          </w:p>
        </w:tc>
      </w:tr>
      <w:tr>
        <w:tc>
          <w:tcPr>
            <w:tcW w:type="dxa" w:w="1600"/>
            <w:tcMar>
              <w:top w:type="dxa" w:w="100"/>
              <w:left w:type="dxa" w:w="140"/>
              <w:bottom w:type="dxa" w:w="100"/>
              <w:right w:type="dxa" w:w="140"/>
            </w:tcMar>
          </w:tcPr>
          <w:p>
            <w:pPr>
              <w:spacing w:after="0" w:before="0" w:line="260"/>
            </w:pPr>
            <w:r>
              <w:rPr>
                <w:b w:val="false"/>
                <w:bCs w:val="false"/>
                <w:color w:val="1F2937"/>
                <w:sz w:val="20"/>
                <w:szCs w:val="20"/>
              </w:rPr>
              <w:t xml:space="preserve">Instructions</w:t>
            </w:r>
          </w:p>
        </w:tc>
        <w:tc>
          <w:tcPr>
            <w:tcW w:type="dxa" w:w="4200"/>
            <w:tcMar>
              <w:top w:type="dxa" w:w="100"/>
              <w:left w:type="dxa" w:w="140"/>
              <w:bottom w:type="dxa" w:w="100"/>
              <w:right w:type="dxa" w:w="140"/>
            </w:tcMar>
          </w:tcPr>
          <w:p>
            <w:pPr>
              <w:spacing w:after="0" w:before="0" w:line="260"/>
            </w:pPr>
            <w:r>
              <w:rPr>
                <w:b w:val="false"/>
                <w:bCs w:val="false"/>
                <w:color w:val="1F2937"/>
                <w:sz w:val="20"/>
                <w:szCs w:val="20"/>
              </w:rPr>
              <w:t xml:space="preserve">Explains field groups, colors, and fallback rules.</w:t>
            </w:r>
          </w:p>
        </w:tc>
        <w:tc>
          <w:tcPr>
            <w:tcW w:type="dxa" w:w="3560"/>
            <w:tcMar>
              <w:top w:type="dxa" w:w="100"/>
              <w:left w:type="dxa" w:w="140"/>
              <w:bottom w:type="dxa" w:w="100"/>
              <w:right w:type="dxa" w:w="140"/>
            </w:tcMar>
          </w:tcPr>
          <w:p>
            <w:pPr>
              <w:spacing w:after="0" w:before="0" w:line="260"/>
            </w:pPr>
            <w:r>
              <w:rPr>
                <w:b w:val="false"/>
                <w:bCs w:val="false"/>
                <w:color w:val="1F2937"/>
                <w:sz w:val="20"/>
                <w:szCs w:val="20"/>
              </w:rPr>
              <w:t xml:space="preserve">Read only.</w:t>
            </w:r>
          </w:p>
        </w:tc>
      </w:tr>
      <w:tr>
        <w:tc>
          <w:tcPr>
            <w:tcW w:type="dxa" w:w="1600"/>
            <w:tcMar>
              <w:top w:type="dxa" w:w="100"/>
              <w:left w:type="dxa" w:w="140"/>
              <w:bottom w:type="dxa" w:w="100"/>
              <w:right w:type="dxa" w:w="140"/>
            </w:tcMar>
          </w:tcPr>
          <w:p>
            <w:pPr>
              <w:spacing w:after="0" w:before="0" w:line="260"/>
            </w:pPr>
            <w:r>
              <w:rPr>
                <w:b w:val="false"/>
                <w:bCs w:val="false"/>
                <w:color w:val="1F2937"/>
                <w:sz w:val="20"/>
                <w:szCs w:val="20"/>
              </w:rPr>
              <w:t xml:space="preserve">Validation Lists</w:t>
            </w:r>
          </w:p>
        </w:tc>
        <w:tc>
          <w:tcPr>
            <w:tcW w:type="dxa" w:w="4200"/>
            <w:tcMar>
              <w:top w:type="dxa" w:w="100"/>
              <w:left w:type="dxa" w:w="140"/>
              <w:bottom w:type="dxa" w:w="100"/>
              <w:right w:type="dxa" w:w="140"/>
            </w:tcMar>
          </w:tcPr>
          <w:p>
            <w:pPr>
              <w:spacing w:after="0" w:before="0" w:line="260"/>
            </w:pPr>
            <w:r>
              <w:rPr>
                <w:b w:val="false"/>
                <w:bCs w:val="false"/>
                <w:color w:val="1F2937"/>
                <w:sz w:val="20"/>
                <w:szCs w:val="20"/>
              </w:rPr>
              <w:t xml:space="preserve">Stores dropdown lists used by the import sheet.</w:t>
            </w:r>
          </w:p>
        </w:tc>
        <w:tc>
          <w:tcPr>
            <w:tcW w:type="dxa" w:w="3560"/>
            <w:tcMar>
              <w:top w:type="dxa" w:w="100"/>
              <w:left w:type="dxa" w:w="140"/>
              <w:bottom w:type="dxa" w:w="100"/>
              <w:right w:type="dxa" w:w="140"/>
            </w:tcMar>
          </w:tcPr>
          <w:p>
            <w:pPr>
              <w:spacing w:after="0" w:before="0" w:line="260"/>
            </w:pPr>
            <w:r>
              <w:rPr>
                <w:b w:val="false"/>
                <w:bCs w:val="false"/>
                <w:color w:val="1F2937"/>
                <w:sz w:val="20"/>
                <w:szCs w:val="20"/>
              </w:rPr>
              <w:t xml:space="preserve">Read only.</w:t>
            </w:r>
          </w:p>
        </w:tc>
      </w:tr>
      <w:tr>
        <w:tc>
          <w:tcPr>
            <w:tcW w:type="dxa" w:w="1600"/>
            <w:tcMar>
              <w:top w:type="dxa" w:w="100"/>
              <w:left w:type="dxa" w:w="140"/>
              <w:bottom w:type="dxa" w:w="100"/>
              <w:right w:type="dxa" w:w="140"/>
            </w:tcMar>
          </w:tcPr>
          <w:p>
            <w:pPr>
              <w:spacing w:after="0" w:before="0" w:line="260"/>
            </w:pPr>
            <w:r>
              <w:rPr>
                <w:b w:val="false"/>
                <w:bCs w:val="false"/>
                <w:color w:val="1F2937"/>
                <w:sz w:val="20"/>
                <w:szCs w:val="20"/>
              </w:rPr>
              <w:t xml:space="preserve">Data Dictionary</w:t>
            </w:r>
          </w:p>
        </w:tc>
        <w:tc>
          <w:tcPr>
            <w:tcW w:type="dxa" w:w="4200"/>
            <w:tcMar>
              <w:top w:type="dxa" w:w="100"/>
              <w:left w:type="dxa" w:w="140"/>
              <w:bottom w:type="dxa" w:w="100"/>
              <w:right w:type="dxa" w:w="140"/>
            </w:tcMar>
          </w:tcPr>
          <w:p>
            <w:pPr>
              <w:spacing w:after="0" w:before="0" w:line="260"/>
            </w:pPr>
            <w:r>
              <w:rPr>
                <w:b w:val="false"/>
                <w:bCs w:val="false"/>
                <w:color w:val="1F2937"/>
                <w:sz w:val="20"/>
                <w:szCs w:val="20"/>
              </w:rPr>
              <w:t xml:space="preserve">Shows official province, district, village, and sector codes.</w:t>
            </w:r>
          </w:p>
        </w:tc>
        <w:tc>
          <w:tcPr>
            <w:tcW w:type="dxa" w:w="3560"/>
            <w:tcMar>
              <w:top w:type="dxa" w:w="100"/>
              <w:left w:type="dxa" w:w="140"/>
              <w:bottom w:type="dxa" w:w="100"/>
              <w:right w:type="dxa" w:w="140"/>
            </w:tcMar>
          </w:tcPr>
          <w:p>
            <w:pPr>
              <w:spacing w:after="0" w:before="0" w:line="260"/>
            </w:pPr>
            <w:r>
              <w:rPr>
                <w:b w:val="false"/>
                <w:bCs w:val="false"/>
                <w:color w:val="1F2937"/>
                <w:sz w:val="20"/>
                <w:szCs w:val="20"/>
              </w:rPr>
              <w:t xml:space="preserve">Read only.</w:t>
            </w:r>
          </w:p>
        </w:tc>
      </w:tr>
      <w:tr>
        <w:tc>
          <w:tcPr>
            <w:tcW w:type="dxa" w:w="1600"/>
            <w:tcMar>
              <w:top w:type="dxa" w:w="100"/>
              <w:left w:type="dxa" w:w="140"/>
              <w:bottom w:type="dxa" w:w="100"/>
              <w:right w:type="dxa" w:w="140"/>
            </w:tcMar>
          </w:tcPr>
          <w:p>
            <w:pPr>
              <w:spacing w:after="0" w:before="0" w:line="260"/>
            </w:pPr>
            <w:r>
              <w:rPr>
                <w:b w:val="false"/>
                <w:bCs w:val="false"/>
                <w:color w:val="1F2937"/>
                <w:sz w:val="20"/>
                <w:szCs w:val="20"/>
              </w:rPr>
              <w:t xml:space="preserve">Change Log</w:t>
            </w:r>
          </w:p>
        </w:tc>
        <w:tc>
          <w:tcPr>
            <w:tcW w:type="dxa" w:w="4200"/>
            <w:tcMar>
              <w:top w:type="dxa" w:w="100"/>
              <w:left w:type="dxa" w:w="140"/>
              <w:bottom w:type="dxa" w:w="100"/>
              <w:right w:type="dxa" w:w="140"/>
            </w:tcMar>
          </w:tcPr>
          <w:p>
            <w:pPr>
              <w:spacing w:after="0" w:before="0" w:line="260"/>
            </w:pPr>
            <w:r>
              <w:rPr>
                <w:b w:val="false"/>
                <w:bCs w:val="false"/>
                <w:color w:val="1F2937"/>
                <w:sz w:val="20"/>
                <w:szCs w:val="20"/>
              </w:rPr>
              <w:t xml:space="preserve">Records template version and changes.</w:t>
            </w:r>
          </w:p>
        </w:tc>
        <w:tc>
          <w:tcPr>
            <w:tcW w:type="dxa" w:w="3560"/>
            <w:tcMar>
              <w:top w:type="dxa" w:w="100"/>
              <w:left w:type="dxa" w:w="140"/>
              <w:bottom w:type="dxa" w:w="100"/>
              <w:right w:type="dxa" w:w="140"/>
            </w:tcMar>
          </w:tcPr>
          <w:p>
            <w:pPr>
              <w:spacing w:after="0" w:before="0" w:line="260"/>
            </w:pPr>
            <w:r>
              <w:rPr>
                <w:b w:val="false"/>
                <w:bCs w:val="false"/>
                <w:color w:val="1F2937"/>
                <w:sz w:val="20"/>
                <w:szCs w:val="20"/>
              </w:rPr>
              <w:t xml:space="preserve">Read only/reference.</w:t>
            </w:r>
          </w:p>
        </w:tc>
      </w:tr>
    </w:tbl>
    <w:p>
      <w:pPr>
        <w:pStyle w:val="Heading1"/>
        <w:spacing w:after="120" w:before="280"/>
      </w:pPr>
      <w:r>
        <w:rPr>
          <w:b/>
          <w:bCs/>
          <w:color w:val="2E74B5"/>
          <w:sz w:val="32"/>
          <w:szCs w:val="32"/>
        </w:rPr>
        <w:t xml:space="preserve">2. Information Groups</w:t>
      </w:r>
    </w:p>
    <w:p>
      <w:pPr>
        <w:spacing w:after="120" w:before="0" w:line="300"/>
      </w:pPr>
      <w:r>
        <w:t xml:space="preserve">The template separates normal primary data from user fallback values. This makes the import more reliable while still allowing expert judgement when required information is missing.</w:t>
      </w:r>
    </w:p>
    <w:tbl>
      <w:tblPr>
        <w:tblW w:type="dxa" w:w="9360"/>
        <w:tblBorders>
          <w:top w:val="single" w:color="D9E2EA" w:sz="4"/>
          <w:left w:val="single" w:color="D9E2EA" w:sz="4"/>
          <w:bottom w:val="single" w:color="D9E2EA" w:sz="4"/>
          <w:right w:val="single" w:color="D9E2EA" w:sz="4"/>
          <w:insideH w:val="single" w:color="D9E2EA" w:sz="4"/>
          <w:insideV w:val="single" w:color="D9E2EA" w:sz="4"/>
        </w:tblBorders>
      </w:tblPr>
      <w:tblGrid>
        <w:gridCol w:w="100"/>
        <w:gridCol w:w="100"/>
        <w:gridCol w:w="100"/>
      </w:tblGrid>
      <w:tr>
        <w:tc>
          <w:tcPr>
            <w:tcW w:type="dxa" w:w="2100"/>
            <w:shd w:fill="F2F4F7" w:val="clear"/>
            <w:tcMar>
              <w:top w:type="dxa" w:w="100"/>
              <w:left w:type="dxa" w:w="140"/>
              <w:bottom w:type="dxa" w:w="100"/>
              <w:right w:type="dxa" w:w="140"/>
            </w:tcMar>
          </w:tcPr>
          <w:p>
            <w:pPr>
              <w:spacing w:after="0" w:before="0" w:line="260"/>
            </w:pPr>
            <w:r>
              <w:rPr>
                <w:b/>
                <w:bCs/>
                <w:color w:val="1F2937"/>
                <w:sz w:val="20"/>
                <w:szCs w:val="20"/>
              </w:rPr>
              <w:t xml:space="preserve">Group</w:t>
            </w:r>
          </w:p>
        </w:tc>
        <w:tc>
          <w:tcPr>
            <w:tcW w:type="dxa" w:w="2700"/>
            <w:shd w:fill="F2F4F7" w:val="clear"/>
            <w:tcMar>
              <w:top w:type="dxa" w:w="100"/>
              <w:left w:type="dxa" w:w="140"/>
              <w:bottom w:type="dxa" w:w="100"/>
              <w:right w:type="dxa" w:w="140"/>
            </w:tcMar>
          </w:tcPr>
          <w:p>
            <w:pPr>
              <w:spacing w:after="0" w:before="0" w:line="260"/>
            </w:pPr>
            <w:r>
              <w:rPr>
                <w:b/>
                <w:bCs/>
                <w:color w:val="1F2937"/>
                <w:sz w:val="20"/>
                <w:szCs w:val="20"/>
              </w:rPr>
              <w:t xml:space="preserve">Color</w:t>
            </w:r>
          </w:p>
        </w:tc>
        <w:tc>
          <w:tcPr>
            <w:tcW w:type="dxa" w:w="4560"/>
            <w:shd w:fill="F2F4F7" w:val="clear"/>
            <w:tcMar>
              <w:top w:type="dxa" w:w="100"/>
              <w:left w:type="dxa" w:w="140"/>
              <w:bottom w:type="dxa" w:w="100"/>
              <w:right w:type="dxa" w:w="140"/>
            </w:tcMar>
          </w:tcPr>
          <w:p>
            <w:pPr>
              <w:spacing w:after="0" w:before="0" w:line="260"/>
            </w:pPr>
            <w:r>
              <w:rPr>
                <w:b/>
                <w:bCs/>
                <w:color w:val="1F2937"/>
                <w:sz w:val="20"/>
                <w:szCs w:val="20"/>
              </w:rPr>
              <w:t xml:space="preserve">Meaning</w:t>
            </w:r>
          </w:p>
        </w:tc>
      </w:tr>
      <w:tr>
        <w:tc>
          <w:tcPr>
            <w:tcW w:type="dxa" w:w="2100"/>
            <w:tcMar>
              <w:top w:type="dxa" w:w="100"/>
              <w:left w:type="dxa" w:w="140"/>
              <w:bottom w:type="dxa" w:w="100"/>
              <w:right w:type="dxa" w:w="140"/>
            </w:tcMar>
          </w:tcPr>
          <w:p>
            <w:pPr>
              <w:spacing w:after="0" w:before="0" w:line="260"/>
            </w:pPr>
            <w:r>
              <w:rPr>
                <w:b w:val="false"/>
                <w:bCs w:val="false"/>
                <w:color w:val="1F2937"/>
                <w:sz w:val="20"/>
                <w:szCs w:val="20"/>
              </w:rPr>
              <w:t xml:space="preserve">Primary Required</w:t>
            </w:r>
          </w:p>
        </w:tc>
        <w:tc>
          <w:tcPr>
            <w:tcW w:type="dxa" w:w="2700"/>
            <w:tcMar>
              <w:top w:type="dxa" w:w="100"/>
              <w:left w:type="dxa" w:w="140"/>
              <w:bottom w:type="dxa" w:w="100"/>
              <w:right w:type="dxa" w:w="140"/>
            </w:tcMar>
          </w:tcPr>
          <w:p>
            <w:pPr>
              <w:spacing w:after="0" w:before="0" w:line="260"/>
            </w:pPr>
            <w:r>
              <w:rPr>
                <w:b w:val="false"/>
                <w:bCs w:val="false"/>
                <w:color w:val="1F2937"/>
                <w:sz w:val="20"/>
                <w:szCs w:val="20"/>
              </w:rPr>
              <w:t xml:space="preserve">Dark blue header / light blue cells</w:t>
            </w:r>
          </w:p>
        </w:tc>
        <w:tc>
          <w:tcPr>
            <w:tcW w:type="dxa" w:w="4560"/>
            <w:tcMar>
              <w:top w:type="dxa" w:w="100"/>
              <w:left w:type="dxa" w:w="140"/>
              <w:bottom w:type="dxa" w:w="100"/>
              <w:right w:type="dxa" w:w="140"/>
            </w:tcMar>
          </w:tcPr>
          <w:p>
            <w:pPr>
              <w:spacing w:after="0" w:before="0" w:line="260"/>
            </w:pPr>
            <w:r>
              <w:rPr>
                <w:b w:val="false"/>
                <w:bCs w:val="false"/>
                <w:color w:val="1F2937"/>
                <w:sz w:val="20"/>
                <w:szCs w:val="20"/>
              </w:rPr>
              <w:t xml:space="preserve">Must be completed for normal system calculation.</w:t>
            </w:r>
          </w:p>
        </w:tc>
      </w:tr>
      <w:tr>
        <w:tc>
          <w:tcPr>
            <w:tcW w:type="dxa" w:w="2100"/>
            <w:tcMar>
              <w:top w:type="dxa" w:w="100"/>
              <w:left w:type="dxa" w:w="140"/>
              <w:bottom w:type="dxa" w:w="100"/>
              <w:right w:type="dxa" w:w="140"/>
            </w:tcMar>
          </w:tcPr>
          <w:p>
            <w:pPr>
              <w:spacing w:after="0" w:before="0" w:line="260"/>
            </w:pPr>
            <w:r>
              <w:rPr>
                <w:b w:val="false"/>
                <w:bCs w:val="false"/>
                <w:color w:val="1F2937"/>
                <w:sz w:val="20"/>
                <w:szCs w:val="20"/>
              </w:rPr>
              <w:t xml:space="preserve">Primary Conditional</w:t>
            </w:r>
          </w:p>
        </w:tc>
        <w:tc>
          <w:tcPr>
            <w:tcW w:type="dxa" w:w="2700"/>
            <w:tcMar>
              <w:top w:type="dxa" w:w="100"/>
              <w:left w:type="dxa" w:w="140"/>
              <w:bottom w:type="dxa" w:w="100"/>
              <w:right w:type="dxa" w:w="140"/>
            </w:tcMar>
          </w:tcPr>
          <w:p>
            <w:pPr>
              <w:spacing w:after="0" w:before="0" w:line="260"/>
            </w:pPr>
            <w:r>
              <w:rPr>
                <w:b w:val="false"/>
                <w:bCs w:val="false"/>
                <w:color w:val="1F2937"/>
                <w:sz w:val="20"/>
                <w:szCs w:val="20"/>
              </w:rPr>
              <w:t xml:space="preserve">Medium blue header / near-white cells</w:t>
            </w:r>
          </w:p>
        </w:tc>
        <w:tc>
          <w:tcPr>
            <w:tcW w:type="dxa" w:w="4560"/>
            <w:tcMar>
              <w:top w:type="dxa" w:w="100"/>
              <w:left w:type="dxa" w:w="140"/>
              <w:bottom w:type="dxa" w:w="100"/>
              <w:right w:type="dxa" w:w="140"/>
            </w:tcMar>
          </w:tcPr>
          <w:p>
            <w:pPr>
              <w:spacing w:after="0" w:before="0" w:line="260"/>
            </w:pPr>
            <w:r>
              <w:rPr>
                <w:b w:val="false"/>
                <w:bCs w:val="false"/>
                <w:color w:val="1F2937"/>
                <w:sz w:val="20"/>
                <w:szCs w:val="20"/>
              </w:rPr>
              <w:t xml:space="preserve">Required only when the related provision applies.</w:t>
            </w:r>
          </w:p>
        </w:tc>
      </w:tr>
      <w:tr>
        <w:tc>
          <w:tcPr>
            <w:tcW w:type="dxa" w:w="2100"/>
            <w:tcMar>
              <w:top w:type="dxa" w:w="100"/>
              <w:left w:type="dxa" w:w="140"/>
              <w:bottom w:type="dxa" w:w="100"/>
              <w:right w:type="dxa" w:w="140"/>
            </w:tcMar>
          </w:tcPr>
          <w:p>
            <w:pPr>
              <w:spacing w:after="0" w:before="0" w:line="260"/>
            </w:pPr>
            <w:r>
              <w:rPr>
                <w:b w:val="false"/>
                <w:bCs w:val="false"/>
                <w:color w:val="1F2937"/>
                <w:sz w:val="20"/>
                <w:szCs w:val="20"/>
              </w:rPr>
              <w:t xml:space="preserve">Primary Optional</w:t>
            </w:r>
          </w:p>
        </w:tc>
        <w:tc>
          <w:tcPr>
            <w:tcW w:type="dxa" w:w="2700"/>
            <w:tcMar>
              <w:top w:type="dxa" w:w="100"/>
              <w:left w:type="dxa" w:w="140"/>
              <w:bottom w:type="dxa" w:w="100"/>
              <w:right w:type="dxa" w:w="140"/>
            </w:tcMar>
          </w:tcPr>
          <w:p>
            <w:pPr>
              <w:spacing w:after="0" w:before="0" w:line="260"/>
            </w:pPr>
            <w:r>
              <w:rPr>
                <w:b w:val="false"/>
                <w:bCs w:val="false"/>
                <w:color w:val="1F2937"/>
                <w:sz w:val="20"/>
                <w:szCs w:val="20"/>
              </w:rPr>
              <w:t xml:space="preserve">Slate header / white cells</w:t>
            </w:r>
          </w:p>
        </w:tc>
        <w:tc>
          <w:tcPr>
            <w:tcW w:type="dxa" w:w="4560"/>
            <w:tcMar>
              <w:top w:type="dxa" w:w="100"/>
              <w:left w:type="dxa" w:w="140"/>
              <w:bottom w:type="dxa" w:w="100"/>
              <w:right w:type="dxa" w:w="140"/>
            </w:tcMar>
          </w:tcPr>
          <w:p>
            <w:pPr>
              <w:spacing w:after="0" w:before="0" w:line="260"/>
            </w:pPr>
            <w:r>
              <w:rPr>
                <w:b w:val="false"/>
                <w:bCs w:val="false"/>
                <w:color w:val="1F2937"/>
                <w:sz w:val="20"/>
                <w:szCs w:val="20"/>
              </w:rPr>
              <w:t xml:space="preserve">Useful supporting information, but not always required.</w:t>
            </w:r>
          </w:p>
        </w:tc>
      </w:tr>
      <w:tr>
        <w:tc>
          <w:tcPr>
            <w:tcW w:type="dxa" w:w="2100"/>
            <w:tcMar>
              <w:top w:type="dxa" w:w="100"/>
              <w:left w:type="dxa" w:w="140"/>
              <w:bottom w:type="dxa" w:w="100"/>
              <w:right w:type="dxa" w:w="140"/>
            </w:tcMar>
          </w:tcPr>
          <w:p>
            <w:pPr>
              <w:spacing w:after="0" w:before="0" w:line="260"/>
            </w:pPr>
            <w:r>
              <w:rPr>
                <w:b w:val="false"/>
                <w:bCs w:val="false"/>
                <w:color w:val="1F2937"/>
                <w:sz w:val="20"/>
                <w:szCs w:val="20"/>
              </w:rPr>
              <w:t xml:space="preserve">User Fallback</w:t>
            </w:r>
          </w:p>
        </w:tc>
        <w:tc>
          <w:tcPr>
            <w:tcW w:type="dxa" w:w="2700"/>
            <w:tcMar>
              <w:top w:type="dxa" w:w="100"/>
              <w:left w:type="dxa" w:w="140"/>
              <w:bottom w:type="dxa" w:w="100"/>
              <w:right w:type="dxa" w:w="140"/>
            </w:tcMar>
          </w:tcPr>
          <w:p>
            <w:pPr>
              <w:spacing w:after="0" w:before="0" w:line="260"/>
            </w:pPr>
            <w:r>
              <w:rPr>
                <w:b w:val="false"/>
                <w:bCs w:val="false"/>
                <w:color w:val="1F2937"/>
                <w:sz w:val="20"/>
                <w:szCs w:val="20"/>
              </w:rPr>
              <w:t xml:space="preserve">Orange header / light amber cells</w:t>
            </w:r>
          </w:p>
        </w:tc>
        <w:tc>
          <w:tcPr>
            <w:tcW w:type="dxa" w:w="4560"/>
            <w:tcMar>
              <w:top w:type="dxa" w:w="100"/>
              <w:left w:type="dxa" w:w="140"/>
              <w:bottom w:type="dxa" w:w="100"/>
              <w:right w:type="dxa" w:w="140"/>
            </w:tcMar>
          </w:tcPr>
          <w:p>
            <w:pPr>
              <w:spacing w:after="0" w:before="0" w:line="260"/>
            </w:pPr>
            <w:r>
              <w:rPr>
                <w:b w:val="false"/>
                <w:bCs w:val="false"/>
                <w:color w:val="1F2937"/>
                <w:sz w:val="20"/>
                <w:szCs w:val="20"/>
              </w:rPr>
              <w:t xml:space="preserve">Optional user-provided benchmark or TE values used only when primary data is incomplete or special judgement is required.</w:t>
            </w:r>
          </w:p>
        </w:tc>
      </w:tr>
    </w:tbl>
    <w:p>
      <w:pPr>
        <w:pStyle w:val="Heading1"/>
        <w:spacing w:after="120" w:before="280"/>
      </w:pPr>
      <w:r>
        <w:rPr>
          <w:b/>
          <w:bCs/>
          <w:color w:val="2E74B5"/>
          <w:sz w:val="32"/>
          <w:szCs w:val="32"/>
        </w:rPr>
        <w:t xml:space="preserve">3. How To Fill The Template</w:t>
      </w:r>
    </w:p>
    <w:tbl>
      <w:tblPr>
        <w:tblW w:type="dxa" w:w="9360"/>
        <w:tblBorders>
          <w:top w:val="single" w:color="D9E2EA" w:sz="4"/>
          <w:left w:val="single" w:color="D9E2EA" w:sz="4"/>
          <w:bottom w:val="single" w:color="D9E2EA" w:sz="4"/>
          <w:right w:val="single" w:color="D9E2EA" w:sz="4"/>
          <w:insideH w:val="single" w:color="D9E2EA" w:sz="4"/>
          <w:insideV w:val="single" w:color="D9E2EA" w:sz="4"/>
        </w:tblBorders>
      </w:tblPr>
      <w:tblGrid>
        <w:gridCol w:w="100"/>
        <w:gridCol w:w="100"/>
      </w:tblGrid>
      <w:tr>
        <w:tc>
          <w:tcPr>
            <w:tcW w:type="dxa" w:w="900"/>
            <w:shd w:fill="F2F4F7" w:val="clear"/>
            <w:tcMar>
              <w:top w:type="dxa" w:w="100"/>
              <w:left w:type="dxa" w:w="140"/>
              <w:bottom w:type="dxa" w:w="100"/>
              <w:right w:type="dxa" w:w="140"/>
            </w:tcMar>
          </w:tcPr>
          <w:p>
            <w:pPr>
              <w:spacing w:after="0" w:before="0" w:line="260"/>
            </w:pPr>
            <w:r>
              <w:rPr>
                <w:b/>
                <w:bCs/>
                <w:color w:val="1F2937"/>
                <w:sz w:val="20"/>
                <w:szCs w:val="20"/>
              </w:rPr>
              <w:t xml:space="preserve">Step</w:t>
            </w:r>
          </w:p>
        </w:tc>
        <w:tc>
          <w:tcPr>
            <w:tcW w:type="dxa" w:w="8460"/>
            <w:shd w:fill="F2F4F7" w:val="clear"/>
            <w:tcMar>
              <w:top w:type="dxa" w:w="100"/>
              <w:left w:type="dxa" w:w="140"/>
              <w:bottom w:type="dxa" w:w="100"/>
              <w:right w:type="dxa" w:w="140"/>
            </w:tcMar>
          </w:tcPr>
          <w:p>
            <w:pPr>
              <w:spacing w:after="0" w:before="0" w:line="260"/>
            </w:pPr>
            <w:r>
              <w:rPr>
                <w:b/>
                <w:bCs/>
                <w:color w:val="1F2937"/>
                <w:sz w:val="20"/>
                <w:szCs w:val="20"/>
              </w:rPr>
              <w:t xml:space="preserve">Action</w:t>
            </w:r>
          </w:p>
        </w:tc>
      </w:tr>
      <w:tr>
        <w:tc>
          <w:tcPr>
            <w:tcW w:type="dxa" w:w="900"/>
            <w:tcMar>
              <w:top w:type="dxa" w:w="100"/>
              <w:left w:type="dxa" w:w="140"/>
              <w:bottom w:type="dxa" w:w="100"/>
              <w:right w:type="dxa" w:w="140"/>
            </w:tcMar>
          </w:tcPr>
          <w:p>
            <w:pPr>
              <w:spacing w:after="0" w:before="0" w:line="260"/>
            </w:pPr>
            <w:r>
              <w:rPr>
                <w:b w:val="false"/>
                <w:bCs w:val="false"/>
                <w:color w:val="1F2937"/>
                <w:sz w:val="20"/>
                <w:szCs w:val="20"/>
              </w:rPr>
              <w:t xml:space="preserve">1</w:t>
            </w:r>
          </w:p>
        </w:tc>
        <w:tc>
          <w:tcPr>
            <w:tcW w:type="dxa" w:w="8460"/>
            <w:tcMar>
              <w:top w:type="dxa" w:w="100"/>
              <w:left w:type="dxa" w:w="140"/>
              <w:bottom w:type="dxa" w:w="100"/>
              <w:right w:type="dxa" w:w="140"/>
            </w:tcMar>
          </w:tcPr>
          <w:p>
            <w:pPr>
              <w:spacing w:after="0" w:before="0" w:line="260"/>
            </w:pPr>
            <w:r>
              <w:rPr>
                <w:b w:val="false"/>
                <w:bCs w:val="false"/>
                <w:color w:val="1F2937"/>
                <w:sz w:val="20"/>
                <w:szCs w:val="20"/>
              </w:rPr>
              <w:t xml:space="preserve">Open the workbook and go to the CIT Import sheet.</w:t>
            </w:r>
          </w:p>
        </w:tc>
      </w:tr>
      <w:tr>
        <w:tc>
          <w:tcPr>
            <w:tcW w:type="dxa" w:w="900"/>
            <w:tcMar>
              <w:top w:type="dxa" w:w="100"/>
              <w:left w:type="dxa" w:w="140"/>
              <w:bottom w:type="dxa" w:w="100"/>
              <w:right w:type="dxa" w:w="140"/>
            </w:tcMar>
          </w:tcPr>
          <w:p>
            <w:pPr>
              <w:spacing w:after="0" w:before="0" w:line="260"/>
            </w:pPr>
            <w:r>
              <w:rPr>
                <w:b w:val="false"/>
                <w:bCs w:val="false"/>
                <w:color w:val="1F2937"/>
                <w:sz w:val="20"/>
                <w:szCs w:val="20"/>
              </w:rPr>
              <w:t xml:space="preserve">2</w:t>
            </w:r>
          </w:p>
        </w:tc>
        <w:tc>
          <w:tcPr>
            <w:tcW w:type="dxa" w:w="8460"/>
            <w:tcMar>
              <w:top w:type="dxa" w:w="100"/>
              <w:left w:type="dxa" w:w="140"/>
              <w:bottom w:type="dxa" w:w="100"/>
              <w:right w:type="dxa" w:w="140"/>
            </w:tcMar>
          </w:tcPr>
          <w:p>
            <w:pPr>
              <w:spacing w:after="0" w:before="0" w:line="260"/>
            </w:pPr>
            <w:r>
              <w:rPr>
                <w:b w:val="false"/>
                <w:bCs w:val="false"/>
                <w:color w:val="1F2937"/>
                <w:sz w:val="20"/>
                <w:szCs w:val="20"/>
              </w:rPr>
              <w:t>Complete required primary fields: Tax Year, TIN, Company Name, Province, District, Sector, Revenue, Expense, Net Profit, and Profit Tax Paid LAK.</w:t>
            </w:r>
          </w:p>
        </w:tc>
      </w:tr>
      <w:tr>
        <w:tc>
          <w:tcPr>
            <w:tcW w:type="dxa" w:w="900"/>
            <w:tcMar>
              <w:top w:type="dxa" w:w="100"/>
              <w:left w:type="dxa" w:w="140"/>
              <w:bottom w:type="dxa" w:w="100"/>
              <w:right w:type="dxa" w:w="140"/>
            </w:tcMar>
          </w:tcPr>
          <w:p>
            <w:pPr>
              <w:spacing w:after="0" w:before="0" w:line="260"/>
            </w:pPr>
            <w:r>
              <w:rPr>
                <w:b w:val="false"/>
                <w:bCs w:val="false"/>
                <w:color w:val="1F2937"/>
                <w:sz w:val="20"/>
                <w:szCs w:val="20"/>
              </w:rPr>
              <w:t xml:space="preserve">3</w:t>
            </w:r>
          </w:p>
        </w:tc>
        <w:tc>
          <w:tcPr>
            <w:tcW w:type="dxa" w:w="8460"/>
            <w:tcMar>
              <w:top w:type="dxa" w:w="100"/>
              <w:left w:type="dxa" w:w="140"/>
              <w:bottom w:type="dxa" w:w="100"/>
              <w:right w:type="dxa" w:w="140"/>
            </w:tcMar>
          </w:tcPr>
          <w:p>
            <w:pPr>
              <w:spacing w:after="0" w:before="0" w:line="260"/>
            </w:pPr>
            <w:r>
              <w:rPr>
                <w:b w:val="false"/>
                <w:bCs w:val="false"/>
                <w:color w:val="1F2937"/>
                <w:sz w:val="20"/>
                <w:szCs w:val="20"/>
              </w:rPr>
              <w:t xml:space="preserve">Use dropdown fields where available. Do not type free-text province, district, village, or sector names.</w:t>
            </w:r>
          </w:p>
        </w:tc>
      </w:tr>
      <w:tr>
        <w:tc>
          <w:tcPr>
            <w:tcW w:type="dxa" w:w="900"/>
            <w:tcMar>
              <w:top w:type="dxa" w:w="100"/>
              <w:left w:type="dxa" w:w="140"/>
              <w:bottom w:type="dxa" w:w="100"/>
              <w:right w:type="dxa" w:w="140"/>
            </w:tcMar>
          </w:tcPr>
          <w:p>
            <w:pPr>
              <w:spacing w:after="0" w:before="0" w:line="260"/>
            </w:pPr>
            <w:r>
              <w:rPr>
                <w:b w:val="false"/>
                <w:bCs w:val="false"/>
                <w:color w:val="1F2937"/>
                <w:sz w:val="20"/>
                <w:szCs w:val="20"/>
              </w:rPr>
              <w:t xml:space="preserve">4</w:t>
            </w:r>
          </w:p>
        </w:tc>
        <w:tc>
          <w:tcPr>
            <w:tcW w:type="dxa" w:w="8460"/>
            <w:tcMar>
              <w:top w:type="dxa" w:w="100"/>
              <w:left w:type="dxa" w:w="140"/>
              <w:bottom w:type="dxa" w:w="100"/>
              <w:right w:type="dxa" w:w="140"/>
            </w:tcMar>
          </w:tcPr>
          <w:p>
            <w:pPr>
              <w:spacing w:after="0" w:before="0" w:line="260"/>
            </w:pPr>
            <w:r>
              <w:rPr>
                <w:b w:val="false"/>
                <w:bCs w:val="false"/>
                <w:color w:val="1F2937"/>
                <w:sz w:val="20"/>
                <w:szCs w:val="20"/>
              </w:rPr>
              <w:t xml:space="preserve">Complete conditional fields only when they are relevant, such as tax holiday, reinvestment, MSME, or stock exchange fields.</w:t>
            </w:r>
          </w:p>
        </w:tc>
      </w:tr>
      <w:tr>
        <w:tc>
          <w:tcPr>
            <w:tcW w:type="dxa" w:w="900"/>
            <w:tcMar>
              <w:top w:type="dxa" w:w="100"/>
              <w:left w:type="dxa" w:w="140"/>
              <w:bottom w:type="dxa" w:w="100"/>
              <w:right w:type="dxa" w:w="140"/>
            </w:tcMar>
          </w:tcPr>
          <w:p>
            <w:pPr>
              <w:spacing w:after="0" w:before="0" w:line="260"/>
            </w:pPr>
            <w:r>
              <w:rPr>
                <w:b w:val="false"/>
                <w:bCs w:val="false"/>
                <w:color w:val="1F2937"/>
                <w:sz w:val="20"/>
                <w:szCs w:val="20"/>
              </w:rPr>
              <w:t xml:space="preserve">5</w:t>
            </w:r>
          </w:p>
        </w:tc>
        <w:tc>
          <w:tcPr>
            <w:tcW w:type="dxa" w:w="8460"/>
            <w:tcMar>
              <w:top w:type="dxa" w:w="100"/>
              <w:left w:type="dxa" w:w="140"/>
              <w:bottom w:type="dxa" w:w="100"/>
              <w:right w:type="dxa" w:w="140"/>
            </w:tcMar>
          </w:tcPr>
          <w:p>
            <w:pPr>
              <w:spacing w:after="0" w:before="0" w:line="260"/>
            </w:pPr>
            <w:r>
              <w:rPr>
                <w:b w:val="false"/>
                <w:bCs w:val="false"/>
                <w:color w:val="1F2937"/>
                <w:sz w:val="20"/>
                <w:szCs w:val="20"/>
              </w:rPr>
              <w:t xml:space="preserve">Leave User Fallback fields blank unless the primary information is incomplete or a special expert judgement is needed.</w:t>
            </w:r>
          </w:p>
        </w:tc>
      </w:tr>
      <w:tr>
        <w:tc>
          <w:tcPr>
            <w:tcW w:type="dxa" w:w="900"/>
            <w:tcMar>
              <w:top w:type="dxa" w:w="100"/>
              <w:left w:type="dxa" w:w="140"/>
              <w:bottom w:type="dxa" w:w="100"/>
              <w:right w:type="dxa" w:w="140"/>
            </w:tcMar>
          </w:tcPr>
          <w:p>
            <w:pPr>
              <w:spacing w:after="0" w:before="0" w:line="260"/>
            </w:pPr>
            <w:r>
              <w:rPr>
                <w:b w:val="false"/>
                <w:bCs w:val="false"/>
                <w:color w:val="1F2937"/>
                <w:sz w:val="20"/>
                <w:szCs w:val="20"/>
              </w:rPr>
              <w:t xml:space="preserve">6</w:t>
            </w:r>
          </w:p>
        </w:tc>
        <w:tc>
          <w:tcPr>
            <w:tcW w:type="dxa" w:w="8460"/>
            <w:tcMar>
              <w:top w:type="dxa" w:w="100"/>
              <w:left w:type="dxa" w:w="140"/>
              <w:bottom w:type="dxa" w:w="100"/>
              <w:right w:type="dxa" w:w="140"/>
            </w:tcMar>
          </w:tcPr>
          <w:p>
            <w:pPr>
              <w:spacing w:after="0" w:before="0" w:line="260"/>
            </w:pPr>
            <w:r>
              <w:rPr>
                <w:b w:val="false"/>
                <w:bCs w:val="false"/>
                <w:color w:val="1F2937"/>
                <w:sz w:val="20"/>
                <w:szCs w:val="20"/>
              </w:rPr>
              <w:t xml:space="preserve">If Use User Fallback? is Yes, complete User Fallback Reason and the relevant User Benchmark Rate, User Benchmark PT, or User TE fields.</w:t>
            </w:r>
          </w:p>
        </w:tc>
      </w:tr>
    </w:tbl>
    <w:p>
      <w:pPr>
        <w:pStyle w:val="Heading1"/>
        <w:spacing w:after="120" w:before="280"/>
      </w:pPr>
      <w:r>
        <w:rPr>
          <w:b/>
          <w:bCs/>
          <w:color w:val="2E74B5"/>
          <w:sz w:val="32"/>
          <w:szCs w:val="32"/>
        </w:rPr>
        <w:t xml:space="preserve">4. Why This Template Is Recommended</w:t>
      </w:r>
    </w:p>
    <w:p>
      <w:pPr>
        <w:spacing w:after="120" w:before="0" w:line="300"/>
      </w:pPr>
      <w:r>
        <w:t xml:space="preserve">The previous expert files changed format and used plain text for standard dictionary fields. This caused import problems such as misspelled province names, district values in the wrong column, unclear sector labels, and calculated columns that duplicated system logic.</w:t>
      </w:r>
    </w:p>
    <w:p>
      <w:pPr>
        <w:spacing w:after="120" w:before="0" w:line="300"/>
      </w:pPr>
      <w:r>
        <w:t xml:space="preserve">The recommended template addresses these issues by using dropdowns, stable official codes, clear mandatory fields, and a controlled fallback area. The goal is not to make Excel more complicated; the goal is to make the import predictable, auditable, and easier to explain.</w:t>
      </w:r>
    </w:p>
    <w:p>
      <w:pPr>
        <w:pStyle w:val="Heading1"/>
        <w:spacing w:after="120" w:before="280"/>
      </w:pPr>
      <w:r>
        <w:rPr>
          <w:b/>
          <w:bCs/>
          <w:color w:val="2E74B5"/>
          <w:sz w:val="32"/>
          <w:szCs w:val="32"/>
        </w:rPr>
        <w:t xml:space="preserve">5. Fallback Principle</w:t>
      </w:r>
    </w:p>
    <w:p>
      <w:pPr>
        <w:spacing w:after="120" w:before="0" w:line="300"/>
      </w:pPr>
      <w:r>
        <w:t xml:space="preserve">The system should calculate benchmark and tax expenditure from primary data whenever possible. User Fallback fields are a controlled exception. They allow the expert to provide a benchmark or TE value when normal inputs are missing, but the row should remain auditable and clearly marked as using fallback information.</w:t>
      </w:r>
    </w:p>
    <w:p>
      <w:pPr>
        <w:pStyle w:val="Heading1"/>
        <w:spacing w:after="120" w:before="280"/>
      </w:pPr>
      <w:r>
        <w:rPr>
          <w:b/>
          <w:bCs/>
          <w:color w:val="2E74B5"/>
          <w:sz w:val="32"/>
          <w:szCs w:val="32"/>
        </w:rPr>
        <w:t xml:space="preserve">6. Discussion Points For Expert Agreement</w:t>
      </w:r>
    </w:p>
    <w:tbl>
      <w:tblPr>
        <w:tblW w:type="dxa" w:w="9360"/>
        <w:tblBorders>
          <w:top w:val="single" w:color="D9E2EA" w:sz="4"/>
          <w:left w:val="single" w:color="D9E2EA" w:sz="4"/>
          <w:bottom w:val="single" w:color="D9E2EA" w:sz="4"/>
          <w:right w:val="single" w:color="D9E2EA" w:sz="4"/>
          <w:insideH w:val="single" w:color="D9E2EA" w:sz="4"/>
          <w:insideV w:val="single" w:color="D9E2EA" w:sz="4"/>
        </w:tblBorders>
      </w:tblPr>
      <w:tblGrid>
        <w:gridCol w:w="100"/>
        <w:gridCol w:w="100"/>
      </w:tblGrid>
      <w:tr>
        <w:tc>
          <w:tcPr>
            <w:tcW w:type="dxa" w:w="2600"/>
            <w:shd w:fill="F2F4F7" w:val="clear"/>
            <w:tcMar>
              <w:top w:type="dxa" w:w="100"/>
              <w:left w:type="dxa" w:w="140"/>
              <w:bottom w:type="dxa" w:w="100"/>
              <w:right w:type="dxa" w:w="140"/>
            </w:tcMar>
          </w:tcPr>
          <w:p>
            <w:pPr>
              <w:spacing w:after="0" w:before="0" w:line="260"/>
            </w:pPr>
            <w:r>
              <w:rPr>
                <w:b/>
                <w:bCs/>
                <w:color w:val="1F2937"/>
                <w:sz w:val="20"/>
                <w:szCs w:val="20"/>
              </w:rPr>
              <w:t xml:space="preserve">Topic</w:t>
            </w:r>
          </w:p>
        </w:tc>
        <w:tc>
          <w:tcPr>
            <w:tcW w:type="dxa" w:w="6760"/>
            <w:shd w:fill="F2F4F7" w:val="clear"/>
            <w:tcMar>
              <w:top w:type="dxa" w:w="100"/>
              <w:left w:type="dxa" w:w="140"/>
              <w:bottom w:type="dxa" w:w="100"/>
              <w:right w:type="dxa" w:w="140"/>
            </w:tcMar>
          </w:tcPr>
          <w:p>
            <w:pPr>
              <w:spacing w:after="0" w:before="0" w:line="260"/>
            </w:pPr>
            <w:r>
              <w:rPr>
                <w:b/>
                <w:bCs/>
                <w:color w:val="1F2937"/>
                <w:sz w:val="20"/>
                <w:szCs w:val="20"/>
              </w:rPr>
              <w:t xml:space="preserve">Question For Agreement</w:t>
            </w:r>
          </w:p>
        </w:tc>
      </w:tr>
      <w:tr>
        <w:tc>
          <w:tcPr>
            <w:tcW w:type="dxa" w:w="2600"/>
            <w:tcMar>
              <w:top w:type="dxa" w:w="100"/>
              <w:left w:type="dxa" w:w="140"/>
              <w:bottom w:type="dxa" w:w="100"/>
              <w:right w:type="dxa" w:w="140"/>
            </w:tcMar>
          </w:tcPr>
          <w:p>
            <w:pPr>
              <w:spacing w:after="0" w:before="0" w:line="260"/>
            </w:pPr>
            <w:r>
              <w:rPr>
                <w:b w:val="false"/>
                <w:bCs w:val="false"/>
                <w:color w:val="1F2937"/>
                <w:sz w:val="20"/>
                <w:szCs w:val="20"/>
              </w:rPr>
              <w:t xml:space="preserve">Mandatory fields</w:t>
            </w:r>
          </w:p>
        </w:tc>
        <w:tc>
          <w:tcPr>
            <w:tcW w:type="dxa" w:w="6760"/>
            <w:tcMar>
              <w:top w:type="dxa" w:w="100"/>
              <w:left w:type="dxa" w:w="140"/>
              <w:bottom w:type="dxa" w:w="100"/>
              <w:right w:type="dxa" w:w="140"/>
            </w:tcMar>
          </w:tcPr>
          <w:p>
            <w:pPr>
              <w:spacing w:after="0" w:before="0" w:line="260"/>
            </w:pPr>
            <w:r>
              <w:rPr>
                <w:b w:val="false"/>
                <w:bCs w:val="false"/>
                <w:color w:val="1F2937"/>
                <w:sz w:val="20"/>
                <w:szCs w:val="20"/>
              </w:rPr>
              <w:t xml:space="preserve">Are the proposed required CIT fields sufficient?</w:t>
            </w:r>
          </w:p>
        </w:tc>
      </w:tr>
      <w:tr>
        <w:tc>
          <w:tcPr>
            <w:tcW w:type="dxa" w:w="2600"/>
            <w:tcMar>
              <w:top w:type="dxa" w:w="100"/>
              <w:left w:type="dxa" w:w="140"/>
              <w:bottom w:type="dxa" w:w="100"/>
              <w:right w:type="dxa" w:w="140"/>
            </w:tcMar>
          </w:tcPr>
          <w:p>
            <w:pPr>
              <w:spacing w:after="0" w:before="0" w:line="260"/>
            </w:pPr>
            <w:r>
              <w:rPr>
                <w:b w:val="false"/>
                <w:bCs w:val="false"/>
                <w:color w:val="1F2937"/>
                <w:sz w:val="20"/>
                <w:szCs w:val="20"/>
              </w:rPr>
              <w:t xml:space="preserve">Conditional fields</w:t>
            </w:r>
          </w:p>
        </w:tc>
        <w:tc>
          <w:tcPr>
            <w:tcW w:type="dxa" w:w="6760"/>
            <w:tcMar>
              <w:top w:type="dxa" w:w="100"/>
              <w:left w:type="dxa" w:w="140"/>
              <w:bottom w:type="dxa" w:w="100"/>
              <w:right w:type="dxa" w:w="140"/>
            </w:tcMar>
          </w:tcPr>
          <w:p>
            <w:pPr>
              <w:spacing w:after="0" w:before="0" w:line="260"/>
            </w:pPr>
            <w:r>
              <w:rPr>
                <w:b w:val="false"/>
                <w:bCs w:val="false"/>
                <w:color w:val="1F2937"/>
                <w:sz w:val="20"/>
                <w:szCs w:val="20"/>
              </w:rPr>
              <w:t xml:space="preserve">Which fields become required for specific provisions?</w:t>
            </w:r>
          </w:p>
        </w:tc>
      </w:tr>
      <w:tr>
        <w:tc>
          <w:tcPr>
            <w:tcW w:type="dxa" w:w="2600"/>
            <w:tcMar>
              <w:top w:type="dxa" w:w="100"/>
              <w:left w:type="dxa" w:w="140"/>
              <w:bottom w:type="dxa" w:w="100"/>
              <w:right w:type="dxa" w:w="140"/>
            </w:tcMar>
          </w:tcPr>
          <w:p>
            <w:pPr>
              <w:spacing w:after="0" w:before="0" w:line="260"/>
            </w:pPr>
            <w:r>
              <w:rPr>
                <w:b w:val="false"/>
                <w:bCs w:val="false"/>
                <w:color w:val="1F2937"/>
                <w:sz w:val="20"/>
                <w:szCs w:val="20"/>
              </w:rPr>
              <w:t xml:space="preserve">Village</w:t>
            </w:r>
          </w:p>
        </w:tc>
        <w:tc>
          <w:tcPr>
            <w:tcW w:type="dxa" w:w="6760"/>
            <w:tcMar>
              <w:top w:type="dxa" w:w="100"/>
              <w:left w:type="dxa" w:w="140"/>
              <w:bottom w:type="dxa" w:w="100"/>
              <w:right w:type="dxa" w:w="140"/>
            </w:tcMar>
          </w:tcPr>
          <w:p>
            <w:pPr>
              <w:spacing w:after="0" w:before="0" w:line="260"/>
            </w:pPr>
            <w:r>
              <w:rPr>
                <w:b w:val="false"/>
                <w:bCs w:val="false"/>
                <w:color w:val="1F2937"/>
                <w:sz w:val="20"/>
                <w:szCs w:val="20"/>
              </w:rPr>
              <w:t xml:space="preserve">Should village be required for CIT, or kept optional?</w:t>
            </w:r>
          </w:p>
        </w:tc>
      </w:tr>
      <w:tr>
        <w:tc>
          <w:tcPr>
            <w:tcW w:type="dxa" w:w="2600"/>
            <w:tcMar>
              <w:top w:type="dxa" w:w="100"/>
              <w:left w:type="dxa" w:w="140"/>
              <w:bottom w:type="dxa" w:w="100"/>
              <w:right w:type="dxa" w:w="140"/>
            </w:tcMar>
          </w:tcPr>
          <w:p>
            <w:pPr>
              <w:spacing w:after="0" w:before="0" w:line="260"/>
            </w:pPr>
            <w:r>
              <w:rPr>
                <w:b w:val="false"/>
                <w:bCs w:val="false"/>
                <w:color w:val="1F2937"/>
                <w:sz w:val="20"/>
                <w:szCs w:val="20"/>
              </w:rPr>
              <w:t xml:space="preserve">User Fallback</w:t>
            </w:r>
          </w:p>
        </w:tc>
        <w:tc>
          <w:tcPr>
            <w:tcW w:type="dxa" w:w="6760"/>
            <w:tcMar>
              <w:top w:type="dxa" w:w="100"/>
              <w:left w:type="dxa" w:w="140"/>
              <w:bottom w:type="dxa" w:w="100"/>
              <w:right w:type="dxa" w:w="140"/>
            </w:tcMar>
          </w:tcPr>
          <w:p>
            <w:pPr>
              <w:spacing w:after="0" w:before="0" w:line="260"/>
            </w:pPr>
            <w:r>
              <w:rPr>
                <w:b w:val="false"/>
                <w:bCs w:val="false"/>
                <w:color w:val="1F2937"/>
                <w:sz w:val="20"/>
                <w:szCs w:val="20"/>
              </w:rPr>
              <w:t xml:space="preserve">When should User Benchmark PT or User TE be accepted?</w:t>
            </w:r>
          </w:p>
        </w:tc>
      </w:tr>
      <w:tr>
        <w:tc>
          <w:tcPr>
            <w:tcW w:type="dxa" w:w="2600"/>
            <w:tcMar>
              <w:top w:type="dxa" w:w="100"/>
              <w:left w:type="dxa" w:w="140"/>
              <w:bottom w:type="dxa" w:w="100"/>
              <w:right w:type="dxa" w:w="140"/>
            </w:tcMar>
          </w:tcPr>
          <w:p>
            <w:pPr>
              <w:spacing w:after="0" w:before="0" w:line="260"/>
            </w:pPr>
            <w:r>
              <w:rPr>
                <w:b w:val="false"/>
                <w:bCs w:val="false"/>
                <w:color w:val="1F2937"/>
                <w:sz w:val="20"/>
                <w:szCs w:val="20"/>
              </w:rPr>
              <w:t xml:space="preserve">Template version</w:t>
            </w:r>
          </w:p>
        </w:tc>
        <w:tc>
          <w:tcPr>
            <w:tcW w:type="dxa" w:w="6760"/>
            <w:tcMar>
              <w:top w:type="dxa" w:w="100"/>
              <w:left w:type="dxa" w:w="140"/>
              <w:bottom w:type="dxa" w:w="100"/>
              <w:right w:type="dxa" w:w="140"/>
            </w:tcMar>
          </w:tcPr>
          <w:p>
            <w:pPr>
              <w:spacing w:after="0" w:before="0" w:line="260"/>
            </w:pPr>
            <w:r>
              <w:rPr>
                <w:b w:val="false"/>
                <w:bCs w:val="false"/>
                <w:color w:val="1F2937"/>
                <w:sz w:val="20"/>
                <w:szCs w:val="20"/>
              </w:rPr>
              <w:t xml:space="preserve">Can this become the agreed CIT_IMPORT v1.0 standard?</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2026-06-05T08:11:00.232Z</dcterms:created>
  <dcterms:modified xsi:type="dcterms:W3CDTF">2026-06-05T08:11:00.234Z</dcterms:modified>
</cp:coreProperties>
</file>

<file path=docProps/custom.xml><?xml version="1.0" encoding="utf-8"?>
<Properties xmlns="http://schemas.openxmlformats.org/officeDocument/2006/custom-properties" xmlns:vt="http://schemas.openxmlformats.org/officeDocument/2006/docPropsVTypes"/>
</file>