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apis@example.com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r>
        <w:rPr>
          <w:b/>
          <w:sz w:val="20"/>
        </w:rPr>
        <w:t>ການປ່ຽນລະຫັດຜ່ານດ້ວຍຕົນເອງ</w:t>
      </w:r>
    </w:p>
    <w:p>
      <w:r>
        <w:t>ຫຼັງຈາກເຂົ້າລະບົບ, ຜູ້ໃຊ້ສາມາດປ່ຽນລະຫັດຜ່ານຂອງຕົນເອງໄດ້ທີ່:</w:t>
      </w:r>
    </w:p>
    <w:p>
      <w:r>
        <w:rPr>
          <w:rFonts w:ascii="Consolas" w:hAnsi="Consolas"/>
          <w:color w:val="333333"/>
          <w:sz w:val="18"/>
        </w:rPr>
        <w:t>System &gt; Change Password</w:t>
      </w:r>
    </w:p>
    <w:p>
      <w:r>
        <w:t>1. ໃສ່ລະຫັດປະຈຸບັນ (Current Password).</w:t>
      </w:r>
    </w:p>
    <w:p>
      <w:r>
        <w:t>2. ໃສ່ລະຫັດໃໝ່ (New Password) ຢ່າງໜ້ອຍ 6 ຕົວອັກສອນ.</w:t>
      </w:r>
    </w:p>
    <w:p>
      <w:r>
        <w:t>3. ຢືນຢັນລະຫັດໃໝ່ (Confirm New Password).</w:t>
      </w:r>
    </w:p>
    <w:p>
      <w:r>
        <w:t>4. ກົດ Change Password.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Change Password form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  ສະເພາະ SUPER ADMIN ແລະ ADMIN ເທົ່ານັ້ນທີ່ສາມາດລຶບ Batch ໄດ້.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p>
      <w:r>
        <w:rPr>
          <w:b/>
          <w:sz w:val="28"/>
        </w:rPr>
        <w:t>4.1 ສິດຜູ້ໃຊ້ (ບົດບາດ / Roles)</w:t>
      </w:r>
    </w:p>
    <w:p>
      <w:r>
        <w:rPr>
          <w:b w:val="0"/>
          <w:sz w:val="22"/>
        </w:rPr>
        <w:t>ລະບົບມີ 5 ບົດບາດທີ່ກໍານົດໄວ້, ແຕ່ລະບົດບາດສາມາດເຂົ້າເຖິງໜ້າຕ່າງໆ ຕາມທີ່ກໍານົດ:</w:t>
      </w:r>
    </w:p>
    <w:p/>
    <w:p>
      <w:r>
        <w:rPr>
          <w:b w:val="0"/>
          <w:sz w:val="22"/>
        </w:rPr>
        <w:t>• SUPER ADMIN: ເຂົ້າເຖິງທຸກໜ້າ ແລະ ທຸກຟັງຊັນ (ຈັດການລະບົບ, Config ຕ່າງໆ, ນໍາເຂົ້າ, ຄໍານວນ, ລາຍງານ)</w:t>
      </w:r>
    </w:p>
    <w:p>
      <w:r>
        <w:rPr>
          <w:b w:val="0"/>
          <w:sz w:val="22"/>
        </w:rPr>
        <w:t>• ADMIN: ສິດດຽວກັບ SUPER ADMIN ທຸກຢ່າງ</w:t>
      </w:r>
    </w:p>
    <w:p>
      <w:r>
        <w:t>• TECH_TEAM_MOF: ສາມາດນໍາເຂົ້າຂໍ້ມູນ, ຄໍານວນ, ເບິ່ງລາຍງານ ແລະ ການຕັ້ງຄ່າຕ່າງໆ ແຕ່ບໍ່ສາມາດລຶບ Batch, ຈັດການຜູ້ໃຊ້ ຫຼື ລະບົບ</w:t>
      </w:r>
    </w:p>
    <w:p>
      <w:r>
        <w:t>• ACCOUNTING: ສາມາດນໍາເຂົ້າ, ຄໍານວນ ແລະ ເບິ່ງລາຍງານໄດ້ ແຕ່ບໍ່ສາມາດລຶບ Batch</w:t>
      </w:r>
    </w:p>
    <w:p>
      <w:r>
        <w:rPr>
          <w:b w:val="0"/>
          <w:sz w:val="22"/>
        </w:rPr>
        <w:t>• USER: ສາມາດເບິ່ງລາຍງານເທົ່ານັ້ນ</w:t>
      </w:r>
    </w:p>
    <w:p/>
    <w:p>
      <w:r>
        <w:rPr>
          <w:b/>
          <w:sz w:val="22"/>
        </w:rPr>
        <w:t>ການຕັ້ງຄ່າສິດຜູ້ໃຊ້:</w:t>
      </w:r>
    </w:p>
    <w:p>
      <w:r>
        <w:rPr>
          <w:b w:val="0"/>
          <w:sz w:val="22"/>
        </w:rPr>
        <w:t>System &gt; Role Management ຫຼື ເບິ່ງທີ່ System &gt; Users ເພື່ອກໍານົດບົດບາດໃຫ້ຜູ້ໃຊ້ແຕ່ລະຄົນ.</w:t>
      </w:r>
    </w:p>
    <w:p/>
    <w:p>
      <w:r>
        <w:rPr>
          <w:b/>
          <w:sz w:val="28"/>
        </w:rPr>
        <w:t>4.2 ການປ້ອງກັນການເຂົ້າຊໍ້າ (Concurrent Login)</w:t>
      </w:r>
    </w:p>
    <w:p>
      <w:r>
        <w:rPr>
          <w:b w:val="0"/>
          <w:sz w:val="22"/>
        </w:rPr>
        <w:t>ຖ້າຜູ້ໃຊ້ຄົນດຽວເຂົ້າລະບົບຈາກຫຼາຍເຄື່ອງ, ເຊດຊັນເກົ່າຈະຖືກຕັດອັດຕະໂນມັດ. ຜູ້ໃຊ້ຈະເຫັນຂໍ້ຄວາມ:</w:t>
      </w:r>
    </w:p>
    <w:p/>
    <w:p>
      <w:r>
        <w:rPr>
          <w:b w:val="0"/>
          <w:sz w:val="22"/>
        </w:rPr>
        <w:t>"Your session was closed because your account was signed in from another device."</w:t>
      </w:r>
    </w:p>
    <w:p/>
    <w:p>
      <w:r>
        <w:rPr>
          <w:b w:val="0"/>
          <w:sz w:val="22"/>
        </w:rPr>
        <w:t>ຖ້າເກີດຂຶ້ນ, ພຽງແຕ່ Login ໃໝ່ເທົ່ານັ້ນ.</w:t>
      </w:r>
    </w:p>
    <w:p>
      <w:pPr/>
    </w:p>
    <w:p>
      <w:r>
        <w:rPr>
          <w:sz w:val="22"/>
        </w:rPr>
        <w:t>ການລຶບ Batch: ສະເພາະ SUPER ADMIN ແລະ ADMIN ເທົ່ານັ້ນທີ່ສາມາດລຶບ Batch ໄດ້. ຜູ້ໃຊ້ອື່ນ (TECH_TEAM_MOF, ACCOUNTING, USER) ຈະບໍ່ເຫັນປຸ່ມ Delete ໃນ Batch Management.</w:t>
      </w:r>
    </w:p>
    <w:p>
      <w:r>
        <w:rPr>
          <w:b/>
          <w:color w:val="0070C0"/>
          <w:sz w:val="28"/>
        </w:rPr>
        <w:t>19. ການປ້ອງກັນຂໍ້ມູນຊໍ້າກ່ອນນໍາເຂົ້າ (Duplicate Prevention)</w:t>
      </w:r>
    </w:p>
    <w:p/>
    <w:p>
      <w:r>
        <w:rPr>
          <w:color w:val="0070C0"/>
          <w:sz w:val="22"/>
        </w:rPr>
        <w:t>ລະບົບຈະກວດສອບຂໍ້ມູນຊໍ້າກ່ອນການນໍາເຂົ້າທຸກຄັ້ງ ເພື່ອປ້ອງກັນການນໍາເຂົ້າຂໍ້ມູນຊໍ້າກັນ ເຊິ່ງຈະເຮັດໃຫ້ຄ່າ TE ຜິດພາດ. ການກວດສອບນີ້ໃຊ້ໄດ້ກັບທຸກປະເພດການນໍາເຂົ້າທີ່ສໍາຄັນ.</w:t>
      </w:r>
    </w:p>
    <w:p/>
    <w:p>
      <w:r>
        <w:rPr>
          <w:b/>
          <w:color w:val="0070C0"/>
          <w:sz w:val="22"/>
        </w:rPr>
        <w:t>ຫຼັກການເຮັດວຽກ:</w:t>
      </w:r>
    </w:p>
    <w:p>
      <w:r>
        <w:rPr>
          <w:color w:val="0070C0"/>
          <w:sz w:val="22"/>
        </w:rPr>
        <w:t>• ກ່ອນການນໍາເຂົ້າ, ລະບົບຈະສະແກນຂໍ້ມູນທັງໝົດໃນ Excel ແລະ ກວດສອບກັບຖານຂໍ້ມູນວ່າມີ TIN + Tax Year ດຽວກັນແລ້ວຫຼືບໍ່.</w:t>
      </w:r>
    </w:p>
    <w:p>
      <w:r>
        <w:rPr>
          <w:color w:val="0070C0"/>
          <w:sz w:val="22"/>
        </w:rPr>
        <w:t>• ຖ້າພົບຂໍ້ມູນຊໍ້າ: ລະບົບຈະສະກັດການນໍາເຂົ້າ ແລະ ສະແດງລາຍງານວ່າມີຈັກລາຍການທີ່ຊໍ້າ, ຢູ່ Batch ໃດ.</w:t>
      </w:r>
    </w:p>
    <w:p>
      <w:r>
        <w:rPr>
          <w:color w:val="0070C0"/>
          <w:sz w:val="22"/>
        </w:rPr>
        <w:t>• ຜູ້ໃຊ້ສາມາດ Download Duplicate Report (CSV) ເພື່ອເບິ່ງລາຍລະອຽດ.</w:t>
      </w:r>
    </w:p>
    <w:p>
      <w:r>
        <w:rPr>
          <w:color w:val="0070C0"/>
          <w:sz w:val="22"/>
        </w:rPr>
        <w:t>• ວິທີແກ້ໄຂ: (1) ລຶບ Batch ເກົ່າອອກກ່ອນ (ສະເພາະ Admin), ຫຼື (2) ລຶບລາຍການທີ່ຊໍ້າອອກຈາກ Excel ແລະ ນໍາເຂົ້າໃໝ່.</w:t>
      </w:r>
    </w:p>
    <w:p>
      <w:r>
        <w:rPr>
          <w:color w:val="0070C0"/>
          <w:sz w:val="22"/>
        </w:rPr>
        <w:t>• ຖ້າບໍ່ມີຂໍ້ມູນຊໍ້າ: ການນໍາເຂົ້າຈະດໍາເນີນການຕາມປົກກະຕິ.</w:t>
      </w:r>
    </w:p>
    <w:p/>
    <w:p>
      <w:r>
        <w:rPr>
          <w:b/>
          <w:color w:val="0070C0"/>
          <w:sz w:val="22"/>
        </w:rPr>
        <w:t>ປະເພດການນໍາເຂົ້າທີ່ມີການກວດສອບນີ້:</w:t>
      </w:r>
    </w:p>
    <w:p>
      <w:r>
        <w:rPr>
          <w:color w:val="0070C0"/>
          <w:sz w:val="22"/>
        </w:rPr>
        <w:t>• Profit Tax (CIT) — ກວດສອບ TIN + Tax Year</w:t>
      </w:r>
    </w:p>
    <w:p>
      <w:r>
        <w:rPr>
          <w:color w:val="0070C0"/>
          <w:sz w:val="22"/>
        </w:rPr>
        <w:t>• Domestic VAT — ກວດສອບ TIN + Filing Period</w:t>
      </w:r>
    </w:p>
    <w:p>
      <w:r>
        <w:rPr>
          <w:color w:val="0070C0"/>
          <w:sz w:val="22"/>
        </w:rPr>
        <w:t>• Individual Tax (PIT) — ກວດສອບ PTIN + Tax Year</w:t>
      </w:r>
    </w:p>
    <w:p>
      <w:r>
        <w:rPr>
          <w:color w:val="0070C0"/>
          <w:sz w:val="22"/>
        </w:rPr>
        <w:t>• Salary Tax — ກວດສອບ TIN + Tax Year</w:t>
      </w:r>
    </w:p>
    <w:p>
      <w:r>
        <w:rPr>
          <w:color w:val="0070C0"/>
          <w:sz w:val="22"/>
        </w:rPr>
        <w:t>• SEZ Developer / Investor — ກວດສອບ TIN + Tax Year</w:t>
      </w:r>
    </w:p>
    <w:p>
      <w:r>
        <w:rPr>
          <w:color w:val="0070C0"/>
          <w:sz w:val="22"/>
        </w:rPr>
        <w:t>• Resource Fee — ກວດສອບ TIN + Tax Year</w:t>
      </w:r>
    </w:p>
    <w:p>
      <w:r>
        <w:rPr>
          <w:color w:val="0070C0"/>
          <w:sz w:val="22"/>
        </w:rPr>
        <w:t>• Royalty Fee — ກວດສອບ TIN + Tax Year</w:t>
      </w:r>
    </w:p>
    <w:p>
      <w:r>
        <w:rPr>
          <w:color w:val="0070C0"/>
          <w:sz w:val="22"/>
        </w:rPr>
        <w:t>• Land Concession — ກວດສອບ TIN</w:t>
      </w:r>
    </w:p>
    <w:p>
      <w:r>
        <w:rPr>
          <w:b/>
          <w:color w:val="0070C0"/>
          <w:sz w:val="28"/>
        </w:rPr>
        <w:t>20. ການກຳນົດວັນທີ່ມີຜົນບັງຄັບໃຊ້ຂອງ Benchmark (Effectiveness by Date)</w:t>
      </w:r>
    </w:p>
    <w:p/>
    <w:p>
      <w:r>
        <w:rPr>
          <w:b/>
          <w:color w:val="0070C0"/>
          <w:sz w:val="22"/>
        </w:rPr>
        <w:t>ພາບລວມ:</w:t>
      </w:r>
    </w:p>
    <w:p>
      <w:r>
        <w:rPr>
          <w:b w:val="0"/>
          <w:color w:val="0070C0"/>
          <w:sz w:val="22"/>
        </w:rPr>
        <w:t>ລະບົບຮອງຮັບການກຳນົດວັນທີ່ມີຜົນບັງຄັບໃຊ້ຂອງ Benchmark (start_date / end_date) ແທນທີ່ຈະໃຊ້ປີ (start_year / end_year). ນີ້ຈະຊ່ວຍໃຫ້ສາມາດກຳນົດອັດຕາ Benchmark ທີ່ປ່ຽນແປງພາຍໃນປີໄດ້ (ເຊັ່ນ ອັດຕາໃໝ່ມີຜົນຕັ້ງແຕ່ວັນທີ 1 ກໍລະກົດ 2024).</w:t>
      </w:r>
    </w:p>
    <w:p/>
    <w:p>
      <w:r>
        <w:rPr>
          <w:b/>
          <w:color w:val="0070C0"/>
          <w:sz w:val="22"/>
        </w:rPr>
        <w:t>ປະເພດພາສີທີ່ຮອງຮັບ:</w:t>
      </w:r>
    </w:p>
    <w:p>
      <w:r>
        <w:rPr>
          <w:b w:val="0"/>
          <w:color w:val="0070C0"/>
          <w:sz w:val="22"/>
        </w:rPr>
        <w:t>• Salary Tax — ໃຊ້ start_date / end_date ໃນ bm_salary_rates</w:t>
      </w:r>
    </w:p>
    <w:p>
      <w:r>
        <w:rPr>
          <w:b w:val="0"/>
          <w:color w:val="0070C0"/>
          <w:sz w:val="22"/>
        </w:rPr>
        <w:t>• VAT — ໃຊ້ start_date / end_date ໃນ bm_vat (ມີຢູ່ແລ້ວ)</w:t>
      </w:r>
    </w:p>
    <w:p>
      <w:r>
        <w:rPr>
          <w:b w:val="0"/>
          <w:color w:val="0070C0"/>
          <w:sz w:val="22"/>
        </w:rPr>
        <w:t>• MSME, Customs Regime, Payment Condition — ໃຊ້ effective_date_from / effective_date_to (ມີຢູ່ແລ້ວ)</w:t>
      </w:r>
    </w:p>
    <w:p>
      <w:r>
        <w:rPr>
          <w:b w:val="0"/>
          <w:color w:val="0070C0"/>
          <w:sz w:val="22"/>
        </w:rPr>
        <w:t>• Customs/Excise — ໃຊ້ຂໍ້ມູນຕາມແຖວໃນ Excel import ໂດຍກົງ (ມີຢູ່ແລ້ວ)</w:t>
      </w:r>
    </w:p>
    <w:p/>
    <w:p>
      <w:r>
        <w:rPr>
          <w:b/>
          <w:color w:val="0070C0"/>
          <w:sz w:val="22"/>
        </w:rPr>
        <w:t>ປະເພດພາສີທີ່ໃຊ້ປີ:</w:t>
      </w:r>
    </w:p>
    <w:p>
      <w:r>
        <w:rPr>
          <w:b w:val="0"/>
          <w:color w:val="0070C0"/>
          <w:sz w:val="22"/>
        </w:rPr>
        <w:t>• CIT, PIT, SEZ, Land Concession — ການຍື່ນແບບລາຍປີ, ການໃຊ້ປີແມ່ນຖືກຕ້ອງຕາມກົດໝາຍ</w:t>
      </w:r>
    </w:p>
    <w:p/>
    <w:p>
      <w:r>
        <w:rPr>
          <w:b/>
          <w:color w:val="0070C0"/>
          <w:sz w:val="22"/>
        </w:rPr>
        <w:t>ຕົວຢ່າງ:</w:t>
      </w:r>
    </w:p>
    <w:p>
      <w:r>
        <w:rPr>
          <w:b w:val="0"/>
          <w:color w:val="0070C0"/>
          <w:sz w:val="22"/>
        </w:rPr>
        <w:t>• ອັດຕາ T21 ສຳລັບປີ 2024: ວັນທີເລີ່ມ 2024-01-01, ວັນທີສິ້ນສຸດ 2024-12-31</w:t>
      </w:r>
    </w:p>
    <w:p>
      <w:r>
        <w:rPr>
          <w:b w:val="0"/>
          <w:color w:val="0070C0"/>
          <w:sz w:val="22"/>
        </w:rPr>
        <w:t>• ຖ້າມີການປ່ຽນແປງກາງປີ: ວັນທີເລີ່ມ 2024-07-01, ວັນທີສິ້ນສຸດ 2024-12-31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