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8" w:type="dxa"/>
          <w:right w:w="108" w:type="dxa"/>
        </w:tblCellMar>
      </w:tblPr>
      <w:tblGrid>
        <w:gridCol w:w="9051"/>
      </w:tblGrid>
      <w:tr>
        <w:tblPrEx>
          <w:tblW w:w="5000" w:type="pct"/>
        </w:tblPrEx>
        <w:tc>
          <w:tcPr>
            <w:tcW w:w="-214748364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C49DB7">
            <w:pPr>
              <w:jc w:val="left"/>
            </w:pPr>
            <w:r>
              <w:rPr>
                <w:b/>
              </w:rPr>
              <w:t>DOSSIER DE FORMATION — PV TECHNOV AGE 15.03.2026</w:t>
            </w:r>
            <w:r>
              <w:br/>
            </w:r>
            <w:r>
              <w:t>Version 2 / 5 • Niveau : 🟧 Faible • Note auteur : 2,4 / 5 • Cohérence : ⚠️ 3 soft KO</w:t>
            </w:r>
            <w:r>
              <w:br/>
            </w:r>
            <w:r>
              <w:t xml:space="preserve">Feedback associé : </w:t>
            </w:r>
            <w:r>
              <w:rPr>
                <w:i/>
              </w:rPr>
              <w:t>Feedback 2 — V2 vers V3 — Faible vers Correct.docx</w:t>
            </w:r>
            <w:r>
              <w:br/>
            </w:r>
            <w:r>
              <w:rPr>
                <w:b/>
              </w:rPr>
              <w:t>⚠️ Exemple pédagogique — à corriger avant utilisation en dossier réel.</w:t>
            </w:r>
          </w:p>
        </w:tc>
      </w:tr>
    </w:tbl>
    <w:p w14:paraId="38865A07">
      <w:pPr>
        <w:pStyle w:val="Body"/>
      </w:pPr>
    </w:p>
    <w:p w14:paraId="010B7184">
      <w:pPr>
        <w:pStyle w:val="Title"/>
      </w:pPr>
      <w:r>
        <w:t>TECHNOV</w:t>
      </w:r>
    </w:p>
    <w:p w14:paraId="1734F260">
      <w:pPr>
        <w:pStyle w:val="Body"/>
        <w:jc w:val="center"/>
      </w:pPr>
      <w:r>
        <w:t>Société par actions simplifiée au capital de 50 000 euros</w:t>
      </w:r>
    </w:p>
    <w:p w14:paraId="5CA965D0">
      <w:pPr>
        <w:pStyle w:val="Body"/>
        <w:jc w:val="center"/>
      </w:pPr>
      <w:r>
        <w:t>Siège social : 10 rue de la Paix, 75002 Paris</w:t>
      </w:r>
    </w:p>
    <w:p w14:paraId="3AB2E671">
      <w:pPr>
        <w:pStyle w:val="Body"/>
        <w:jc w:val="center"/>
      </w:pPr>
      <w:r>
        <w:t>123 456 789 R.C.S. Paris</w:t>
      </w:r>
    </w:p>
    <w:p w14:paraId="1C08B3D1">
      <w:pPr>
        <w:pStyle w:val="Title"/>
      </w:pPr>
      <w:r>
        <w:t>PROCÈS-VERBAL DE L'ASSEMBLÉE GÉNÉRALE DU 15 MARS 2026</w:t>
      </w:r>
    </w:p>
    <w:p w14:paraId="28CAFC74">
      <w:pPr>
        <w:pStyle w:val="Body"/>
      </w:pPr>
      <w:r>
        <w:t>Le 15 mars 2026, les associés de la société TECHNOV se sont réunis en assemblée au siège social sur convocation du Président.</w:t>
      </w:r>
    </w:p>
    <w:p w14:paraId="3DB64B95">
      <w:pPr>
        <w:pStyle w:val="Sideheading"/>
      </w:pPr>
      <w:r>
        <w:t>COMPOSITION</w:t>
      </w:r>
    </w:p>
    <w:p w14:paraId="11914120">
      <w:pPr>
        <w:pStyle w:val="Body"/>
      </w:pPr>
      <w:r>
        <w:t>La majorité des associés étaient présents ou représentés, l'assemblée peut valablement délibérer.</w:t>
      </w:r>
    </w:p>
    <w:p w14:paraId="64193C5C">
      <w:pPr>
        <w:pStyle w:val="Body"/>
      </w:pPr>
      <w:r>
        <w:t>L'assemblée est présidée par Jean Dupont, Président de la Société.</w:t>
      </w:r>
    </w:p>
    <w:p w14:paraId="4E18D1F8">
      <w:pPr>
        <w:pStyle w:val="Sideheading"/>
      </w:pPr>
      <w:r>
        <w:t>VISAS</w:t>
      </w:r>
    </w:p>
    <w:p w14:paraId="265CD0A1">
      <w:pPr>
        <w:pStyle w:val="Body"/>
      </w:pPr>
      <w:r>
        <w:t>Conformément aux statuts et aux dispositions légales applicables.</w:t>
      </w:r>
    </w:p>
    <w:p w14:paraId="506E95B3">
      <w:pPr>
        <w:pStyle w:val="Sideheading"/>
      </w:pPr>
      <w:r>
        <w:t>ORDRE DU JOUR</w:t>
      </w:r>
    </w:p>
    <w:p w14:paraId="6F45214C">
      <w:pPr>
        <w:pStyle w:val="Level1"/>
      </w:pPr>
      <w:r>
        <w:t>Augmentation du capital social ;</w:t>
      </w:r>
    </w:p>
    <w:p w14:paraId="3154A2A1">
      <w:pPr>
        <w:pStyle w:val="Level1"/>
      </w:pPr>
      <w:r>
        <w:t>Modification corrélative des statuts ;</w:t>
      </w:r>
    </w:p>
    <w:p w14:paraId="239C6A55">
      <w:pPr>
        <w:pStyle w:val="Level1"/>
      </w:pPr>
      <w:r>
        <w:t>Pouvoirs pour les formalités.</w:t>
      </w:r>
    </w:p>
    <w:p w14:paraId="5D1EC245">
      <w:pPr>
        <w:pStyle w:val="Sideheading"/>
      </w:pPr>
      <w:r>
        <w:t>RÉSOLUTIONS</w:t>
      </w:r>
    </w:p>
    <w:p w14:paraId="26A5BE35">
      <w:pPr>
        <w:pStyle w:val="Sideheading"/>
      </w:pPr>
      <w:r>
        <w:t>PREMIÈRE RÉSOLUTION — Augmentation de capital</w:t>
      </w:r>
    </w:p>
    <w:p w14:paraId="69A21102">
      <w:pPr>
        <w:pStyle w:val="Body"/>
      </w:pPr>
      <w:r>
        <w:t>Les associés décident d'augmenter le capital social d'un montant de 100 000 euros par création d'actions nouvelles qui seront souscrites par les associés au prorata de leur participation.</w:t>
      </w:r>
    </w:p>
    <w:p w14:paraId="132DB329">
      <w:pPr>
        <w:pStyle w:val="Body"/>
      </w:pPr>
      <w:r>
        <w:t>Cette résolution est adoptée à l'unanimité.</w:t>
      </w:r>
    </w:p>
    <w:p w14:paraId="0B5F67F3">
      <w:pPr>
        <w:pStyle w:val="Sideheading"/>
      </w:pPr>
      <w:r>
        <w:t>DEUXIÈME RÉSOLUTION — Prix d'émission</w:t>
      </w:r>
    </w:p>
    <w:p w14:paraId="535EBC01">
      <w:pPr>
        <w:pStyle w:val="Body"/>
      </w:pPr>
      <w:r>
        <w:t>Les associés décident que le prix d'émission des actions nouvelles sera fixé selon les modalités habituelles.</w:t>
      </w:r>
    </w:p>
    <w:p w14:paraId="78119B16">
      <w:pPr>
        <w:pStyle w:val="Body"/>
      </w:pPr>
      <w:r>
        <w:t>Cette résolution est adoptée à l'unanimité.</w:t>
      </w:r>
    </w:p>
    <w:p w14:paraId="3BC6609F">
      <w:pPr>
        <w:pStyle w:val="Sideheading"/>
      </w:pPr>
      <w:r>
        <w:t>Résolution 3 — Modification des statuts</w:t>
      </w:r>
    </w:p>
    <w:p w14:paraId="34722F26">
      <w:pPr>
        <w:pStyle w:val="Body"/>
      </w:pPr>
      <w:r>
        <w:t>En conséquence, l'article 7 des statuts est modifié.</w:t>
      </w:r>
    </w:p>
    <w:p w14:paraId="709B53AA">
      <w:pPr>
        <w:pStyle w:val="Body"/>
      </w:pPr>
      <w:r>
        <w:t>Cette résolution est adoptée à l'unanimité.</w:t>
      </w:r>
    </w:p>
    <w:p w14:paraId="6E905B59">
      <w:pPr>
        <w:pStyle w:val="Sideheading"/>
      </w:pPr>
      <w:r>
        <w:t>Résolution 4 — Pouvoirs</w:t>
      </w:r>
    </w:p>
    <w:p w14:paraId="19EC834F">
      <w:pPr>
        <w:pStyle w:val="Body"/>
      </w:pPr>
      <w:r>
        <w:t>Pouvoirs sont donnés au porteur d'un extrait du présent procès-verbal pour effectuer les formalités au greffe.</w:t>
      </w:r>
    </w:p>
    <w:p w14:paraId="4631A438">
      <w:pPr>
        <w:pStyle w:val="Body"/>
      </w:pPr>
      <w:r>
        <w:t>Cette résolution est adoptée à l'unanimité.</w:t>
      </w:r>
    </w:p>
    <w:p w14:paraId="7F12D57B">
      <w:pPr>
        <w:pStyle w:val="Body"/>
      </w:pPr>
      <w:r>
        <w:t>La séance est levée.</w:t>
      </w:r>
    </w:p>
    <w:p w14:paraId="286E11D9">
      <w:pPr>
        <w:pStyle w:val="Body"/>
      </w:pPr>
    </w:p>
    <w:p w14:paraId="56061625">
      <w:pPr>
        <w:pStyle w:val="Body"/>
      </w:pPr>
      <w:r>
        <w:t>Jean Dupont</w:t>
      </w:r>
    </w:p>
    <w:p w14:paraId="7DAA4A67">
      <w:pPr>
        <w:pStyle w:val="Body"/>
      </w:pPr>
      <w:r>
        <w:t>Président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