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2F60BFE4">
      <w:pPr>
        <w:pStyle w:val="Title"/>
      </w:pPr>
      <w:r>
        <w:t>Échanges internes — PV n°2 : Augmentation de capital en nature (apport de brevet)</w:t>
      </w:r>
    </w:p>
    <w:p w14:paraId="5F7531D5">
      <w:pPr>
        <w:pStyle w:val="Sideheading"/>
      </w:pPr>
      <w:r>
        <w:t>De : Antoine Berthier — À : Léa Marchand — Objet : RE: Draft PV apport brevet – v1</w:t>
      </w:r>
    </w:p>
    <w:p w14:paraId="0CD97664">
      <w:pPr>
        <w:pStyle w:val="Body"/>
      </w:pPr>
      <w:r>
        <w:t>Léa,</w:t>
      </w:r>
    </w:p>
    <w:p w14:paraId="3840C67A">
      <w:pPr>
        <w:pStyle w:val="Body"/>
      </w:pPr>
      <w:r>
        <w:t>Un apport en nature est le type de PV où une erreur de procédure peut faire annuler purement et simplement l'augmentation de capital. Plusieurs points à revoir impérativement :</w:t>
      </w:r>
    </w:p>
    <w:p w14:paraId="032BCF13">
      <w:pPr>
        <w:pStyle w:val="Body"/>
      </w:pPr>
      <w:r>
        <w:t>Vote de l'apporteur. Tu écris « adoptée à l'unanimité, y compris M. Antoine Vasseur ». C'est une erreur de principe : l'associé apporteur en nature ne doit pas être exclu du vote sur le principe de l'apport en SAS (contrairement à d'autres hypothèses de conflit d'intérêts), mais il est de bonne pratique, et souvent imposé par les statuts, de faire ressortir expressément qu'il ne prend pas part au vote sur la résolution relative à l'évaluation de son propre apport, pour éviter toute contestation ultérieure de conflit d'intérêts. Fais-le ressortir clairement.</w:t>
      </w:r>
    </w:p>
    <w:p w14:paraId="6C133507">
      <w:pPr>
        <w:pStyle w:val="Body"/>
      </w:pPr>
      <w:r>
        <w:t>Absence totale de référence au commissaire aux apports. Tu écris que le brevet est évalué à 124 000 euros sans dire par qui ni sur quel fondement. Pour tout apport en nature à une SAS, le recours à un commissaire aux apports désigné par le Tribunal de commerce est la règle (sauf cas très encadrés de dispense qui ne s'appliquent pas ici compte tenu du montant). Le PV doit viser son rapport, son identité et la décision de justice l'ayant désigné, et consacrer une résolution spécifique à l'approbation de ce rapport, distincte de la résolution d'augmentation de capital elle-même.</w:t>
      </w:r>
    </w:p>
    <w:p w14:paraId="5C87FEA3">
      <w:pPr>
        <w:pStyle w:val="Body"/>
      </w:pPr>
      <w:r>
        <w:t>Pas de décomposition nominal / prime d'apport. Comme pour les apports en numéraire, le lecteur doit pouvoir vérifier l'arithmétique : valeur de l'apport = augmentation de capital (nominal) + prime d'apport. Là tu donnes juste un chiffre d'augmentation sans détail.</w:t>
      </w:r>
    </w:p>
    <w:p w14:paraId="00697305">
      <w:pPr>
        <w:pStyle w:val="Body"/>
      </w:pPr>
      <w:r>
        <w:t>Pas de référence au registre national des brevets. Un apport de brevet n'est opposable aux tiers qu'après inscription du changement de titulaire au Registre national des brevets tenu par l'INPI. C'est une formalité spécifique à ce type d'apport, différente du dépôt au greffe, et les clients de ce profil (tech/logiciel) l'oublient souvent : c'est à nous de la rappeler systématiquement dans les pouvoirs.</w:t>
      </w:r>
    </w:p>
    <w:p w14:paraId="11F9D0BF">
      <w:pPr>
        <w:pStyle w:val="Body"/>
      </w:pPr>
      <w:r>
        <w:t>Antoine</w:t>
      </w:r>
    </w:p>
    <w:p w14:paraId="111F5E71">
      <w:pPr>
        <w:pStyle w:val="Sideheading"/>
      </w:pPr>
      <w:r>
        <w:t>De : Léa Marchand — À : Antoine Berthier — Objet : RE: Draft PV apport brevet – v2</w:t>
      </w:r>
    </w:p>
    <w:p w14:paraId="3A187EAE">
      <w:pPr>
        <w:pStyle w:val="Body"/>
      </w:pPr>
      <w:r>
        <w:t>Antoine,</w:t>
      </w:r>
    </w:p>
    <w:p w14:paraId="05C2E820">
      <w:pPr>
        <w:pStyle w:val="Body"/>
      </w:pPr>
      <w:r>
        <w:t>J'ai ajouté le visa du commissaire aux apports (M. Bernard Olivet, désigné par le Tribunal de commerce de Lyon), séparé la résolution d'approbation du rapport de celle de l'augmentation, et précisé le détail nominal (11 240 euros) / prime d'apport (112 760 euros). v2 ci-jointe.</w:t>
      </w:r>
    </w:p>
    <w:p w14:paraId="4ED43C77">
      <w:pPr>
        <w:pStyle w:val="Body"/>
      </w:pPr>
      <w:r>
        <w:t>Léa</w:t>
      </w:r>
    </w:p>
    <w:p w14:paraId="702B0EE0">
      <w:pPr>
        <w:pStyle w:val="Sideheading"/>
      </w:pPr>
      <w:r>
        <w:t>De : Antoine Berthier — À : Léa Marchand — Objet : RE: Draft PV apport brevet – v2</w:t>
      </w:r>
    </w:p>
    <w:p w14:paraId="23834947">
      <w:pPr>
        <w:pStyle w:val="Body"/>
      </w:pPr>
      <w:r>
        <w:t>Léa,</w:t>
      </w:r>
    </w:p>
    <w:p w14:paraId="711FB547">
      <w:pPr>
        <w:pStyle w:val="Body"/>
      </w:pPr>
      <w:r>
        <w:t>Très bonne progression. Il reste deux points avant transmission au client :</w:t>
      </w:r>
    </w:p>
    <w:p w14:paraId="3C877095">
      <w:pPr>
        <w:pStyle w:val="Body"/>
      </w:pPr>
      <w:r>
        <w:t>Il manque encore la précision que M. Vasseur ne prend pas part au vote sur la résolution d'approbation du rapport du commissaire aux apports (conflit d'intérêts direct). Ajoute la mention « M. Antoine Vasseur ne prenant pas part au vote » sur cette résolution.</w:t>
      </w:r>
    </w:p>
    <w:p w14:paraId="2D23654F">
      <w:pPr>
        <w:pStyle w:val="Body"/>
      </w:pPr>
      <w:r>
        <w:t>Ajoute dans les pouvoirs la référence explicite à l'inscription du transfert du brevet au Registre national des brevets, en plus du dépôt au greffe. C'est une formalité que les clients tech oublient systématiquement et qui, si elle n'est pas faite, rend l'apport inopposable aux tiers — un risque sérieux en cas de due diligence ultérieure (levée de fonds suivante ou cession).</w:t>
      </w:r>
    </w:p>
    <w:p w14:paraId="644FF291">
      <w:pPr>
        <w:pStyle w:val="Body"/>
      </w:pPr>
      <w:r>
        <w:t>Sur ce type d'opération (apport de PI à une société tech), la pratique de marché veut qu'on anticipe toujours la question de la valorisation — les investisseurs ultérieurs demanderont systématiquement à voir le rapport du commissaire aux apports en data room, donc autant s'assurer dès maintenant qu'il est complet, daté, et correctement visé dans le PV. Une fois ces deux correctifs faits, on est à un niveau « closing ready ».</w:t>
      </w:r>
    </w:p>
    <w:p w14:paraId="39C052A2">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