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4BB696A4">
      <w:pPr>
        <w:pStyle w:val="Title"/>
      </w:pPr>
      <w:r>
        <w:t>Échanges internes — PV n°6 : Autorisation d'émission de BSPCE</w:t>
      </w:r>
    </w:p>
    <w:p w14:paraId="18CA99E0">
      <w:pPr>
        <w:pStyle w:val="Sideheading"/>
      </w:pPr>
      <w:r>
        <w:t>De : Antoine Berthier — À : Léa Marchand — Objet : RE: Draft PV BSPCE – v1</w:t>
      </w:r>
    </w:p>
    <w:p w14:paraId="6B1314AC">
      <w:pPr>
        <w:pStyle w:val="Body"/>
      </w:pPr>
      <w:r>
        <w:t>Léa,</w:t>
      </w:r>
    </w:p>
    <w:p w14:paraId="64AFAFA9">
      <w:pPr>
        <w:pStyle w:val="Body"/>
      </w:pPr>
      <w:r>
        <w:t>Le BSPCE est un instrument fiscalement très favorable mais très encadré : la moindre imprécision dans le PV d'autorisation peut remettre en cause le régime fiscal de faveur pour les bénéficiaires. Reprends complètement :</w:t>
      </w:r>
    </w:p>
    <w:p w14:paraId="28BDB274">
      <w:pPr>
        <w:pStyle w:val="Body"/>
      </w:pPr>
      <w:r>
        <w:t>Pas de vérification des conditions d'éligibilité de la société. L'émission de BSPCE est réservée aux sociétés qui remplissent des conditions précises de l'article 163 bis G du Code général des impôts : immatriculation depuis moins de quinze ans, non cotation sur un marché réglementé, détention du capital à hauteur de 25 % maximum par des personnes morales soumises à l'IS. Le PV doit viser ces conditions expressément — c'est la première chose qu'un avocat fiscaliste ou un commissaire aux comptes vérifiera en cas de contrôle.</w:t>
      </w:r>
    </w:p>
    <w:p w14:paraId="169C645B">
      <w:pPr>
        <w:pStyle w:val="Body"/>
      </w:pPr>
      <w:r>
        <w:t>Pas de plafond chiffré ni de prix d'exercice. Tu dis « émission de BSPCE » sans nombre maximum ni prix d'exercice. Ce sont des éléments essentiels : le nombre total autorisé encadre la dilution potentielle que les associés acceptent, et le prix d'exercice doit être fixé à un niveau reflétant la valeur réelle de la société à la date d'attribution, sous peine de requalification fiscale pour le bénéficiaire.</w:t>
      </w:r>
    </w:p>
    <w:p w14:paraId="0CC36C81">
      <w:pPr>
        <w:pStyle w:val="Body"/>
      </w:pPr>
      <w:r>
        <w:t>Pas de résolution de suppression du DPS. Comme pour toute émission de titres donnant accès au capital au profit de personnes déterminées, il faut une résolution spécifique de suppression du droit préférentiel de souscription des associés existants.</w:t>
      </w:r>
    </w:p>
    <w:p w14:paraId="3BE836E9">
      <w:pPr>
        <w:pStyle w:val="Body"/>
      </w:pPr>
      <w:r>
        <w:t>Délégation au Président non encadrée dans le temps ni dans son objet. Tu dis « tous pouvoirs » de manière très vague. Il faut une véritable résolution de délégation de compétence, limitée dans le temps (dix-huit mois est la durée usuelle), précisant le périmètre exact des pouvoirs délégués (choix des bénéficiaires, conditions d'acquisition, constatation des augmentations de capital futures).</w:t>
      </w:r>
    </w:p>
    <w:p w14:paraId="591C7ACF">
      <w:pPr>
        <w:pStyle w:val="Body"/>
      </w:pPr>
      <w:r>
        <w:t>Antoine</w:t>
      </w:r>
    </w:p>
    <w:p w14:paraId="5C30D0CE">
      <w:pPr>
        <w:pStyle w:val="Sideheading"/>
      </w:pPr>
      <w:r>
        <w:t>De : Léa Marchand — À : Antoine Berthier — Objet : RE: Draft PV BSPCE – v2</w:t>
      </w:r>
    </w:p>
    <w:p w14:paraId="2DB3EF68">
      <w:pPr>
        <w:pStyle w:val="Body"/>
      </w:pPr>
      <w:r>
        <w:t>Antoine,</w:t>
      </w:r>
    </w:p>
    <w:p w14:paraId="07276AD5">
      <w:pPr>
        <w:pStyle w:val="Body"/>
      </w:pPr>
      <w:r>
        <w:t>J'ai ajouté le visa des conditions d'éligibilité de l'article 163 bis G du CGI, fixé le plafond à 200 BSPCE et le prix d'exercice à 28 euros, séparé la résolution de suppression du DPS, et précisé la durée de la délégation (dix-huit mois). v2 ci-jointe.</w:t>
      </w:r>
    </w:p>
    <w:p w14:paraId="6AFD26D2">
      <w:pPr>
        <w:pStyle w:val="Body"/>
      </w:pPr>
      <w:r>
        <w:t>Léa</w:t>
      </w:r>
    </w:p>
    <w:p w14:paraId="0E86224E">
      <w:pPr>
        <w:pStyle w:val="Sideheading"/>
      </w:pPr>
      <w:r>
        <w:t>De : Antoine Berthier — À : Léa Marchand — Objet : RE: Draft PV BSPCE – v2</w:t>
      </w:r>
    </w:p>
    <w:p w14:paraId="4C5FF4CB">
      <w:pPr>
        <w:pStyle w:val="Body"/>
      </w:pPr>
      <w:r>
        <w:t>Léa,</w:t>
      </w:r>
    </w:p>
    <w:p w14:paraId="500B37B4">
      <w:pPr>
        <w:pStyle w:val="Body"/>
      </w:pPr>
      <w:r>
        <w:t>C'est très solide maintenant. Deux finitions :</w:t>
      </w:r>
    </w:p>
    <w:p w14:paraId="4FB98498">
      <w:pPr>
        <w:pStyle w:val="Body"/>
      </w:pPr>
      <w:r>
        <w:t>Précise dans la résolution de délégation le périmètre exact des pouvoirs (bénéficiaires, nombre de bons par bénéficiaire, conditions d'acquisition et de performance), pas seulement « le pouvoir de déterminer les bénéficiaires ». Un délégué doit toujours agir dans un cadre précisément borné par l'assemblée.</w:t>
      </w:r>
    </w:p>
    <w:p w14:paraId="0DD773E3">
      <w:pPr>
        <w:pStyle w:val="Body"/>
      </w:pPr>
      <w:r>
        <w:t>Ajoute, dans l'exposé du Président, la justification du prix d'exercice par référence à la dernière valorisation connue (ici, la dernière augmentation de capital) : c'est l'élément qui protège le bénéficiaire contre un risque de requalification fiscale si l'administration considère que le prix était sous-évalué.</w:t>
      </w:r>
    </w:p>
    <w:p w14:paraId="08175BB0">
      <w:pPr>
        <w:pStyle w:val="Body"/>
      </w:pPr>
      <w:r>
        <w:t>Sur ce type de dossier, sache que le marché actuel pour les BSPCE dans les sociétés tech en phase de croissance prévoit quasi systématiquement un vesting sur quatre ans avec un « cliff » d'un an (rien n'est acquis avant un an de présence, puis acquisition mensuelle ou trimestrielle ensuite), et une clause de « good leaver / bad leaver » déterminant le sort des bons non exercés en cas de départ. Ce n'est pas traité dans ce PV d'autorisation — ce sera à préciser dans la décision d'attribution individuelle qui suit — mais préviens toujours le client de cet usage de marché dès ce stade, pour qu'il calibre sa politique d'attribution en cohérence avec les standards du secteur.</w:t>
      </w:r>
    </w:p>
    <w:p w14:paraId="591CB882">
      <w:pPr>
        <w:pStyle w:val="Body"/>
      </w:pPr>
      <w:r>
        <w:t>Version validée.</w:t>
      </w:r>
    </w:p>
    <w:p w14:paraId="326F5E08">
      <w:pPr>
        <w:pStyle w:val="Body"/>
      </w:pPr>
      <w:r>
        <w:t>Antoine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