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6145750B">
      <w:pPr>
        <w:pStyle w:val="Title"/>
      </w:pPr>
      <w:r>
        <w:t>Hélianthe Technologies</w:t>
      </w:r>
    </w:p>
    <w:p w14:paraId="78736FE6">
      <w:pPr>
        <w:pStyle w:val="Body"/>
      </w:pPr>
      <w:r>
        <w:t>SAS — PV AG du 14 février 2025</w:t>
      </w:r>
    </w:p>
    <w:p w14:paraId="7F802EEA">
      <w:pPr>
        <w:pStyle w:val="Sideheading"/>
      </w:pPr>
      <w:r>
        <w:t>Procès-verbal — Incorporation de réserves</w:t>
      </w:r>
    </w:p>
    <w:p w14:paraId="6FFB2039">
      <w:pPr>
        <w:pStyle w:val="Body"/>
      </w:pPr>
      <w:r>
        <w:t>Le 14 février 2025, les associés se sont réunis.</w:t>
      </w:r>
    </w:p>
    <w:p w14:paraId="09B1F8F8">
      <w:pPr>
        <w:pStyle w:val="Body"/>
      </w:pPr>
      <w:r>
        <w:t>M. Vasseur préside.</w:t>
      </w:r>
    </w:p>
    <w:p w14:paraId="5E16E989">
      <w:pPr>
        <w:pStyle w:val="Body"/>
      </w:pPr>
      <w:r>
        <w:t>Ordre du jour : augmentation de capital par incorporation de réserves.</w:t>
      </w:r>
    </w:p>
    <w:p w14:paraId="1A1F6D77">
      <w:pPr>
        <w:pStyle w:val="Sideheading"/>
      </w:pPr>
      <w:r>
        <w:t>Première résolution</w:t>
      </w:r>
    </w:p>
    <w:p w14:paraId="3B4E89DD">
      <w:pPr>
        <w:pStyle w:val="Body"/>
      </w:pPr>
      <w:r>
        <w:t>L'assemblée décide d'augmenter le capital social par incorporation d'une partie des réserves disponibles de la société, pour un montant de 34 620 euros.</w:t>
      </w:r>
    </w:p>
    <w:p w14:paraId="678AD299">
      <w:pPr>
        <w:pStyle w:val="Body"/>
      </w:pPr>
      <w:r>
        <w:t>Cette résolution est adoptée.</w:t>
      </w:r>
    </w:p>
    <w:p w14:paraId="5EB67D22">
      <w:pPr>
        <w:pStyle w:val="Sideheading"/>
      </w:pPr>
      <w:r>
        <w:t>Deuxième résolution</w:t>
      </w:r>
    </w:p>
    <w:p w14:paraId="14093463">
      <w:pPr>
        <w:pStyle w:val="Body"/>
      </w:pPr>
      <w:r>
        <w:t>Les statuts sont modifiés.</w:t>
      </w:r>
    </w:p>
    <w:p w14:paraId="04DA9E1A">
      <w:pPr>
        <w:pStyle w:val="Body"/>
      </w:pPr>
      <w:r>
        <w:t>Cette résolution est adoptée.</w:t>
      </w:r>
    </w:p>
    <w:p w14:paraId="349EE185">
      <w:pPr>
        <w:pStyle w:val="Body"/>
      </w:pPr>
      <w:r>
        <w:t>La séance est levée.</w:t>
      </w:r>
    </w:p>
    <w:p w14:paraId="039242CA">
      <w:pPr>
        <w:pStyle w:val="Sideheading"/>
      </w:pPr>
      <w:r>
        <w:t>Signatures</w:t>
      </w:r>
    </w:p>
    <w:p w14:paraId="601F959E">
      <w:pPr>
        <w:pStyle w:val="Body"/>
      </w:pPr>
      <w:r>
        <w:t>M. Antoine Vasseur</w:t>
      </w:r>
    </w:p>
    <w:p w14:paraId="381AF78E">
      <w:pPr>
        <w:pStyle w:val="Body"/>
      </w:pPr>
      <w:r>
        <w:t>Mme Camille Ferrand</w:t>
      </w:r>
    </w:p>
    <w:p w14:paraId="5C8456F6">
      <w:pPr>
        <w:pStyle w:val="Body"/>
      </w:pPr>
      <w:r>
        <w:t>Lumen Capital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