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1A243AA8">
      <w:pPr>
        <w:pStyle w:val="Title"/>
      </w:pPr>
      <w:r>
        <w:t>Hélianthe Technologies</w:t>
      </w:r>
    </w:p>
    <w:p w14:paraId="2F8F8234">
      <w:pPr>
        <w:pStyle w:val="Body"/>
      </w:pPr>
      <w:r>
        <w:t>Société par Actions Simplifiée au capital de 69 240 euros</w:t>
      </w:r>
    </w:p>
    <w:p w14:paraId="113544CF">
      <w:pPr>
        <w:pStyle w:val="Body"/>
      </w:pPr>
      <w:r>
        <w:t>Siège social : 12 avenue de la République, 75011 Paris</w:t>
      </w:r>
    </w:p>
    <w:p w14:paraId="0059FEE6">
      <w:pPr>
        <w:pStyle w:val="Body"/>
      </w:pPr>
      <w:r>
        <w:t>892 345 678 R.C.S. Paris</w:t>
      </w:r>
    </w:p>
    <w:p w14:paraId="0C3853E2">
      <w:pPr>
        <w:pStyle w:val="Sideheading"/>
      </w:pPr>
      <w:r>
        <w:t>Procès-verbal de l'Assemblée Générale Extraordinaire du 14 février 2025</w:t>
      </w:r>
    </w:p>
    <w:p w14:paraId="2BC65816">
      <w:pPr>
        <w:pStyle w:val="Body"/>
      </w:pPr>
      <w:r>
        <w:t>L'an deux mille vingt-cinq, le 14 février, à 14 heures,</w:t>
      </w:r>
    </w:p>
    <w:p w14:paraId="56510F46">
      <w:pPr>
        <w:pStyle w:val="Body"/>
      </w:pPr>
      <w:r>
        <w:t xml:space="preserve">Les associés de la société Hélianthe Technologies (la </w:t>
      </w:r>
      <w:r>
        <w:rPr>
          <w:b/>
        </w:rPr>
        <w:t>Société</w:t>
      </w:r>
      <w:r>
        <w:t>) se sont réunis en assemblée générale extraordinaire au siège social, sur convocation régulière du Président.</w:t>
      </w:r>
    </w:p>
    <w:p w14:paraId="117FD25A">
      <w:pPr>
        <w:pStyle w:val="Body"/>
      </w:pPr>
      <w:r>
        <w:t>Étaient présents ou représentés : M. Antoine Vasseur (4 124 actions), Mme Camille Ferrand (1 200 actions), la société Lumen Capital représentée par M. Julien Roussel (800 actions), soit l'intégralité des 6 924 actions composant le capital social.</w:t>
      </w:r>
    </w:p>
    <w:p w14:paraId="64001B09">
      <w:pPr>
        <w:pStyle w:val="Body"/>
      </w:pPr>
      <w:r>
        <w:t>Mme Camille Ferrand, Directrice Générale, assiste à l'assemblée sans voix délibérative à ce titre. M. Antoine Vasseur assure la présidence de l'assemblée.</w:t>
      </w:r>
    </w:p>
    <w:p w14:paraId="0E9FF780">
      <w:pPr>
        <w:pStyle w:val="Body"/>
      </w:pPr>
      <w:r>
        <w:t>Ordre du jour :</w:t>
      </w:r>
    </w:p>
    <w:p w14:paraId="61CABCF7">
      <w:pPr>
        <w:pStyle w:val="Bullet1"/>
      </w:pPr>
      <w:r>
        <w:t>Augmentation de capital par incorporation de réserves ;</w:t>
      </w:r>
    </w:p>
    <w:p w14:paraId="08DB1E1F">
      <w:pPr>
        <w:pStyle w:val="Bullet1"/>
      </w:pPr>
      <w:r>
        <w:t>Modification corrélative des statuts ;</w:t>
      </w:r>
    </w:p>
    <w:p w14:paraId="787D210B">
      <w:pPr>
        <w:pStyle w:val="Bullet1"/>
      </w:pPr>
      <w:r>
        <w:t>Pouvoirs.</w:t>
      </w:r>
    </w:p>
    <w:p w14:paraId="57702934">
      <w:pPr>
        <w:pStyle w:val="Body"/>
      </w:pPr>
      <w:r>
        <w:t>Le Président rappelle que le rapport de gestion fait apparaître un poste « Réserve facultative » d'un montant de 40 000 euros, alimenté par les résultats bénéficiaires des exercices clos les 31 décembre 2022 et 31 décembre 2023.</w:t>
      </w:r>
    </w:p>
    <w:p w14:paraId="2D5B1CC4">
      <w:pPr>
        <w:pStyle w:val="Body"/>
      </w:pPr>
      <w:r>
        <w:t>Il propose d'incorporer une partie de cette réserve au capital social, sans création d'actions nouvelles, par voie d'élévation de la valeur nominale des actions existantes.</w:t>
      </w:r>
    </w:p>
    <w:p w14:paraId="42CDD0B4">
      <w:pPr>
        <w:pStyle w:val="Sideheading"/>
      </w:pPr>
      <w:r>
        <w:t>Première résolution — Augmentation de capital par incorporation de réserves</w:t>
      </w:r>
    </w:p>
    <w:p w14:paraId="7C2A8D41">
      <w:pPr>
        <w:pStyle w:val="Body"/>
      </w:pPr>
      <w:r>
        <w:t>L'assemblée générale décide d'augmenter le capital social d'une somme de 34 620 euros par prélèvement sur le compte « Réserve facultative », pour porter le capital social de 69 240 euros à 103 860 euros, sans création d'actions nouvelles, par élévation de la valeur nominale des 6 924 actions existantes de 10 euros à 15 euros chacune.</w:t>
      </w:r>
    </w:p>
    <w:p w14:paraId="372E08C8">
      <w:pPr>
        <w:pStyle w:val="Body"/>
      </w:pPr>
      <w:r>
        <w:t>Cette résolution est adoptée à l'unanimité.</w:t>
      </w:r>
    </w:p>
    <w:p w14:paraId="61FCECF3">
      <w:pPr>
        <w:pStyle w:val="Sideheading"/>
      </w:pPr>
      <w:r>
        <w:t>Deuxième résolution — Modification corrélative des statuts</w:t>
      </w:r>
    </w:p>
    <w:p w14:paraId="48FD0D10">
      <w:pPr>
        <w:pStyle w:val="Body"/>
      </w:pPr>
      <w:r>
        <w:t>L'article 7 (Capital social) des statuts est modifié comme suit :</w:t>
      </w:r>
    </w:p>
    <w:p w14:paraId="47700D6D">
      <w:pPr>
        <w:pStyle w:val="Body1"/>
      </w:pPr>
      <w:r>
        <w:t>« Le capital social est fixé à la somme de 103 860 euros. Il est divisé en 6 924 actions de 15 euros de valeur nominale chacune, intégralement souscrites et libérées. »</w:t>
      </w:r>
    </w:p>
    <w:p w14:paraId="2C8F81D5">
      <w:pPr>
        <w:pStyle w:val="Body"/>
      </w:pPr>
      <w:r>
        <w:t>Cette résolution est adoptée à l'unanimité.</w:t>
      </w:r>
    </w:p>
    <w:p w14:paraId="450DA4EF">
      <w:pPr>
        <w:pStyle w:val="Sideheading"/>
      </w:pPr>
      <w:r>
        <w:t>Troisième résolution — Pouvoirs</w:t>
      </w:r>
    </w:p>
    <w:p w14:paraId="68FEBFE7">
      <w:pPr>
        <w:pStyle w:val="Body"/>
      </w:pPr>
      <w:r>
        <w:t>Tous pouvoirs sont donnés au Président pour effectuer les formalités de publicité et de dépôt consécutives aux présentes décisions auprès du greffe du Tribunal de commerce de Paris.</w:t>
      </w:r>
    </w:p>
    <w:p w14:paraId="74CDAB93">
      <w:pPr>
        <w:pStyle w:val="Body"/>
      </w:pPr>
      <w:r>
        <w:t>Cette résolution est adoptée à l'unanimité.</w:t>
      </w:r>
    </w:p>
    <w:p w14:paraId="64A6A188">
      <w:pPr>
        <w:pStyle w:val="Body"/>
      </w:pPr>
      <w:r>
        <w:t>Plus rien n'étant à l'ordre du jour, la séance est levée.</w:t>
      </w:r>
    </w:p>
    <w:p w14:paraId="3B7E5C99">
      <w:pPr>
        <w:pStyle w:val="Sideheading"/>
      </w:pPr>
      <w:r>
        <w:t>Signatures</w:t>
      </w:r>
    </w:p>
    <w:p w14:paraId="39CB2787">
      <w:pPr>
        <w:pStyle w:val="Body"/>
      </w:pPr>
      <w:r>
        <w:t>M. Antoine Vasseur, Président</w:t>
      </w:r>
    </w:p>
    <w:p w14:paraId="618DB25C">
      <w:pPr>
        <w:pStyle w:val="Body"/>
      </w:pPr>
      <w:r>
        <w:t>Mme Camille Ferrand, Associée</w:t>
      </w:r>
    </w:p>
    <w:p w14:paraId="007E104F">
      <w:pPr>
        <w:pStyle w:val="Body"/>
      </w:pPr>
      <w:r>
        <w:t>La société Lumen Capital, représentée par M. Julien Roussel, Associée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