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573F35C9">
      <w:pPr>
        <w:pStyle w:val="Title"/>
      </w:pPr>
      <w:r>
        <w:t>Hélianthe Technologies</w:t>
      </w:r>
    </w:p>
    <w:p w14:paraId="75DA952A">
      <w:pPr>
        <w:pStyle w:val="Body"/>
      </w:pPr>
      <w:r>
        <w:t>SAS — PV AG du 3 avril 2025</w:t>
      </w:r>
    </w:p>
    <w:p w14:paraId="6002D436">
      <w:pPr>
        <w:pStyle w:val="Sideheading"/>
      </w:pPr>
      <w:r>
        <w:t>Procès-verbal — Réduction de capital</w:t>
      </w:r>
    </w:p>
    <w:p w14:paraId="36C5C61B">
      <w:pPr>
        <w:pStyle w:val="Body"/>
      </w:pPr>
      <w:r>
        <w:t>Les associés se sont réunis le 3 avril 2025.</w:t>
      </w:r>
    </w:p>
    <w:p w14:paraId="23D38DE2">
      <w:pPr>
        <w:pStyle w:val="Body"/>
      </w:pPr>
      <w:r>
        <w:t>M. Vasseur préside la séance.</w:t>
      </w:r>
    </w:p>
    <w:p w14:paraId="4EE3472D">
      <w:pPr>
        <w:pStyle w:val="Body"/>
      </w:pPr>
      <w:r>
        <w:t>Ordre du jour : réduction du capital social.</w:t>
      </w:r>
    </w:p>
    <w:p w14:paraId="7BF3FD65">
      <w:pPr>
        <w:pStyle w:val="Body"/>
      </w:pPr>
      <w:r>
        <w:t>Le Président indique que la société a subi des pertes et qu'il convient de réduire le capital social en conséquence.</w:t>
      </w:r>
    </w:p>
    <w:p w14:paraId="6AA0423F">
      <w:pPr>
        <w:pStyle w:val="Sideheading"/>
      </w:pPr>
      <w:r>
        <w:t>Première résolution</w:t>
      </w:r>
    </w:p>
    <w:p w14:paraId="3982E56A">
      <w:pPr>
        <w:pStyle w:val="Body"/>
      </w:pPr>
      <w:r>
        <w:t>L'assemblée décide de réduire le capital social d'un montant de 34 620 euros, pour le ramener à 69 240 euros.</w:t>
      </w:r>
    </w:p>
    <w:p w14:paraId="548C3234">
      <w:pPr>
        <w:pStyle w:val="Body"/>
      </w:pPr>
      <w:r>
        <w:t>Cette résolution est adoptée.</w:t>
      </w:r>
    </w:p>
    <w:p w14:paraId="699064B2">
      <w:pPr>
        <w:pStyle w:val="Sideheading"/>
      </w:pPr>
      <w:r>
        <w:t>Deuxième résolution</w:t>
      </w:r>
    </w:p>
    <w:p w14:paraId="28B0D889">
      <w:pPr>
        <w:pStyle w:val="Body"/>
      </w:pPr>
      <w:r>
        <w:t>Les statuts sont modifiés en conséquence.</w:t>
      </w:r>
    </w:p>
    <w:p w14:paraId="44B1DA5E">
      <w:pPr>
        <w:pStyle w:val="Body"/>
      </w:pPr>
      <w:r>
        <w:t>Cette résolution est adoptée.</w:t>
      </w:r>
    </w:p>
    <w:p w14:paraId="255D7FFE">
      <w:pPr>
        <w:pStyle w:val="Body"/>
      </w:pPr>
      <w:r>
        <w:t>La séance est levée.</w:t>
      </w:r>
    </w:p>
    <w:p w14:paraId="716ED502">
      <w:pPr>
        <w:pStyle w:val="Sideheading"/>
      </w:pPr>
      <w:r>
        <w:t>Signatures</w:t>
      </w:r>
    </w:p>
    <w:p w14:paraId="12B072F6">
      <w:pPr>
        <w:pStyle w:val="Body"/>
      </w:pPr>
      <w:r>
        <w:t>M. Antoine Vasseur</w:t>
      </w:r>
    </w:p>
    <w:p w14:paraId="2FFAECF8">
      <w:pPr>
        <w:pStyle w:val="Body"/>
      </w:pPr>
      <w:r>
        <w:t>Mme Camille Ferrand</w:t>
      </w:r>
    </w:p>
    <w:p w14:paraId="17D554E8">
      <w:pPr>
        <w:pStyle w:val="Body"/>
      </w:pPr>
      <w:r>
        <w:t>Lumen Capital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