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14:paraId="490D2599">
      <w:pPr>
        <w:pStyle w:val="Title"/>
      </w:pPr>
      <w:r>
        <w:t>Hélianthe Technologies</w:t>
      </w:r>
    </w:p>
    <w:p w14:paraId="22252531">
      <w:pPr>
        <w:pStyle w:val="Body"/>
      </w:pPr>
      <w:r>
        <w:t>Société par Actions Simplifiée au capital de 103 860 euros</w:t>
      </w:r>
    </w:p>
    <w:p w14:paraId="1503B548">
      <w:pPr>
        <w:pStyle w:val="Body"/>
      </w:pPr>
      <w:r>
        <w:t>Siège social : 12 avenue de la République, 75011 Paris</w:t>
      </w:r>
    </w:p>
    <w:p w14:paraId="37F05396">
      <w:pPr>
        <w:pStyle w:val="Body"/>
      </w:pPr>
      <w:r>
        <w:t>892 345 678 R.C.S. Paris</w:t>
      </w:r>
    </w:p>
    <w:p w14:paraId="49575C5C">
      <w:pPr>
        <w:pStyle w:val="Sideheading"/>
      </w:pPr>
      <w:r>
        <w:t>Procès-verbal de l'Assemblée Générale Extraordinaire du 3 avril 2025</w:t>
      </w:r>
    </w:p>
    <w:p w14:paraId="7876B051">
      <w:pPr>
        <w:pStyle w:val="Body"/>
      </w:pPr>
      <w:r>
        <w:t>L'an deux mille vingt-cinq, le 3 avril, à 10 heures,</w:t>
      </w:r>
    </w:p>
    <w:p w14:paraId="29404C7C">
      <w:pPr>
        <w:pStyle w:val="Body"/>
      </w:pPr>
      <w:r>
        <w:t xml:space="preserve">Les associés de la société Hélianthe Technologies (la </w:t>
      </w:r>
      <w:r>
        <w:rPr>
          <w:b/>
        </w:rPr>
        <w:t>Société</w:t>
      </w:r>
      <w:r>
        <w:t>) se sont réunis en assemblée générale extraordinaire au siège social, sur convocation régulière du Président.</w:t>
      </w:r>
    </w:p>
    <w:p w14:paraId="6B2B4ADE">
      <w:pPr>
        <w:pStyle w:val="Body"/>
      </w:pPr>
      <w:r>
        <w:t>Étaient présents ou représentés : M. Antoine Vasseur (4 124 actions), Mme Camille Ferrand (1 200 actions), la société Lumen Capital représentée par M. Julien Roussel (800 actions), les titulaires de BSPCE n'ayant pas qualité d'associé et ne prenant pas part au vote, soit l'intégralité des 6 924 actions composant le capital social représentée.</w:t>
      </w:r>
    </w:p>
    <w:p w14:paraId="7CE31DDA">
      <w:pPr>
        <w:pStyle w:val="Body"/>
      </w:pPr>
      <w:r>
        <w:t>M. Antoine Vasseur assure la présidence de l'assemblée.</w:t>
      </w:r>
    </w:p>
    <w:p w14:paraId="721D2673">
      <w:pPr>
        <w:pStyle w:val="Body"/>
      </w:pPr>
      <w:r>
        <w:t>Ordre du jour :</w:t>
      </w:r>
    </w:p>
    <w:p w14:paraId="26756871">
      <w:pPr>
        <w:pStyle w:val="Bullet1"/>
      </w:pPr>
      <w:r>
        <w:t>Constatation des pertes figurant au bilan de l'exercice clos le 31 décembre 2024 ;</w:t>
      </w:r>
    </w:p>
    <w:p w14:paraId="08208A04">
      <w:pPr>
        <w:pStyle w:val="Bullet1"/>
      </w:pPr>
      <w:r>
        <w:t>Réduction du capital social motivée par des pertes ;</w:t>
      </w:r>
    </w:p>
    <w:p w14:paraId="67B47228">
      <w:pPr>
        <w:pStyle w:val="Bullet1"/>
      </w:pPr>
      <w:r>
        <w:t>Modification corrélative des statuts ;</w:t>
      </w:r>
    </w:p>
    <w:p w14:paraId="35E43619">
      <w:pPr>
        <w:pStyle w:val="Bullet1"/>
      </w:pPr>
      <w:r>
        <w:t>Pouvoirs.</w:t>
      </w:r>
    </w:p>
    <w:p w14:paraId="3DF3D784">
      <w:pPr>
        <w:pStyle w:val="Body"/>
      </w:pPr>
      <w:r>
        <w:t>Le Président expose que les comptes annuels de l'exercice clos le 31 décembre 2024 font apparaître une perte nette de 45 000 euros, imputable notamment aux coûts de développement engagés à la suite du transfert de siège social et de l'extension de l'objet social de la Société.</w:t>
      </w:r>
    </w:p>
    <w:p w14:paraId="3D6BAEC0">
      <w:pPr>
        <w:pStyle w:val="Body"/>
      </w:pPr>
      <w:r>
        <w:t>Afin d'apurer ces pertes et d'assainir la situation nette de la Société, il propose de réduire le capital social d'un montant de 34 620 euros par voie de réduction de la valeur nominale des actions.</w:t>
      </w:r>
    </w:p>
    <w:p w14:paraId="69B3718E">
      <w:pPr>
        <w:pStyle w:val="Sideheading"/>
      </w:pPr>
      <w:r>
        <w:t>Première résolution — Constatation des pertes</w:t>
      </w:r>
    </w:p>
    <w:p w14:paraId="6C1A12D3">
      <w:pPr>
        <w:pStyle w:val="Body"/>
      </w:pPr>
      <w:r>
        <w:t>L'assemblée générale constate que les comptes de l'exercice clos le 31 décembre 2024 font apparaître des pertes reportées d'un montant de 45 000 euros.</w:t>
      </w:r>
    </w:p>
    <w:p w14:paraId="53DE7623">
      <w:pPr>
        <w:pStyle w:val="Body"/>
      </w:pPr>
      <w:r>
        <w:t>Cette résolution est adoptée à l'unanimité.</w:t>
      </w:r>
    </w:p>
    <w:p w14:paraId="38276FE8">
      <w:pPr>
        <w:pStyle w:val="Sideheading"/>
      </w:pPr>
      <w:r>
        <w:t>Deuxième résolution — Réduction de capital motivée par des pertes</w:t>
      </w:r>
    </w:p>
    <w:p w14:paraId="5866C1BD">
      <w:pPr>
        <w:pStyle w:val="Body"/>
      </w:pPr>
      <w:r>
        <w:t>L'assemblée générale décide de réduire le capital social d'une somme de 34 620 euros, motivée par les pertes constatées, pour le ramener de 103 860 euros à 69 240 euros, par voie de réduction de la valeur nominale des 6 924 actions existantes de 15 euros à 10 euros chacune, sans modification du nombre d'actions composant le capital social. Les sommes correspondantes sont affectées à l'apurement des pertes reportées.</w:t>
      </w:r>
    </w:p>
    <w:p w14:paraId="5BBEF2CE">
      <w:pPr>
        <w:pStyle w:val="Body"/>
      </w:pPr>
      <w:r>
        <w:t>L'assemblée générale prend acte que cette réduction, étant motivée par des pertes, n'ouvre pas de droit d'opposition aux créanciers de la Société en application de l'article L. 225-204 du Code de commerce.</w:t>
      </w:r>
    </w:p>
    <w:p w14:paraId="36B30E11">
      <w:pPr>
        <w:pStyle w:val="Body"/>
      </w:pPr>
      <w:r>
        <w:t>Cette résolution est adoptée à l'unanimité.</w:t>
      </w:r>
    </w:p>
    <w:p w14:paraId="67EA49F3">
      <w:pPr>
        <w:pStyle w:val="Sideheading"/>
      </w:pPr>
      <w:r>
        <w:t>Troisième résolution — Modification corrélative des statuts</w:t>
      </w:r>
    </w:p>
    <w:p w14:paraId="186CC3E6">
      <w:pPr>
        <w:pStyle w:val="Body"/>
      </w:pPr>
      <w:r>
        <w:t>L'article 7 (Capital social) des statuts est modifié comme suit :</w:t>
      </w:r>
    </w:p>
    <w:p w14:paraId="1F13C0F4">
      <w:pPr>
        <w:pStyle w:val="Body1"/>
      </w:pPr>
      <w:r>
        <w:t>« Le capital social est fixé à la somme de 69 240 euros. Il est divisé en 6 924 actions de 10 euros de valeur nominale chacune, intégralement souscrites et libérées. »</w:t>
      </w:r>
    </w:p>
    <w:p w14:paraId="1C004F63">
      <w:pPr>
        <w:pStyle w:val="Body"/>
      </w:pPr>
      <w:r>
        <w:t>Cette résolution est adoptée à l'unanimité.</w:t>
      </w:r>
    </w:p>
    <w:p w14:paraId="3D8A6F44">
      <w:pPr>
        <w:pStyle w:val="Sideheading"/>
      </w:pPr>
      <w:r>
        <w:t>Quatrième résolution — Pouvoirs</w:t>
      </w:r>
    </w:p>
    <w:p w14:paraId="2FBBB162">
      <w:pPr>
        <w:pStyle w:val="Body"/>
      </w:pPr>
      <w:r>
        <w:t>Tous pouvoirs sont donnés au Président pour effectuer les formalités de publicité et de dépôt afférentes aux présentes décisions auprès du greffe du Tribunal de commerce de Paris.</w:t>
      </w:r>
    </w:p>
    <w:p w14:paraId="3511CDC6">
      <w:pPr>
        <w:pStyle w:val="Body"/>
      </w:pPr>
      <w:r>
        <w:t>Cette résolution est adoptée à l'unanimité.</w:t>
      </w:r>
    </w:p>
    <w:p w14:paraId="6E4120D5">
      <w:pPr>
        <w:pStyle w:val="Body"/>
      </w:pPr>
      <w:r>
        <w:t>Plus rien n'étant à l'ordre du jour, la séance est levée.</w:t>
      </w:r>
    </w:p>
    <w:p w14:paraId="71B4A2FD">
      <w:pPr>
        <w:pStyle w:val="Sideheading"/>
      </w:pPr>
      <w:r>
        <w:t>Signatures</w:t>
      </w:r>
    </w:p>
    <w:p w14:paraId="095EBEC1">
      <w:pPr>
        <w:pStyle w:val="Body"/>
      </w:pPr>
      <w:r>
        <w:t>M. Antoine Vasseur, Président</w:t>
      </w:r>
    </w:p>
    <w:p w14:paraId="21D52720">
      <w:pPr>
        <w:pStyle w:val="Body"/>
      </w:pPr>
      <w:r>
        <w:t>Mme Camille Ferrand, Associée</w:t>
      </w:r>
    </w:p>
    <w:p w14:paraId="2712E050">
      <w:pPr>
        <w:pStyle w:val="Body"/>
      </w:pPr>
      <w:r>
        <w:t>La société Lumen Capital, représentée par M. Julien Roussel, Associée</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