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070031CE">
      <w:pPr>
        <w:pStyle w:val="Title"/>
      </w:pPr>
      <w:r>
        <w:t>Hélianthe Technologies</w:t>
      </w:r>
    </w:p>
    <w:p w14:paraId="1D66AFC0">
      <w:pPr>
        <w:pStyle w:val="Body"/>
      </w:pPr>
      <w:r>
        <w:t>SAS — PV AG du 20 juin 2025</w:t>
      </w:r>
    </w:p>
    <w:p w14:paraId="7CBAD53E">
      <w:pPr>
        <w:pStyle w:val="Sideheading"/>
      </w:pPr>
      <w:r>
        <w:t>Procès-verbal — Rachat d'actions et réduction de capital</w:t>
      </w:r>
    </w:p>
    <w:p w14:paraId="45732510">
      <w:pPr>
        <w:pStyle w:val="Body"/>
      </w:pPr>
      <w:r>
        <w:t>Les associés se sont réunis le 20 juin 2025.</w:t>
      </w:r>
    </w:p>
    <w:p w14:paraId="19AC8133">
      <w:pPr>
        <w:pStyle w:val="Body"/>
      </w:pPr>
      <w:r>
        <w:t>M. Vasseur préside.</w:t>
      </w:r>
    </w:p>
    <w:p w14:paraId="7D2E67A8">
      <w:pPr>
        <w:pStyle w:val="Body"/>
      </w:pPr>
      <w:r>
        <w:t>Ordre du jour : rachat d'actions de Mme Ferrand et réduction de capital.</w:t>
      </w:r>
    </w:p>
    <w:p w14:paraId="10315F24">
      <w:pPr>
        <w:pStyle w:val="Sideheading"/>
      </w:pPr>
      <w:r>
        <w:t>Première résolution</w:t>
      </w:r>
    </w:p>
    <w:p w14:paraId="18A5F592">
      <w:pPr>
        <w:pStyle w:val="Body"/>
      </w:pPr>
      <w:r>
        <w:t>L'assemblée décide de racheter 400 actions à Mme Camille Ferrand et de réduire le capital social de 4 000 euros en conséquence, pour le ramener à 65 240 euros.</w:t>
      </w:r>
    </w:p>
    <w:p w14:paraId="611B626E">
      <w:pPr>
        <w:pStyle w:val="Body"/>
      </w:pPr>
      <w:r>
        <w:t>Cette résolution est adoptée à l'unanimité, y compris Mme Ferrand.</w:t>
      </w:r>
    </w:p>
    <w:p w14:paraId="024F080E">
      <w:pPr>
        <w:pStyle w:val="Sideheading"/>
      </w:pPr>
      <w:r>
        <w:t>Deuxième résolution</w:t>
      </w:r>
    </w:p>
    <w:p w14:paraId="45F3F40D">
      <w:pPr>
        <w:pStyle w:val="Body"/>
      </w:pPr>
      <w:r>
        <w:t>Les statuts sont modifiés en conséquence.</w:t>
      </w:r>
    </w:p>
    <w:p w14:paraId="2339A479">
      <w:pPr>
        <w:pStyle w:val="Body"/>
      </w:pPr>
      <w:r>
        <w:t>Cette résolution est adoptée.</w:t>
      </w:r>
    </w:p>
    <w:p w14:paraId="5F79053A">
      <w:pPr>
        <w:pStyle w:val="Body"/>
      </w:pPr>
      <w:r>
        <w:t>La séance est levée.</w:t>
      </w:r>
    </w:p>
    <w:p w14:paraId="137787CF">
      <w:pPr>
        <w:pStyle w:val="Sideheading"/>
      </w:pPr>
      <w:r>
        <w:t>Signatures</w:t>
      </w:r>
    </w:p>
    <w:p w14:paraId="6832A25A">
      <w:pPr>
        <w:pStyle w:val="Body"/>
      </w:pPr>
      <w:r>
        <w:t>M. Antoine Vasseur</w:t>
      </w:r>
    </w:p>
    <w:p w14:paraId="14D038F4">
      <w:pPr>
        <w:pStyle w:val="Body"/>
      </w:pPr>
      <w:r>
        <w:t>Mme Camille Ferrand</w:t>
      </w:r>
    </w:p>
    <w:p w14:paraId="5F14FB91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