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7A8BBD35">
      <w:pPr>
        <w:pStyle w:val="Title"/>
      </w:pPr>
      <w:r>
        <w:t>Hélianthe Technologies</w:t>
      </w:r>
    </w:p>
    <w:p w14:paraId="2A66609C">
      <w:pPr>
        <w:pStyle w:val="Body"/>
      </w:pPr>
      <w:r>
        <w:t>Société par Actions Simplifiée au capital de 58 000 euros</w:t>
      </w:r>
    </w:p>
    <w:p w14:paraId="46C3BE18">
      <w:pPr>
        <w:pStyle w:val="Body"/>
      </w:pPr>
      <w:r>
        <w:t>Siège social : 24 rue des Tanneurs, 69007 Lyon</w:t>
      </w:r>
    </w:p>
    <w:p w14:paraId="53DE3D53">
      <w:pPr>
        <w:pStyle w:val="Body"/>
      </w:pPr>
      <w:r>
        <w:t>892 345 678 R.C.S. Lyon</w:t>
      </w:r>
    </w:p>
    <w:p w14:paraId="5E66CFB9">
      <w:pPr>
        <w:pStyle w:val="Sideheading"/>
      </w:pPr>
      <w:r>
        <w:t>Procès-verbal de l'Assemblée Générale Extraordinaire du 5 septembre 2023</w:t>
      </w:r>
    </w:p>
    <w:p w14:paraId="2ACCB866">
      <w:pPr>
        <w:pStyle w:val="Body"/>
      </w:pPr>
      <w:r>
        <w:t>L'an deux mille vingt-trois, le 5 septembre, à 9 heures,</w:t>
      </w:r>
    </w:p>
    <w:p w14:paraId="59E90680">
      <w:pPr>
        <w:pStyle w:val="Body"/>
      </w:pPr>
      <w:r>
        <w:t xml:space="preserve">Les associés de la société Hélianthe Technologies (la </w:t>
      </w:r>
      <w:r>
        <w:rPr>
          <w:b/>
        </w:rPr>
        <w:t>Société</w:t>
      </w:r>
      <w:r>
        <w:t>) se sont réunis en assemblée générale extraordinaire au siège social, sur convocation régulière du Président.</w:t>
      </w:r>
    </w:p>
    <w:p w14:paraId="60A04F03">
      <w:pPr>
        <w:pStyle w:val="Body"/>
      </w:pPr>
      <w:r>
        <w:t>Étaient présents ou représentés : M. Antoine Vasseur (3 000 actions), Mme Camille Ferrand (1 200 actions), la société Lumen Capital représentée par M. Julien Roussel (800 actions), soit l'intégralité des 5 800 actions composant le capital social.</w:t>
      </w:r>
    </w:p>
    <w:p w14:paraId="5A8BE855">
      <w:pPr>
        <w:pStyle w:val="Body"/>
      </w:pPr>
      <w:r>
        <w:t>M. Antoine Vasseur assure la présidence de l'assemblée.</w:t>
      </w:r>
    </w:p>
    <w:p w14:paraId="34B339D3">
      <w:pPr>
        <w:pStyle w:val="Body"/>
      </w:pPr>
      <w:r>
        <w:t>Ordre du jour :</w:t>
      </w:r>
    </w:p>
    <w:p w14:paraId="328A0A28">
      <w:pPr>
        <w:pStyle w:val="Bullet1"/>
      </w:pPr>
      <w:r>
        <w:t>Rapport du Président sur l'émission de bons de souscription de parts de créateur d'entreprise (BSPCE) ;</w:t>
      </w:r>
    </w:p>
    <w:p w14:paraId="51C3EE91">
      <w:pPr>
        <w:pStyle w:val="Bullet1"/>
      </w:pPr>
      <w:r>
        <w:t>Autorisation d'émission de BSPCE et délégation de compétence au Président ;</w:t>
      </w:r>
    </w:p>
    <w:p w14:paraId="7EA57B2A">
      <w:pPr>
        <w:pStyle w:val="Bullet1"/>
      </w:pPr>
      <w:r>
        <w:t>Suppression du droit préférentiel de souscription des associés au profit des bénéficiaires des BSPCE ;</w:t>
      </w:r>
    </w:p>
    <w:p w14:paraId="15BF082F">
      <w:pPr>
        <w:pStyle w:val="Bullet1"/>
      </w:pPr>
      <w:r>
        <w:t>Pouvoirs.</w:t>
      </w:r>
    </w:p>
    <w:p w14:paraId="1B5B6EDB">
      <w:pPr>
        <w:pStyle w:val="Body"/>
      </w:pPr>
      <w:r>
        <w:t>Le Président expose que, conformément à l'article 163 bis G du Code général des impôts, la Société remplit les conditions requises pour émettre des bons de souscription de parts de créateur d'entreprise, notamment en ce qu'elle est immatriculée au Registre du Commerce et des Sociétés depuis moins de quinze ans, qu'elle n'est pas cotée sur un marché réglementé et que son capital n'est pas détenu à plus de 25 % par des personnes morales soumises à l'impôt sur les sociétés.</w:t>
      </w:r>
    </w:p>
    <w:p w14:paraId="2B855E4F">
      <w:pPr>
        <w:pStyle w:val="Body"/>
      </w:pPr>
      <w:r>
        <w:t>Il propose d'émettre un plafond de 200 BSPCE au profit de salariés et dirigeants de la Société, chaque bon donnant droit à la souscription d'une action nouvelle au prix d'exercice de 28 euros, correspondant à la valorisation retenue lors de la dernière augmentation de capital.</w:t>
      </w:r>
    </w:p>
    <w:p w14:paraId="7FC2C09F">
      <w:pPr>
        <w:pStyle w:val="Sideheading"/>
      </w:pPr>
      <w:r>
        <w:t>Première résolution — Autorisation d'émission de BSPCE</w:t>
      </w:r>
    </w:p>
    <w:p w14:paraId="124EE1EE">
      <w:pPr>
        <w:pStyle w:val="Body"/>
      </w:pPr>
      <w:r>
        <w:t>L'assemblée générale, statuant aux conditions de quorum et de majorité requises pour les assemblées extraordinaires, autorise l'émission d'un maximum de 200 bons de souscription de parts de créateur d'entreprise, donnant chacun droit à la souscription d'une action ordinaire nouvelle de la Société d'une valeur nominale de 10 euros, au prix d'exercice unitaire de 28 euros.</w:t>
      </w:r>
    </w:p>
    <w:p w14:paraId="6C2B629E">
      <w:pPr>
        <w:pStyle w:val="Body"/>
      </w:pPr>
      <w:r>
        <w:t>Cette résolution est adoptée à l'unanimité.</w:t>
      </w:r>
    </w:p>
    <w:p w14:paraId="0203EBE3">
      <w:pPr>
        <w:pStyle w:val="Sideheading"/>
      </w:pPr>
      <w:r>
        <w:t>Deuxième résolution — Suppression du droit préférentiel de souscription</w:t>
      </w:r>
    </w:p>
    <w:p w14:paraId="2829300F">
      <w:pPr>
        <w:pStyle w:val="Body"/>
      </w:pPr>
      <w:r>
        <w:t>L'assemblée générale décide de supprimer le droit préférentiel de souscription des associés aux actions nouvelles résultant de l'exercice des BSPCE, au profit des bénéficiaires qui seront désignés par le Président parmi les salariés et dirigeants de la Société.</w:t>
      </w:r>
    </w:p>
    <w:p w14:paraId="29194A79">
      <w:pPr>
        <w:pStyle w:val="Body"/>
      </w:pPr>
      <w:r>
        <w:t>Cette résolution est adoptée à l'unanimité.</w:t>
      </w:r>
    </w:p>
    <w:p w14:paraId="094DF88F">
      <w:pPr>
        <w:pStyle w:val="Sideheading"/>
      </w:pPr>
      <w:r>
        <w:t>Troisième résolution — Délégation de compétence au Président</w:t>
      </w:r>
    </w:p>
    <w:p w14:paraId="69C3B394">
      <w:pPr>
        <w:pStyle w:val="Body"/>
      </w:pPr>
      <w:r>
        <w:t>L'assemblée générale délègue au Président, pour une durée de dix-huit mois, tous pouvoirs à l'effet de déterminer la liste des bénéficiaires des BSPCE, le nombre de bons attribués à chacun, les conditions d'acquisition et le cas échéant les conditions de performance, ainsi que de constater la ou les augmentations de capital résultant de l'exercice des bons et de modifier corrélativement les statuts.</w:t>
      </w:r>
    </w:p>
    <w:p w14:paraId="5792CC17">
      <w:pPr>
        <w:pStyle w:val="Body"/>
      </w:pPr>
      <w:r>
        <w:t>Cette résolution est adoptée à l'unanimité.</w:t>
      </w:r>
    </w:p>
    <w:p w14:paraId="1AECFA30">
      <w:pPr>
        <w:pStyle w:val="Sideheading"/>
      </w:pPr>
      <w:r>
        <w:t>Quatrième résolution — Pouvoirs</w:t>
      </w:r>
    </w:p>
    <w:p w14:paraId="3ED17C01">
      <w:pPr>
        <w:pStyle w:val="Body"/>
      </w:pPr>
      <w:r>
        <w:t>Tous pouvoirs sont donnés au Président pour effectuer les formalités consécutives aux présentes décisions.</w:t>
      </w:r>
    </w:p>
    <w:p w14:paraId="0D76482F">
      <w:pPr>
        <w:pStyle w:val="Body"/>
      </w:pPr>
      <w:r>
        <w:t>Cette résolution est adoptée à l'unanimité.</w:t>
      </w:r>
    </w:p>
    <w:p w14:paraId="1F939E4A">
      <w:pPr>
        <w:pStyle w:val="Body"/>
      </w:pPr>
      <w:r>
        <w:t>Plus rien n'étant à l'ordre du jour, la séance est levée.</w:t>
      </w:r>
    </w:p>
    <w:p w14:paraId="2FEC7B7C">
      <w:pPr>
        <w:pStyle w:val="Sideheading"/>
      </w:pPr>
      <w:r>
        <w:t>Signatures</w:t>
      </w:r>
    </w:p>
    <w:p w14:paraId="0BB4D2C0">
      <w:pPr>
        <w:pStyle w:val="Body"/>
      </w:pPr>
      <w:r>
        <w:t>M. Antoine Vasseur, Président</w:t>
      </w:r>
    </w:p>
    <w:p w14:paraId="6EF41D22">
      <w:pPr>
        <w:pStyle w:val="Body"/>
      </w:pPr>
      <w:r>
        <w:t>Mme Camille Ferrand, Associée</w:t>
      </w:r>
    </w:p>
    <w:p w14:paraId="3EB23DD6">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