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5133CFF8">
      <w:pPr>
        <w:pStyle w:val="Title"/>
      </w:pPr>
      <w:r>
        <w:t>Hélianthe Technologies</w:t>
      </w:r>
    </w:p>
    <w:p w14:paraId="07AACCFC">
      <w:pPr>
        <w:pStyle w:val="Body"/>
      </w:pPr>
      <w:r>
        <w:t>Société par Actions Simplifiée au capital de 58 000 euros</w:t>
      </w:r>
    </w:p>
    <w:p w14:paraId="199E50AA">
      <w:pPr>
        <w:pStyle w:val="Body"/>
      </w:pPr>
      <w:r>
        <w:t>Siège social : 24 rue des Tanneurs, 69007 Lyon</w:t>
      </w:r>
    </w:p>
    <w:p w14:paraId="30EA5CA5">
      <w:pPr>
        <w:pStyle w:val="Body"/>
      </w:pPr>
      <w:r>
        <w:t>892 345 678 R.C.S. Lyon</w:t>
      </w:r>
    </w:p>
    <w:p w14:paraId="0090087D">
      <w:pPr>
        <w:pStyle w:val="Sideheading"/>
      </w:pPr>
      <w:r>
        <w:t>Décision du Président du 5 septembre 2023 — Attribution de BSPCE</w:t>
      </w:r>
    </w:p>
    <w:p w14:paraId="7F38817D">
      <w:pPr>
        <w:pStyle w:val="Body"/>
      </w:pPr>
      <w:r>
        <w:t xml:space="preserve">M. Antoine Vasseur, Président de la société Hélianthe Technologies (la </w:t>
      </w:r>
      <w:r>
        <w:rPr>
          <w:b/>
        </w:rPr>
        <w:t>Société</w:t>
      </w:r>
      <w:r>
        <w:t>), agissant en vertu de la délégation de compétence consentie par l'assemblée générale extraordinaire du 5 septembre 2023, a pris les décisions suivantes.</w:t>
      </w:r>
    </w:p>
    <w:p w14:paraId="65B4B7FD">
      <w:pPr>
        <w:pStyle w:val="Sideheading"/>
      </w:pPr>
      <w:r>
        <w:t>Décision — Attribution nominative des BSPCE</w:t>
      </w:r>
    </w:p>
    <w:p w14:paraId="15C9EC9D">
      <w:pPr>
        <w:pStyle w:val="Body"/>
      </w:pPr>
      <w:r>
        <w:t>Le Président décide d'attribuer les BSPCE aux bénéficiaires suivants :</w:t>
      </w:r>
    </w:p>
    <w:p w14:paraId="67376496">
      <w:pPr>
        <w:pStyle w:val="Bullet1"/>
      </w:pPr>
      <w:r>
        <w:t>M. Karim Belaid, Directeur technique : 80 BSPCE ;</w:t>
      </w:r>
    </w:p>
    <w:p w14:paraId="1BE74131">
      <w:pPr>
        <w:pStyle w:val="Bullet1"/>
      </w:pPr>
      <w:r>
        <w:t>Mme Sarah Cohen-Lindqvist, Responsable commerciale : 60 BSPCE ;</w:t>
      </w:r>
    </w:p>
    <w:p w14:paraId="3B527CE2">
      <w:pPr>
        <w:pStyle w:val="Bullet1"/>
      </w:pPr>
      <w:r>
        <w:t>M. Thomas Nguyen, Ingénieur logiciel senior : 40 BSPCE.</w:t>
      </w:r>
    </w:p>
    <w:p w14:paraId="1BE29EAB">
      <w:pPr>
        <w:pStyle w:val="Body"/>
      </w:pPr>
      <w:r>
        <w:t>Chaque bon donne droit à la souscription d'une action nouvelle au prix d'exercice de 28 euros.</w:t>
      </w:r>
    </w:p>
    <w:p w14:paraId="6FB2DFE1">
      <w:pPr>
        <w:pStyle w:val="Sideheading"/>
      </w:pPr>
      <w:r>
        <w:t>Signature</w:t>
      </w:r>
    </w:p>
    <w:p w14:paraId="4A0D1406">
      <w:pPr>
        <w:pStyle w:val="Body"/>
      </w:pPr>
      <w:r>
        <w:t>M. Antoine Vasseur, Président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