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79739A3A">
      <w:pPr>
        <w:pStyle w:val="Title"/>
      </w:pPr>
      <w:r>
        <w:t>Hélianthe Technologies</w:t>
      </w:r>
    </w:p>
    <w:p w14:paraId="1AAFED83">
      <w:pPr>
        <w:pStyle w:val="Body"/>
      </w:pPr>
      <w:r>
        <w:t>SAS — PV AG du 10 juin 2023</w:t>
      </w:r>
    </w:p>
    <w:p w14:paraId="30C035A2">
      <w:pPr>
        <w:pStyle w:val="Sideheading"/>
      </w:pPr>
      <w:r>
        <w:t>Procès-verbal — Approbation des comptes 2022</w:t>
      </w:r>
    </w:p>
    <w:p w14:paraId="3CCF3346">
      <w:pPr>
        <w:pStyle w:val="Body"/>
      </w:pPr>
      <w:r>
        <w:t>Les associés se sont réunis le 10 juin 2023.</w:t>
      </w:r>
    </w:p>
    <w:p w14:paraId="21D3095E">
      <w:pPr>
        <w:pStyle w:val="Body"/>
      </w:pPr>
      <w:r>
        <w:t>M. Vasseur préside.</w:t>
      </w:r>
    </w:p>
    <w:p w14:paraId="7D685C34">
      <w:pPr>
        <w:pStyle w:val="Body"/>
      </w:pPr>
      <w:r>
        <w:t>Ordre du jour : approbation des comptes de l'exercice 2022.</w:t>
      </w:r>
    </w:p>
    <w:p w14:paraId="5479B61A">
      <w:pPr>
        <w:pStyle w:val="Sideheading"/>
      </w:pPr>
      <w:r>
        <w:t>Première résolution</w:t>
      </w:r>
    </w:p>
    <w:p w14:paraId="37BFB00F">
      <w:pPr>
        <w:pStyle w:val="Body"/>
      </w:pPr>
      <w:r>
        <w:t>L'assemblée approuve les comptes de l'exercice 2022.</w:t>
      </w:r>
    </w:p>
    <w:p w14:paraId="6B383407">
      <w:pPr>
        <w:pStyle w:val="Body"/>
      </w:pPr>
      <w:r>
        <w:t>Cette résolution est adoptée.</w:t>
      </w:r>
    </w:p>
    <w:p w14:paraId="4E5D6208">
      <w:pPr>
        <w:pStyle w:val="Sideheading"/>
      </w:pPr>
      <w:r>
        <w:t>Deuxième résolution</w:t>
      </w:r>
    </w:p>
    <w:p w14:paraId="128390F9">
      <w:pPr>
        <w:pStyle w:val="Body"/>
      </w:pPr>
      <w:r>
        <w:t>Le bénéfice est affecté aux réserves.</w:t>
      </w:r>
    </w:p>
    <w:p w14:paraId="4D8A3270">
      <w:pPr>
        <w:pStyle w:val="Body"/>
      </w:pPr>
      <w:r>
        <w:t>Cette résolution est adoptée.</w:t>
      </w:r>
    </w:p>
    <w:p w14:paraId="3EE9A46A">
      <w:pPr>
        <w:pStyle w:val="Body"/>
      </w:pPr>
      <w:r>
        <w:t>La séance est levée.</w:t>
      </w:r>
    </w:p>
    <w:p w14:paraId="711CBDD9">
      <w:pPr>
        <w:pStyle w:val="Sideheading"/>
      </w:pPr>
      <w:r>
        <w:t>Signatures</w:t>
      </w:r>
    </w:p>
    <w:p w14:paraId="29284A33">
      <w:pPr>
        <w:pStyle w:val="Body"/>
      </w:pPr>
      <w:r>
        <w:t>M. Antoine Vasseur</w:t>
      </w:r>
    </w:p>
    <w:p w14:paraId="1EB43235">
      <w:pPr>
        <w:pStyle w:val="Body"/>
      </w:pPr>
      <w:r>
        <w:t>Mme Camille Ferrand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