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IM Platform</w:t>
        <w:br/>
        <w:t>Architecture Clarification</w:t>
      </w:r>
    </w:p>
    <w:p>
      <w:r>
        <w:rPr>
          <w:b/>
          <w:color w:val="385D8A"/>
          <w:sz w:val="28"/>
        </w:rPr>
        <w:t>Requirement Ingestion, Source Adapters, Validation Capabilities and Cross-Customer Validation</w:t>
      </w:r>
    </w:p>
    <w:p>
      <w:pPr>
        <w:pStyle w:val="Subtitle"/>
      </w:pPr>
      <w:r>
        <w:t>Developer / AI handoff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2026-10-09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Purpose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Make the next architecture direction unambiguous for another ChatGPT/Claude session or a software developer.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PROPOSED ARCHITECTURE CLARIFICATION / HANDOFF — no implementation authority by this document alone.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Immediate effect on frozen authorities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 Frozen bytes/contracts remain immutable.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Immediate roadmap effect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Small design clarification only; Product Workspace Slice 1 remains the current implementation priority unless Product Owner explicitly changes 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CCCC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Critical governance rule</w:t>
            </w:r>
          </w:p>
          <w:p>
            <w:pPr>
              <w:spacing w:after="0"/>
            </w:pPr>
            <w:r>
              <w:t>Do not modify S19/Core, the completed Requirement Library, Reference Authority, CI-01, G-B1, or any other FINAL/FROZEN authority to implement the ideas in this document. Any new technical behavior must be introduced through a separately scoped successor/integration with explicit acceptance and promotion.</w:t>
            </w:r>
          </w:p>
        </w:tc>
      </w:tr>
    </w:tbl>
    <w:p/>
    <w:p>
      <w:pPr>
        <w:pStyle w:val="Heading1"/>
      </w:pPr>
      <w:r>
        <w:t>1. Executive decision summary</w:t>
      </w:r>
    </w:p>
    <w:p>
      <w:r>
        <w:t>The IM Platform does not need a fundamental architectural rewrite. The customer studies for Region Blekinge, Locum and Malmö Stad confirm that the existing direction is correct: customer-specific differences belong mainly in governed Requirement Sets, Reference Sets, mappings, applicability and project context. New code is required only when a requirement needs a new technical validation capability or a new source adapter.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 / principle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interpretation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IFC requirements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the existing validation concept. Do not create customer-specific validators.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Treat IDS as an input/requirement-exchange format, not as the platform itself.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Excel / manual UI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Provide no-code ways to create governed requirements and reference data.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PDF / Word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assisted extraction to DRAFT requirements with provenance and mandatory human approval; never make a PDF-derived interpretation authoritative automatically.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RVT / DWG / PDF / Excel as source files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Implement through source adapters / specialist validators as successors, not by expanding frozen Core ad hoc.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Model Health / Geometry / MEP / Package validation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Implement as reusable validation capabilities, independent of customer.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Change Intelligence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Keep CI-01 unchanged in its frozen scope; present CI results alongside validation results in Workspace rather than merging semantics.</w:t>
            </w:r>
          </w:p>
        </w:tc>
      </w:tr>
    </w:tbl>
    <w:p/>
    <w:p>
      <w:pPr>
        <w:pStyle w:val="Heading1"/>
      </w:pPr>
      <w:r>
        <w:t>2. Current authoritative baseline and immutability boundary</w:t>
      </w:r>
    </w:p>
    <w:p>
      <w:r>
        <w:t>This document assumes the current governed IM Platform state. It is a handoff and architectural clarification, not a replacement authority. Exact hashes and evidence packages remain governed by their existing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interpretation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 for this work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Requirement Library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Completed / closed in verified scope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Reuse it. Do not rebuild or reopen frozen bytes.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Reference Authority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Existing governed foundation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Reuse for code lists and controlled vocabularies.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Validation Engine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Existing governed foundation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Reuse for supported rule semantics.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Change Intelligence CI-01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FINAL/FROZEN Slice 1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new change types; no Model Health or MEP logic inside CI.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 Workspace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next implementation track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 not delay Slice 1 for broad adapter implementation.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AIS / Verified Publish / Current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Next larger product layer after Workspace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Keep separate from requirement ingestion design.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Baseline &amp; Change Control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Roadmap after AIS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when later binding historical/identity requirements.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2CC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Fail-closed principle</w:t>
            </w:r>
          </w:p>
          <w:p>
            <w:pPr>
              <w:spacing w:after="0"/>
            </w:pPr>
            <w:r>
              <w:t>If a requirement cannot be mapped unambiguously to an existing canonical rule or a proven capability, classify it as unsupported / capability gap / manual evidence. Never silently guess a mapping or claim validation coverage.</w:t>
            </w:r>
          </w:p>
        </w:tc>
      </w:tr>
    </w:tbl>
    <w:p/>
    <w:p>
      <w:pPr>
        <w:pStyle w:val="Heading1"/>
      </w:pPr>
      <w:r>
        <w:t>3. Target architecture</w:t>
      </w:r>
    </w:p>
    <w:p>
      <w:pPr>
        <w:pStyle w:val="CodeBlock"/>
        <w:keepLines/>
        <w:shd w:fill="F3F6F8"/>
      </w:pPr>
      <w:r>
        <w:rPr>
          <w:rFonts w:ascii="Consolas" w:hAnsi="Consolas"/>
          <w:sz w:val="17"/>
        </w:rPr>
        <w:t>REQUIREMENT SOURCES</w:t>
        <w:br/>
        <w:t xml:space="preserve">  IDS | Excel template | Manual UI | PDF/Word assisted extraction | API/JSON</w:t>
        <w:br/>
        <w:t xml:space="preserve">                         |</w:t>
        <w:br/>
        <w:t xml:space="preserve">                         v</w:t>
        <w:br/>
        <w:t xml:space="preserve">              REQUIREMENT INGESTION LAYER</w:t>
        <w:br/>
        <w:t xml:space="preserve">          parse -&gt; map -&gt; validate -&gt; preview -&gt; approve</w:t>
        <w:br/>
        <w:t xml:space="preserve">                         |</w:t>
        <w:br/>
        <w:t xml:space="preserve">                         v</w:t>
        <w:br/>
        <w:t xml:space="preserve">        CANONICAL REQUIREMENT + REFERENCE AUTHORITIES</w:t>
        <w:br/>
        <w:t xml:space="preserve">                         |</w:t>
        <w:br/>
        <w:t xml:space="preserve">               APPLICABILITY / PROJECT CONTEXT</w:t>
        <w:br/>
        <w:t xml:space="preserve">                         |</w:t>
        <w:br/>
        <w:t xml:space="preserve">                         v</w:t>
        <w:br/>
        <w:t xml:space="preserve">                    ORCHESTRATOR</w:t>
        <w:br/>
        <w:t xml:space="preserve">                         |</w:t>
        <w:br/>
        <w:t xml:space="preserve">       +-----------------+------------------+</w:t>
        <w:br/>
        <w:t xml:space="preserve">       |                 |                  |</w:t>
        <w:br/>
        <w:t xml:space="preserve">       v                 v                  v</w:t>
        <w:br/>
        <w:t xml:space="preserve">  IFC/PROPERTY      IDENTITY/HISTORY    SPECIALIST CAPABILITIES</w:t>
        <w:br/>
        <w:t xml:space="preserve">  REFERENCE         CHANGE CONTEXT      RVT Native / Model Health</w:t>
        <w:br/>
        <w:t xml:space="preserve">  CLASSIFICATION                         MEP Systems</w:t>
        <w:br/>
        <w:t xml:space="preserve">                                         Geometry / Spatial</w:t>
        <w:br/>
        <w:t xml:space="preserve">                                         Delivery Package</w:t>
        <w:br/>
        <w:t xml:space="preserve">                         |</w:t>
        <w:br/>
        <w:t xml:space="preserve">                         v</w:t>
        <w:br/>
        <w:t xml:space="preserve">               ISSUES / EVIDENCE / RESULTS</w:t>
        <w:br/>
        <w:t xml:space="preserve">                         |</w:t>
        <w:br/>
        <w:t xml:space="preserve">                         v</w:t>
        <w:br/>
        <w:t xml:space="preserve">                  REVIEW / APPROVAL</w:t>
        <w:br/>
        <w:t xml:space="preserve">                         |</w:t>
        <w:br/>
        <w:t xml:space="preserve">                         v</w:t>
        <w:br/>
        <w:t xml:space="preserve">              INFORMATION PRODUCT / PUBLISH</w:t>
        <w:br/>
        <w:t xml:space="preserve">                         |</w:t>
        <w:br/>
        <w:t xml:space="preserve">                         v</w:t>
        <w:br/>
        <w:t xml:space="preserve">                    WORKSPACE / CI</w:t>
      </w:r>
    </w:p>
    <w:p>
      <w:r>
        <w:t>The central architectural rule is separation of concerns: requirement ingestion converts different authoring formats into the canonical requirement model; source adapters expose normalized information; validation capabilities execute specific rule types; governance layers bind exact source identity, requirement/reference versions, context, evidence, review and approval.</w:t>
      </w:r>
    </w:p>
    <w:p>
      <w:pPr>
        <w:pStyle w:val="Heading1"/>
      </w:pPr>
      <w:r>
        <w:t>4. Requirement ingestion layer</w:t>
      </w:r>
    </w:p>
    <w:p>
      <w:r>
        <w:t>The platform should accept several ways to author/import requirements, but every path must converge on the same canonical Requirement / Reference model. Input format must never become a parallel requirement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8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Input path</w:t>
            </w:r>
          </w:p>
        </w:tc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behavior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Initial priority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 UI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Create/edit individual requirements and controlled values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 -&gt; schema validation -&gt; preview -&gt; approval -&gt; versioned requirement set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Excel template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Bulk onboarding of customer requirements and reference lists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Strict template/schema import; row-level errors; preview; governed approval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Highest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Import standard IFC information requirements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Parse IDS facets/applicability and map to canonical rules; unsupported semantics fail closed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PDF / Word AI extraction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Accelerate onboarding from narrative specifications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Generate DRAFT only, preserve source citation/provenance, require human confirmation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Later / assisted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 / JSON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Machine-to-machine onboarding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Authenticated schema-bound import and versioning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Later</w:t>
            </w:r>
          </w:p>
        </w:tc>
      </w:tr>
    </w:tbl>
    <w:p/>
    <w:p>
      <w:pPr>
        <w:pStyle w:val="Heading2"/>
      </w:pPr>
      <w:r>
        <w:t>4.1 Canonicalization rules</w:t>
      </w:r>
    </w:p>
    <w:p>
      <w:pPr>
        <w:pStyle w:val="ListBullet"/>
        <w:spacing w:after="40"/>
      </w:pPr>
      <w:r>
        <w:t>Do not invent a second requirement schema specifically for Locum, Malmö, Region Blekinge or IDS.</w:t>
      </w:r>
    </w:p>
    <w:p>
      <w:pPr>
        <w:pStyle w:val="ListBullet"/>
        <w:spacing w:after="40"/>
      </w:pPr>
      <w:r>
        <w:t>Map customer terminology to existing canonical requirement/reference semantics when an exact mapping exists.</w:t>
      </w:r>
    </w:p>
    <w:p>
      <w:pPr>
        <w:pStyle w:val="ListBullet"/>
        <w:spacing w:after="40"/>
      </w:pPr>
      <w:r>
        <w:t>Preserve source provenance: source document/file, version, sheet/row or section, source hash when governed, and mapping decision.</w:t>
      </w:r>
    </w:p>
    <w:p>
      <w:pPr>
        <w:pStyle w:val="ListBullet"/>
        <w:spacing w:after="40"/>
      </w:pPr>
      <w:r>
        <w:t>Separate reference data (allowed codes/names/classifications) from the requirement that consumes it.</w:t>
      </w:r>
    </w:p>
    <w:p>
      <w:pPr>
        <w:pStyle w:val="ListBullet"/>
        <w:spacing w:after="40"/>
      </w:pPr>
      <w:r>
        <w:t>Applicability must be explicit: discipline, object/category/entity, stage, priority/profile, building/project context and any activation condition.</w:t>
      </w:r>
    </w:p>
    <w:p>
      <w:pPr>
        <w:pStyle w:val="ListBullet"/>
        <w:spacing w:after="40"/>
      </w:pPr>
      <w:r>
        <w:t>If the current canonical schema cannot express a validated need, open a successor design; do not patch a frozen schema.</w:t>
      </w:r>
    </w:p>
    <w:p>
      <w:pPr>
        <w:pStyle w:val="Heading1"/>
      </w:pPr>
      <w:r>
        <w:t>5. Validation Capability Registry</w:t>
      </w:r>
    </w:p>
    <w:p>
      <w:r>
        <w:t>Introduce a registry concept that tells the platform which technical capability is responsible for a requirement. This is an integration/design concept; exact schema fields must be defined against the existing canonical contracts before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 family</w:t>
            </w:r>
          </w:p>
        </w:tc>
        <w:tc>
          <w:tcPr>
            <w:tcW w:type="dxa" w:w="53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273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 / direction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IFC_PROPERTY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Required property, property set, data type, allowed value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Existing/proven concept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REFERENCE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Room name, BSAB, CoClass, code lists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Existing/proven concept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GUID/FMGUID presence, format, uniqueness, protected identity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Existing/proven foundation; historical persistence needs explicit prior state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HISTORY / CHANGE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Compare approved states and protected values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CI/state context; do not expand CI semantics silently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RVT_NATIVE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Views, sheets, phases, worksets, links, groups, shared parameter identity, purge/audit evidence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Planned successor capability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MEP_RELATIONSHIP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System membership, relations, system/type/instance scope, units/flow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Planned capability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GEOMETRY / SPATIAL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Spatial completeness, clearances, room bounds, height/area geometry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Planned capability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PACKAGE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Manifest vs actual files, required formats/versions, delivery completeness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Planned capability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PROCESS_EVIDENCE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Human/process requirements not reducible to deterministic model rule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 evidence/review path</w:t>
            </w:r>
          </w:p>
        </w:tc>
      </w:tr>
    </w:tbl>
    <w:p/>
    <w:p>
      <w:pPr>
        <w:pStyle w:val="Heading2"/>
      </w:pPr>
      <w:r>
        <w:t>5.1 Capability dispatch behavior</w:t>
      </w:r>
    </w:p>
    <w:p>
      <w:pPr>
        <w:pStyle w:val="CodeBlock"/>
        <w:keepLines/>
        <w:shd w:fill="F3F6F8"/>
      </w:pPr>
      <w:r>
        <w:rPr>
          <w:rFonts w:ascii="Consolas" w:hAnsi="Consolas"/>
          <w:sz w:val="17"/>
        </w:rPr>
        <w:t>Requirement R</w:t>
        <w:br/>
        <w:t xml:space="preserve">  -&gt; resolve exact requirement version</w:t>
        <w:br/>
        <w:t xml:space="preserve">  -&gt; resolve reference version(s)</w:t>
        <w:br/>
        <w:t xml:space="preserve">  -&gt; resolve project/building/stage context</w:t>
        <w:br/>
        <w:t xml:space="preserve">  -&gt; resolve capability_id</w:t>
        <w:br/>
        <w:t xml:space="preserve">  -&gt; verify capability is installed + version-authorized</w:t>
        <w:br/>
        <w:t xml:space="preserve">     NO  =&gt; NOT_PROVEN / UNSUPPORTED (fail closed)</w:t>
        <w:br/>
        <w:t xml:space="preserve">     YES =&gt; dispatch normalized input</w:t>
        <w:br/>
        <w:t xml:space="preserve">  -&gt; validate result schema</w:t>
        <w:br/>
        <w:t xml:space="preserve">  -&gt; bind source identity + hashes + context</w:t>
        <w:br/>
        <w:t xml:space="preserve">  -&gt; persist evidence/result separately from authority bytes</w:t>
      </w:r>
    </w:p>
    <w:p>
      <w:pPr>
        <w:pStyle w:val="Heading1"/>
      </w:pPr>
      <w:r>
        <w:t>6. Source adapter layer</w:t>
      </w:r>
    </w:p>
    <w:p>
      <w:r>
        <w:t>Source adapters answer a different question from requirements: how do we obtain trustworthy normalized information from a source file/system? A new adapter should not redefine customer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7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Adapter/source</w:t>
            </w:r>
          </w:p>
        </w:tc>
        <w:tc>
          <w:tcPr>
            <w:tcW w:type="dxa" w:w="489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Roadmap interpretation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IFC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Read/normalize model information for deterministic validation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strong path; broaden only through explicit successors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Revit native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Expose native model health and Revit-only metadata/state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Planned; high reuse for Malmö, Locum, Region Blekinge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DWG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Expose layers, blocks, xrefs, attributes, units and delivery structure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Planned legacy source adapter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PDF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Expose document metadata/text/structured evidence where appropriate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Planned; PDF is not automatically source truth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Excel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Two roles: requirement/reference import and data/delivery-list source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Requirement import should be prioritized before broad source validation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Requirement-ingestion adapter, not a source-model adapter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Prioritize after canonical import contract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GIS / point cloud / CDE/API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Future source tracks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separate and capability-driven</w:t>
            </w:r>
          </w:p>
        </w:tc>
      </w:tr>
    </w:tbl>
    <w:p/>
    <w:p>
      <w:pPr>
        <w:pStyle w:val="Heading1"/>
      </w:pPr>
      <w:r>
        <w:t>7. IDS versus IM Platform</w:t>
      </w:r>
    </w:p>
    <w:p>
      <w:r>
        <w:t>IDS is a valuable standardized way to express many IFC information requirements. It should be supported natively as an import/export boundary, but it is not a substitute for IM Platform governance, multi-source validation, review/approval or change intelligence.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46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IDS can represent / help with</w:t>
            </w:r>
          </w:p>
        </w:tc>
        <w:tc>
          <w:tcPr>
            <w:tcW w:type="dxa" w:w="54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 Platform adds beyond IDS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IFC entity applicability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Organisation/project/building/stage context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Property/property-set requirements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Requirement/reference version governance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Classification requirements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Exact source identity and hash binding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Value/datatype/cardinality constraints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Review, approval, evidence and publication gates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OpenBIM requirement exchange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State A/B comparison and identity uncertainty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Native Revit Model Health, package validation, MEP/geometry capabilities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D9EAD3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Product statement</w:t>
            </w:r>
          </w:p>
          <w:p>
            <w:pPr>
              <w:spacing w:after="0"/>
            </w:pPr>
            <w:r>
              <w:t>IM Platform should be described as: IDS-compatible information requirement validation + governed requirement/reference management + exact source/context binding + review/approval/evidence + change intelligence + extensible multi-source and specialist validation capabilities.</w:t>
            </w:r>
          </w:p>
        </w:tc>
      </w:tr>
    </w:tbl>
    <w:p/>
    <w:p>
      <w:pPr>
        <w:pStyle w:val="Heading1"/>
      </w:pPr>
      <w:r>
        <w:t>8. Cross-customer model: Region Blekinge, Locum, Malmö</w:t>
      </w:r>
    </w:p>
    <w:p>
      <w:r>
        <w:t>Customer studies support one shared engine with customer configuration packages. Do not fork code per customer.</w:t>
      </w:r>
    </w:p>
    <w:p>
      <w:pPr>
        <w:pStyle w:val="CodeBlock"/>
        <w:keepLines/>
        <w:shd w:fill="F3F6F8"/>
      </w:pPr>
      <w:r>
        <w:rPr>
          <w:rFonts w:ascii="Consolas" w:hAnsi="Consolas"/>
          <w:sz w:val="17"/>
        </w:rPr>
        <w:t xml:space="preserve">                  SAME IM PLATFORM</w:t>
        <w:br/>
        <w:t xml:space="preserve">                         |</w:t>
        <w:br/>
        <w:t xml:space="preserve">        +----------------+----------------+</w:t>
        <w:br/>
        <w:t xml:space="preserve">        |                |                |</w:t>
        <w:br/>
        <w:t xml:space="preserve"> REGION BLEKINGE       LOCUM            MALMO</w:t>
        <w:br/>
        <w:t xml:space="preserve"> Requirement Set       Requirement Set  Requirement Set</w:t>
        <w:br/>
        <w:t xml:space="preserve"> Reference Set         Reference Set    Reference Set</w:t>
        <w:br/>
        <w:t xml:space="preserve"> Mapping/Profile       Mapping/Profile  Mapping/Profile</w:t>
        <w:br/>
        <w:t xml:space="preserve"> Applicability         Applicability    Applicability</w:t>
        <w:br/>
        <w:t xml:space="preserve">        |                |                |</w:t>
        <w:br/>
        <w:t xml:space="preserve">        +----------------+----------------+</w:t>
        <w:br/>
        <w:t xml:space="preserve">                         |</w:t>
        <w:br/>
        <w:t xml:space="preserve">                 SAME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47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Customer-specific</w:t>
            </w:r>
          </w:p>
        </w:tc>
        <w:tc>
          <w:tcPr>
            <w:tcW w:type="dxa" w:w="53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Reusable product capability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Parameter names, Psets, code lists, severities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IFC property/reference validator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Discipline/category applicability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Applicability evaluator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Priority/stage/project activation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Project/validation context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Native Revit cleanup requirements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RVT Native / Model Health capability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System semantics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MEP System Validator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Room/area/geometric rules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Geometry / Spatial Validator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Required file package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Delivery Package Validator</w:t>
            </w:r>
          </w:p>
        </w:tc>
      </w:tr>
    </w:tbl>
    <w:p/>
    <w:p>
      <w:pPr>
        <w:pStyle w:val="Heading1"/>
      </w:pPr>
      <w:r>
        <w:t>9. Findings from Locum and Malmö and architectural implications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Implication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Locum has structured property tables, priorities and reference lists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Strong fit for Requirement + Reference configuration; no customer-specific engine.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Locum also requires native/source/package behaviors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Need reusable adapters/capabilities for complete delivery validation.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Malmö has extensive shared parameters, FMGUID, BIP/BSAB/SystemID applicability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Strong fit for current IFC/property/reference logic.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Malmö requires browser structure, links, phases, worksets, Model Groups, Purge/Audit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Native Revit / Model Health must be a separate reusable capability.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Malmö requires Rooms for every space, room height and area/boundary semantics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Geometry/Spatial completeness cannot be claimed from simple property checks.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Installation requirements use SystemID and object/system context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MEP relationship/unit validation needs a dedicated capability proof.</w:t>
            </w:r>
          </w:p>
        </w:tc>
      </w:tr>
    </w:tbl>
    <w:p/>
    <w:p>
      <w:pPr>
        <w:pStyle w:val="Heading1"/>
      </w:pPr>
      <w:r>
        <w:t>10. Workspace and Change Intelligence boundary</w:t>
      </w:r>
    </w:p>
    <w:p>
      <w:r>
        <w:t>Do not expand the frozen CI-01 meaning. CI remains a deterministic A/B comparison with its authorized change types. Validation and Model Health results are separate products/results that Workspace may display together.</w:t>
      </w:r>
    </w:p>
    <w:p>
      <w:pPr>
        <w:pStyle w:val="CodeBlock"/>
        <w:keepLines/>
        <w:shd w:fill="F3F6F8"/>
      </w:pPr>
      <w:r>
        <w:rPr>
          <w:rFonts w:ascii="Consolas" w:hAnsi="Consolas"/>
          <w:sz w:val="17"/>
        </w:rPr>
        <w:t>State A ---------&gt; Change Intelligence &lt;--------- State B</w:t>
        <w:br/>
        <w:t xml:space="preserve">                     ADDED</w:t>
        <w:br/>
        <w:t xml:space="preserve">                     REMOVED</w:t>
        <w:br/>
        <w:t xml:space="preserve">                     UNCHANGED</w:t>
        <w:br/>
        <w:t xml:space="preserve">                     PROPERTY_CHANGED</w:t>
        <w:br/>
        <w:t xml:space="preserve">                     IDENTITY_UNCERTAIN</w:t>
        <w:br/>
        <w:br/>
        <w:t>State B ---------&gt; Requirement Validation</w:t>
        <w:br/>
        <w:t xml:space="preserve">                  IFC / Reference / Identity</w:t>
        <w:br/>
        <w:t xml:space="preserve">                  + future Model Health / MEP / Geometry / Package</w:t>
        <w:br/>
        <w:br/>
        <w:t>Workspace --------&gt; presents both, but does not collapse their semantics.</w:t>
      </w:r>
    </w:p>
    <w:p>
      <w:pPr>
        <w:pStyle w:val="Heading1"/>
      </w:pPr>
      <w:r>
        <w:t>11. Roadmap impact</w:t>
      </w:r>
    </w:p>
    <w:p>
      <w:r>
        <w:t>The architecture clarification should not derail the current critical path. The recommended change is to add a small design/contract track now and keep broad implementation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09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Roadmap item</w:t>
            </w:r>
          </w:p>
        </w:tc>
        <w:tc>
          <w:tcPr>
            <w:tcW w:type="dxa" w:w="53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handling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Timing impact now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R1 Product Workspace Slice 1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Continue as authorized/current priority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material delay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R1A Requirement Ingestion / Capability Contract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design-only clarification and interface contract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~0.5–1 working day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R2 AIS / Verified Publish / Current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Unchanged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None from this clarification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R3 Baseline &amp; Change Control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Unchanged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None from this clarification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R4 No-code onboarding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 Excel + Manual UI + IDS + reference import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Later; estimate ~1–2 weeks for first useful foundation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R5 Source/specialist capabilities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RVT Native, DWG, PDF, Package, MEP, Geometry/Spatial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Later successors; multi-week increments</w:t>
            </w:r>
          </w:p>
        </w:tc>
      </w:tr>
    </w:tbl>
    <w:p/>
    <w:p>
      <w:r>
        <w:t>Rough planning ranges, not formal commitments: Excel/manual foundation ~1–2 weeks; IDS ~3–7 working days after canonical import contract; governed PDF-to-draft ~1–2 weeks; RVT Native ~2–4 weeks; Package ~1–2 weeks; MEP ~2–4 weeks; Geometry/Spatial ~3–6+ weeks for an initial robust scope. These tasks can be staged and do not need to block initial IFC-based product use.</w:t>
      </w:r>
    </w:p>
    <w:p>
      <w:pPr>
        <w:pStyle w:val="Heading1"/>
      </w:pPr>
      <w:r>
        <w:t>12. Implementation sequence for a developer</w:t>
      </w:r>
    </w:p>
    <w:p>
      <w:pPr>
        <w:pStyle w:val="ListNumber"/>
        <w:spacing w:after="40"/>
      </w:pPr>
      <w:r>
        <w:t>Read the exact frozen Requirement/Reference/Validation contracts and current Workspace integration authorities before writing code. Never invent field names from this document.</w:t>
      </w:r>
    </w:p>
    <w:p>
      <w:pPr>
        <w:pStyle w:val="ListNumber"/>
        <w:spacing w:after="40"/>
      </w:pPr>
      <w:r>
        <w:t>Define a design-only Requirement Ingestion contract: input identity, source provenance, mapping result, schema validation, preview, approval boundary and canonical output binding.</w:t>
      </w:r>
    </w:p>
    <w:p>
      <w:pPr>
        <w:pStyle w:val="ListNumber"/>
        <w:spacing w:after="40"/>
      </w:pPr>
      <w:r>
        <w:t>Define a design-only Capability Registry contract: stable capability identifier, version, accepted input type, result schema, availability/proof state and fail-closed behavior.</w:t>
      </w:r>
    </w:p>
    <w:p>
      <w:pPr>
        <w:pStyle w:val="ListNumber"/>
        <w:spacing w:after="40"/>
      </w:pPr>
      <w:r>
        <w:t>Implement the smallest no-code path first: Excel template import + reference-set import, producing DRAFT canonical data only until approved through the proper authority flow.</w:t>
      </w:r>
    </w:p>
    <w:p>
      <w:pPr>
        <w:pStyle w:val="ListNumber"/>
        <w:spacing w:after="40"/>
      </w:pPr>
      <w:r>
        <w:t>Add manual UI editing against the same DRAFT model; do not create a separate UI-only requirement representation.</w:t>
      </w:r>
    </w:p>
    <w:p>
      <w:pPr>
        <w:pStyle w:val="ListNumber"/>
        <w:spacing w:after="40"/>
      </w:pPr>
      <w:r>
        <w:t>Add IDS import using the same ingestion path. Map supported facets exactly; return explicit unsupported semantics instead of approximating.</w:t>
      </w:r>
    </w:p>
    <w:p>
      <w:pPr>
        <w:pStyle w:val="ListNumber"/>
        <w:spacing w:after="40"/>
      </w:pPr>
      <w:r>
        <w:t>Keep PDF/Word AI extraction as assisted DRAFT creation with source citations and human confirmation.</w:t>
      </w:r>
    </w:p>
    <w:p>
      <w:pPr>
        <w:pStyle w:val="ListNumber"/>
        <w:spacing w:after="40"/>
      </w:pPr>
      <w:r>
        <w:t>Add source/specialist capabilities as independent successors: RVT Native, Package, MEP, Geometry/Spatial, DWG/PDF as justified by real gaps.</w:t>
      </w:r>
    </w:p>
    <w:p>
      <w:pPr>
        <w:pStyle w:val="ListNumber"/>
        <w:spacing w:after="40"/>
      </w:pPr>
      <w:r>
        <w:t>Expose capability status in Workspace so a requirement can be SUPPORTED, SUPPORTED_WITH_CONTEXT, VERIFY_ADAPTER, MANUAL/EXTERNAL or CAPABILITY_GAP without pretending unsupported checks were executed.</w:t>
      </w:r>
    </w:p>
    <w:p>
      <w:pPr>
        <w:pStyle w:val="ListNumber"/>
        <w:spacing w:after="40"/>
      </w:pPr>
      <w:r>
        <w:t>For each release, preserve exact artifact identity, hashes, test/evidence packages and the acceptance/promotion/freeze transitions separately.</w:t>
      </w:r>
    </w:p>
    <w:p>
      <w:pPr>
        <w:pStyle w:val="Heading1"/>
      </w:pPr>
      <w:r>
        <w:t>13. Minimum acceptance criteria for Requirement Ingestion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9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RI-01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Same canonical output model for Excel, Manual UI and IDS paths; no parallel customer schema.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RI-02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Every imported item retains exact source identity/provenance and mapping trace.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RI-03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Unknown/unsupported fields or IDS semantics fail closed and remain visible.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RI-04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Reference lists are separate governed entities and can be version-bound by requirements.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RI-05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Applicability is explicit and deterministic; no name-based/customer-name inference.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RI-06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Import creates DRAFT until the existing governance process authorizes a Requirement Set version.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RI-07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write to FINAL/FROZEN parent bytes.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RI-08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Validation result binds exact requirement/reference versions, source identity and context.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RI-09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Capability absence produces NOT_PROVEN/UNSUPPORTED, never a false PASS.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RI-10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packages for RB/Locum/Malmö can coexist without changing engine code for ordinary property/reference rules.</w:t>
            </w:r>
          </w:p>
        </w:tc>
      </w:tr>
    </w:tbl>
    <w:p/>
    <w:p>
      <w:pPr>
        <w:pStyle w:val="Heading1"/>
      </w:pPr>
      <w:r>
        <w:t>14. Minimum acceptance criteria for Capability Registry / Orchestrator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9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CR-01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Requirement resolution cannot dispatch to a capability unless requirement, reference and context bindings are complete.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CR-02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Capability identifiers and versions are explicit; no dynamic guess based on text labels.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CR-03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Each capability returns a schema-validated result with evidence/provenance.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CR-04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Specialist capabilities cannot mutate protected source or governance authorities.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CR-05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RVT Native, MEP, Geometry and Package results remain distinct from CI change types.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CR-06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missing adapter/capability is distinguishable from a failed requirement.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CR-07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Workspace may aggregate status for presentation but source result semantics remain inspectable.</w:t>
            </w:r>
          </w:p>
        </w:tc>
      </w:tr>
    </w:tbl>
    <w:p/>
    <w:p>
      <w:pPr>
        <w:pStyle w:val="Heading1"/>
      </w:pPr>
      <w:r>
        <w:t>15. Proposed Excel requirement template contract (conceptual)</w:t>
      </w:r>
    </w:p>
    <w:p>
      <w:r>
        <w:t>This table is conceptual. Exact field names must be aligned to the existing frozen canonical schema before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 concept</w:t>
            </w:r>
          </w:p>
        </w:tc>
        <w:tc>
          <w:tcPr>
            <w:tcW w:type="dxa" w:w="47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Requirement ID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Stable source/customer requirement identifier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MAL-RUM-001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 / applicability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IFC entity/category/discipline/context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IfcSpace / A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PropertySet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Expected property set when applicable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BIP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Property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Expected property / attribute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SF_Rumsfunktion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Rule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Required / allowed / pattern / range / forbidden etc.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Datatype / unit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Expected value type and unit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Reference Set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Governed allowed-values source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MALMO_RUMSFUNKTION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Severity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STOP / WARNING / informational according governed semantics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STOP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Capability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 validator family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IFC_PROPERTY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 provenance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Document/version/section/sheet/row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Bilaga 6a v002 p17</w:t>
            </w:r>
          </w:p>
        </w:tc>
      </w:tr>
    </w:tbl>
    <w:p/>
    <w:p>
      <w:pPr>
        <w:pStyle w:val="Heading1"/>
      </w:pPr>
      <w:r>
        <w:t>16. Explicit non-goals / prohibited shortcuts</w:t>
      </w:r>
    </w:p>
    <w:p>
      <w:pPr>
        <w:pStyle w:val="ListBullet"/>
        <w:spacing w:after="40"/>
      </w:pPr>
      <w:r>
        <w:t>Do not modify frozen Core/Requirement Library/CI/G-B1 to make a new customer work.</w:t>
      </w:r>
    </w:p>
    <w:p>
      <w:pPr>
        <w:pStyle w:val="ListBullet"/>
        <w:spacing w:after="40"/>
      </w:pPr>
      <w:r>
        <w:t>Do not hard-code “Malmö”, “Locum” or “Region Blekinge” logic in generic validators.</w:t>
      </w:r>
    </w:p>
    <w:p>
      <w:pPr>
        <w:pStyle w:val="ListBullet"/>
        <w:spacing w:after="40"/>
      </w:pPr>
      <w:r>
        <w:t>Do not treat an uploaded PDF or Excel file as authoritative merely because it was parsed successfully.</w:t>
      </w:r>
    </w:p>
    <w:p>
      <w:pPr>
        <w:pStyle w:val="ListBullet"/>
        <w:spacing w:after="40"/>
      </w:pPr>
      <w:r>
        <w:t>Do not claim Model Health from IFC when the rule is inherently native Revit.</w:t>
      </w:r>
    </w:p>
    <w:p>
      <w:pPr>
        <w:pStyle w:val="ListBullet"/>
        <w:spacing w:after="40"/>
      </w:pPr>
      <w:r>
        <w:t>Do not claim spatial completeness from the existence of some IfcSpace objects without a proven spatial rule.</w:t>
      </w:r>
    </w:p>
    <w:p>
      <w:pPr>
        <w:pStyle w:val="ListBullet"/>
        <w:spacing w:after="40"/>
      </w:pPr>
      <w:r>
        <w:t>Do not treat a missing capability as PASS.</w:t>
      </w:r>
    </w:p>
    <w:p>
      <w:pPr>
        <w:pStyle w:val="ListBullet"/>
        <w:spacing w:after="40"/>
      </w:pPr>
      <w:r>
        <w:t>Do not automatically map an IDS facet to a similar-but-not-equivalent internal rule.</w:t>
      </w:r>
    </w:p>
    <w:p>
      <w:pPr>
        <w:pStyle w:val="ListBullet"/>
        <w:spacing w:after="40"/>
      </w:pPr>
      <w:r>
        <w:t>Do not merge validation failures with CI change types.</w:t>
      </w:r>
    </w:p>
    <w:p>
      <w:pPr>
        <w:pStyle w:val="ListBullet"/>
        <w:spacing w:after="40"/>
      </w:pPr>
      <w:r>
        <w:t>Do not implement all future adapters before Workspace/AIS just because the architecture now names them explicitly.</w:t>
      </w:r>
    </w:p>
    <w:p>
      <w:pPr>
        <w:pStyle w:val="Heading1"/>
      </w:pPr>
      <w:r>
        <w:t>17. Decisions still requiring Product Owner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489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option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Authorize this architecture clarification as design basis?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Yes, as non-mutating successor/integration design basis.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Move a narrow Requirement Ingestion contract into the current design track?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Implement Excel/Manual/IDS before AIS?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Only if Product Owner accepts ~1 week additional implementation; otherwise keep after R3/R4.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Prioritize first specialist capability after onboarding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RVT Native / Model Health is the strongest cross-customer candidate based on Malmö + Locum.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First customer proof package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Locum and Malmö as configuration/capability proofs without claiming full customer delivery compliance until all required documents/adapters are covered.</w:t>
            </w:r>
          </w:p>
        </w:tc>
      </w:tr>
    </w:tbl>
    <w:p/>
    <w:p>
      <w:pPr>
        <w:pStyle w:val="Heading1"/>
      </w:pPr>
      <w:r>
        <w:t>18. Handoff prompt for another AI or developer</w:t>
      </w:r>
    </w:p>
    <w:p>
      <w:pPr>
        <w:pStyle w:val="CodeBlock"/>
        <w:keepLines/>
        <w:shd w:fill="F3F6F8"/>
      </w:pPr>
      <w:r>
        <w:rPr>
          <w:rFonts w:ascii="Consolas" w:hAnsi="Consolas"/>
          <w:sz w:val="17"/>
        </w:rPr>
        <w:t>You are continuing the governed IM Platform project. Treat all existing FINAL/FROZEN authorities as immutable. The Requirement Library is completed/closed in its verified scope and must not be rebuilt. CI-01 remains frozen with exactly its authorized Slice 1 change semantics. Product Workspace Slice 1 remains the current implementation priority unless explicitly superseded by the Product Owner.</w:t>
        <w:br/>
        <w:br/>
        <w:t>Use this architecture clarification to design additive successor/integration layers for: (1) Requirement Ingestion from Excel, Manual UI, IDS, later PDF/Word AI drafts and API; (2) a Validation Capability Registry/Orchestrator; (3) reusable source/specialist capabilities such as RVT Native/Model Health, Delivery Package, MEP systems and Geometry/Spatial.</w:t>
        <w:br/>
        <w:br/>
        <w:t>Customer differences (Region Blekinge, Locum, Malmö, future customers) belong in governed Requirement Sets, Reference Sets, mappings, applicability and project context. Never create customer-specific engine forks for ordinary rule differences. Fail closed on ambiguity, unsupported semantics, missing capabilities, stale context or unverifiable evidence.</w:t>
        <w:br/>
        <w:br/>
        <w:t>Before implementation, inspect exact existing canonical schemas/contracts and use their real field names. Do not invent a parallel schema from examples in this document. Any technical change to a frozen contract requires an explicit successor and separate acceptance/promotion/freeze lifecycle.</w:t>
      </w:r>
    </w:p>
    <w:p>
      <w:pPr>
        <w:pStyle w:val="Heading1"/>
      </w:pPr>
      <w:r>
        <w:t>19. Final architectural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D9EAD3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Recommended direction</w:t>
            </w:r>
          </w:p>
          <w:p>
            <w:pPr>
              <w:spacing w:after="0"/>
            </w:pPr>
            <w:r>
              <w:t>Keep the existing IM Platform foundations and frozen authorities unchanged. Formalize Requirement Ingestion, Source Adapters, Capability Registry and Orchestration as additive layers. Make Excel + Manual + IDS converge on the existing canonical Requirement/Reference model. Build new validation types once as reusable capabilities, not per customer. Continue Workspace on the current critical path; implement broader adapters and Model Health incrementally through successors.</w:t>
            </w:r>
          </w:p>
        </w:tc>
      </w:tr>
    </w:tbl>
    <w:p/>
    <w:p>
      <w:r>
        <w:t>This document is intentionally explicit enough to serve as a continuity artifact for another AI session or as a development handoff. It does not itself constitute Product Owner acceptance, implementation authorization, promotion, FINAL or FROZEN status.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5"/>
      </w:rPr>
      <w:t>Working design / handoff document — not a new FINAL/FROZEN authority unless separately accepted and promoted.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667085"/>
        <w:sz w:val="16"/>
      </w:rPr>
      <w:t>IM PLATFORM  |  ARCHITECTURE CLARIFICATION &amp; DEVELOPER HANDOFF  |  2026-10-09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85D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