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73763"/>
          <w:sz w:val="38"/>
          <w:szCs w:val="38"/>
        </w:rPr>
      </w:pPr>
      <w:bookmarkStart w:colFirst="0" w:colLast="0" w:name="_dh4abrkqfsn0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73763"/>
          <w:sz w:val="38"/>
          <w:szCs w:val="38"/>
          <w:rtl w:val="0"/>
        </w:rPr>
        <w:t xml:space="preserve">Réponses aux Questions d'Évaluation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1c4587"/>
        </w:rPr>
      </w:pPr>
      <w:bookmarkStart w:colFirst="0" w:colLast="0" w:name="_vdome6835fly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1 Compréhension Technique 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yzoia2hkxtvh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Gestion des limites d’exposition et mesures de sécurité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smart contract gère les limites d’exposition en utilisant la variable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limiteExposition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définie dans la structure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Contrepartie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Lorsqu’une mise à jour d’exposition est effectuée via la fonction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mettreAJourExposition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le contrat vérifie si l’exposition courante dépasse cette limite. Si c’est le cas, un événement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LimiteDepassee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est déclenché pour notifier ce dépassement.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Mesures de sécurité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Validation des données d’entrée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avec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ce qui empêche les mises à jour pour des contreparties inexistantes ou inactives.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Émission d’événements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pour alerter les dépassements de limites, permettant une surveillance proactive.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Prévention de transactions incorrectes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rejetant toute tentative de mise à jour dépassant les limites spécifiées.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8jt6s5wjw0z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Implémentation des calculs de risque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fonction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calculerRisque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implémente la formule suivante 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Risque=Exposition Courante×10000Limite d’Exposition×Score de Creˊdit\text{Risque} = \frac{\text{Exposition Courante} \times 10000}{\text{Limite d'Exposition} \times \text{Score de Crédit}}Risque=Limite d’Exposition×Score de CreˊditExposition Courante×10000​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Scores de crédit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Le score de crédit est utilisé comme facteur pour pondérer le risque. Plus le score est faible, plus le risque calculé sera élevé.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Exposition courante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Elle est intégrée directement dans le numérateur pour refléter le risque en temps réel.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Historique des transactions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Bien que l’historique des transactions ne soit pas utilisé directement, les mises à jour répétées d’exposition modifient la valeur d’exposition courante, ce qui affecte le risque.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esigxajqiqz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Efficacité en termes de gas et optimisations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contrat est optimisé pour minimiser les coûts en gas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Utilisation de variables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Les calculs temporaires utilisent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pour éviter des écritures coûteuses dans la blockchain.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Événements ciblés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Les événements ne sont émis que lorsque nécessaire (exemple : dépassement de limite), réduisant les frais inutiles.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Formules simplifiées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Les calculs de risque et de ratio de couverture utilisent des formules directes pour limiter les opérations.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cvpdm2j31t1j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Gestion des cas limites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Congestion du réseau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En cas de congestion, les transactions restent dans la file d’attente et peuvent être exécutées une fois que les ressources deviennent disponibles.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Transactions échouées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Si une transaction échoue (par exemple, en raison d’une entrée invalide), elle est automatiquement rejetée par la blockchain, et les fonds restent intacts.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Entrées invalides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Le contrat utilise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pour valider les données d’entrée, empêchant toute transaction avec des adresses nulles ou des valeurs négatives.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atz9ddrdnybn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Stratégie de test et résultats (7 points)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Stratégie de 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Ajout de contreparties avec des paramètres valides.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Mise à jour de l’exposition et du collatéral avec des valeurs variées.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Dépassement des limites pour vérifier les événements.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Calculs du risque et du ratio de couverture avec différents scénarios.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Résultats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Tous les tests ont été réussis, et les calculs ont fourni les résultats attendus. Les événements ont été correctement émis lors des mises à jour et des dépassements de limites.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1c4587"/>
        </w:rPr>
      </w:pPr>
      <w:bookmarkStart w:colFirst="0" w:colLast="0" w:name="_jkwtheld4nia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2 Compréhension de la Gestion des Risques 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llpau94gniiz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Comparaison entre gestion traditionnelle et implémentation blockchain 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Gestion traditionnelle :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Dépendance à des processus manuels et systèmes centralisés.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Risques d'erreurs humaines ou de manipulation des données.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Faible transparence.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Implémentation blockchain :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Transparence totale grâce à un registre immuable.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Automatisation des calculs et des alertes.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Sécurité accrue contre les manipulations.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Limitations de la blockchain :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Coût élevé des transactions.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Dépendance à l’infrastructure réseau.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xjnl65kmsxbs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Gestion des scénarios de risque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Augmentation soudaine de l’exposition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contrat déclenche un événement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LimiteDepassee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 l’exposition dépasse la limite spécifiée.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Détérioration du score de crédit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score de crédit plus faible augmente directement le risque calculé, permettant une évaluation instantanée.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Transactions multiples simultanées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blockchain garantit l’ordre d’exécution des transactions pour éviter les conflits.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ybr0hb9k6n2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Améliorations potentielles du modèle de risque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Intégrer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historique complet des transactions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pour calculer une moyenne pondérée du risque.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Ajouter un facteur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volatilité des marchés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pour pondérer l’exposition.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Inclure une évaluation des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délais de paiement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 des antécédents de défaut de paiement des contreparties.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xnw6mgxvfry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1c4587"/>
          <w:rtl w:val="0"/>
        </w:rPr>
        <w:t xml:space="preserve">3 Implémentation et Innovation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eo4to3tkhqud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Fonctionnalités supplémentaires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Mise à jour du collatéral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Permet de réévaluer le ratio de couverture dynamiquement.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Événements pour chaque action clé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Fournit une traçabilité complète des actions (ajout, mise à jour, dépassement).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Valeur métier 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Ces fonctionnalités améliorent la transparence et permettent une surveillance proactive des risques.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o0v41u3tpivl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Applications potentielles et modifications nécessaires pour la production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Applications potentielles 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Gestion des risques dans les banques et institutions financières.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Systèmes automatisés pour les relations B2B.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Surveillance des risques dans les chaînes d'approvisionnement.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Modifications nécessaires :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Migration vers un réseau public comme Ethereum ou Polygon.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Implémentation de mécanismes de confidentialité pour protéger les données des contreparties.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Scalabilité pour gérer des volumes élevés de transactions.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clka7357isxt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Réflexion sur le développement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Défis rencontrés 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Gestion des interactions entre le frontend (Streamlit) et le backend blockchain.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Optimisation des coûts en gas.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Solutions 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Tests approfondis avec Ganache pour identifier et résoudre les problèmes.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Réduction des événements inutiles pour limiter les frais.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Améliorations futures 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Intégration d’un système d’alerte en temps réel pour les utilisateurs.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Optimisation des fonctions pour une meilleure efficacité en gas.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