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2D6A4F"/>
          <w:sz w:val="72"/>
          <w:szCs w:val="72"/>
        </w:rPr>
        <w:t xml:space="preserve">AGROGINA</w:t>
      </w:r>
    </w:p>
    <w:p>
      <w:pPr>
        <w:spacing w:before="0" w:after="200"/>
        <w:jc w:val="center"/>
      </w:pPr>
      <w:r>
        <w:rPr>
          <w:rFonts w:ascii="Arial" w:cs="Arial" w:eastAsia="Arial" w:hAnsi="Arial"/>
          <w:b/>
          <w:bCs/>
          <w:color w:val="52B788"/>
          <w:sz w:val="40"/>
          <w:szCs w:val="40"/>
        </w:rPr>
        <w:t xml:space="preserve">Virtual AI Company</w:t>
      </w:r>
    </w:p>
    <w:p>
      <w:pPr>
        <w:spacing w:before="0" w:after="800"/>
        <w:jc w:val="center"/>
      </w:pPr>
      <w:r>
        <w:rPr>
          <w:rFonts w:ascii="Arial" w:cs="Arial" w:eastAsia="Arial" w:hAnsi="Arial"/>
          <w:color w:val="666666"/>
          <w:sz w:val="24"/>
          <w:szCs w:val="24"/>
        </w:rPr>
        <w:t xml:space="preserve">Architecture &amp; Gouvernance — Document de Référence</w:t>
      </w:r>
    </w:p>
    <w:p>
      <w:pPr>
        <w:spacing w:before="0" w:after="200"/>
        <w:jc w:val="center"/>
      </w:pPr>
      <w:r>
        <w:rPr>
          <w:rFonts w:ascii="Arial" w:cs="Arial" w:eastAsia="Arial" w:hAnsi="Arial"/>
          <w:color w:val="888888"/>
          <w:sz w:val="22"/>
          <w:szCs w:val="22"/>
        </w:rPr>
        <w:t xml:space="preserve">Version 1.0 — Mars 2026</w:t>
      </w:r>
    </w:p>
    <w:p>
      <w:pPr>
        <w:spacing w:before="0" w:after="200"/>
        <w:jc w:val="center"/>
      </w:pPr>
      <w:r>
        <w:rPr>
          <w:rFonts w:ascii="Arial" w:cs="Arial" w:eastAsia="Arial" w:hAnsi="Arial"/>
          <w:b/>
          <w:bCs/>
          <w:color w:val="CC0000"/>
          <w:sz w:val="22"/>
          <w:szCs w:val="22"/>
        </w:rPr>
        <w:t xml:space="preserve">Confidentiel — CEO Only</w:t>
      </w:r>
    </w:p>
    <w:p>
      <w:r>
        <w:br w:type="page"/>
      </w:r>
    </w:p>
    <w:p>
      <w:pPr>
        <w:pStyle w:val="Heading1"/>
        <w:spacing w:before="400" w:after="200"/>
      </w:pPr>
      <w:r>
        <w:rPr>
          <w:rFonts w:ascii="Arial" w:cs="Arial" w:eastAsia="Arial" w:hAnsi="Arial"/>
          <w:b/>
          <w:bCs/>
          <w:color w:val="2D6A4F"/>
          <w:sz w:val="36"/>
          <w:szCs w:val="36"/>
        </w:rPr>
        <w:t xml:space="preserve">1. Vision Globale</w:t>
      </w:r>
    </w:p>
    <w:p>
      <w:pPr>
        <w:spacing w:before="80" w:after="80"/>
      </w:pPr>
      <w:r>
        <w:rPr>
          <w:rFonts w:ascii="Arial" w:cs="Arial" w:eastAsia="Arial" w:hAnsi="Arial"/>
          <w:color w:val="1B1B1B"/>
          <w:sz w:val="22"/>
          <w:szCs w:val="22"/>
        </w:rPr>
        <w:t xml:space="preserve">AGROGINA est une startup SaaS agricole marocaine qui combine un ERP agricole complet (RH, paie, stocks, facturation, comptabilité) avec des fonctionnalités agronomiques avancées (gestion parcellaire, analyses sol/eau/plantes, météo, marketplace) et un moteur de décision IA appelé AgromindIA.</w:t>
      </w:r>
    </w:p>
    <w:p>
      <w:r>
        <w:t xml:space="preserve"/>
      </w:r>
    </w:p>
    <w:p>
      <w:pPr>
        <w:spacing w:before="80" w:after="80"/>
      </w:pPr>
      <w:r>
        <w:rPr>
          <w:rFonts w:ascii="Arial" w:cs="Arial" w:eastAsia="Arial" w:hAnsi="Arial"/>
          <w:color w:val="1B1B1B"/>
          <w:sz w:val="22"/>
          <w:szCs w:val="22"/>
        </w:rPr>
        <w:t xml:space="preserve">L'objectif de ce document est de définir l'architecture complète de la Virtual AI Company AGROGINA — une organisation où Yassine (CEO) définit la vision et valide les décisions stratégiques, pendant que des équipes d'agents IA autonomes exécutent l'ensemble des opérations 24h/24, 7j/7.</w:t>
      </w:r>
    </w:p>
    <w:p>
      <w:pPr>
        <w:pBdr>
          <w:bottom w:val="single" w:color="52B788" w:sz="4" w:space="1"/>
        </w:pBdr>
        <w:spacing w:before="200" w:after="200"/>
      </w:pPr>
    </w:p>
    <w:p>
      <w:pPr>
        <w:pStyle w:val="Heading1"/>
        <w:spacing w:before="400" w:after="200"/>
      </w:pPr>
      <w:r>
        <w:rPr>
          <w:rFonts w:ascii="Arial" w:cs="Arial" w:eastAsia="Arial" w:hAnsi="Arial"/>
          <w:b/>
          <w:bCs/>
          <w:color w:val="2D6A4F"/>
          <w:sz w:val="36"/>
          <w:szCs w:val="36"/>
        </w:rPr>
        <w:t xml:space="preserve">2. Architecture Globale</w:t>
      </w:r>
    </w:p>
    <w:p>
      <w:pPr>
        <w:pStyle w:val="Heading2"/>
        <w:spacing w:before="300" w:after="150"/>
      </w:pPr>
      <w:r>
        <w:rPr>
          <w:rFonts w:ascii="Arial" w:cs="Arial" w:eastAsia="Arial" w:hAnsi="Arial"/>
          <w:b/>
          <w:bCs/>
          <w:color w:val="2D6A4F"/>
          <w:sz w:val="28"/>
          <w:szCs w:val="28"/>
        </w:rPr>
        <w:t xml:space="preserve">2.1 Structure de l'organisation</w:t>
      </w:r>
    </w:p>
    <w:p>
      <w:pPr>
        <w:spacing w:before="80" w:after="80"/>
      </w:pPr>
      <w:r>
        <w:rPr>
          <w:rFonts w:ascii="Arial" w:cs="Arial" w:eastAsia="Arial" w:hAnsi="Arial"/>
          <w:color w:val="1B1B1B"/>
          <w:sz w:val="22"/>
          <w:szCs w:val="22"/>
        </w:rPr>
        <w:t xml:space="preserve">L'organisation est structurée en départements, chacun piloté par un Chef d'Orchestre IA qui coordonne ses agents spécialisés. Tous les départements partagent la même mémoire documentaire et remontent au CEO via un dashboard central unique.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CCCCCC" w:sz="1"/>
              <w:left w:val="single" w:color="CCCCCC" w:sz="1"/>
              <w:bottom w:val="single" w:color="CCCCCC" w:sz="1"/>
              <w:right w:val="single" w:color="CCCCCC" w:sz="1"/>
            </w:tcBorders>
            <w:shd w:fill="2D6A4F" w:val="clear"/>
            <w:tcMar>
              <w:top w:type="dxa" w:w="100"/>
              <w:left w:type="dxa" w:w="150"/>
              <w:bottom w:type="dxa" w:w="100"/>
              <w:right w:type="dxa" w:w="150"/>
            </w:tcMar>
          </w:tcPr>
          <w:p>
            <w:r>
              <w:rPr>
                <w:rFonts w:ascii="Arial" w:cs="Arial" w:eastAsia="Arial" w:hAnsi="Arial"/>
                <w:b/>
                <w:bCs/>
                <w:color w:val="FFFFFF"/>
                <w:sz w:val="24"/>
                <w:szCs w:val="24"/>
              </w:rPr>
              <w:t xml:space="preserve">🖥️ Département DEV — ERP</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Chef d'Orchestre ERP (coordonne tous les agents dev ERP)</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Agent Frontend ERP (React, TanStack, Vite, UI/UX)</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Agent Backend ERP (Python, Supabase, APIs)</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Agent QA Technique ERP (Playwright — teste comme un robot)</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Agent Persona Chef de Ferme (teste comme un vrai utilisateur)</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Agent Persona Comptable Coopérative</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Agent DevOps (Docker, déploiement, configuration)</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Agents spécialisés temporaires (recrutés si besoin par le Chef)</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CCCCCC" w:sz="1"/>
              <w:left w:val="single" w:color="CCCCCC" w:sz="1"/>
              <w:bottom w:val="single" w:color="CCCCCC" w:sz="1"/>
              <w:right w:val="single" w:color="CCCCCC" w:sz="1"/>
            </w:tcBorders>
            <w:shd w:fill="2D6A4F" w:val="clear"/>
            <w:tcMar>
              <w:top w:type="dxa" w:w="100"/>
              <w:left w:type="dxa" w:w="150"/>
              <w:bottom w:type="dxa" w:w="100"/>
              <w:right w:type="dxa" w:w="150"/>
            </w:tcMar>
          </w:tcPr>
          <w:p>
            <w:r>
              <w:rPr>
                <w:rFonts w:ascii="Arial" w:cs="Arial" w:eastAsia="Arial" w:hAnsi="Arial"/>
                <w:b/>
                <w:bCs/>
                <w:color w:val="FFFFFF"/>
                <w:sz w:val="24"/>
                <w:szCs w:val="24"/>
              </w:rPr>
              <w:t xml:space="preserve">🧠 Département DEV — AgromindIA</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Chef d'Orchestre AgromindIA (coordonne tous les agents IA)</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Agent ML/Data (modèles, données, entraînement)</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Agent Backend IA (APIs, intégration ERP ↔ AgromindIA)</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Agent QA AgromindIA (vérifie la pertinence agronomique des recommandations)</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Agent Persona Agronome (teste comme un expert terrain)</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Agent Persona Conseiller Agricole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CCCCCC" w:sz="1"/>
              <w:left w:val="single" w:color="CCCCCC" w:sz="1"/>
              <w:bottom w:val="single" w:color="CCCCCC" w:sz="1"/>
              <w:right w:val="single" w:color="CCCCCC" w:sz="1"/>
            </w:tcBorders>
            <w:shd w:fill="2D6A4F" w:val="clear"/>
            <w:tcMar>
              <w:top w:type="dxa" w:w="100"/>
              <w:left w:type="dxa" w:w="150"/>
              <w:bottom w:type="dxa" w:w="100"/>
              <w:right w:type="dxa" w:w="150"/>
            </w:tcMar>
          </w:tcPr>
          <w:p>
            <w:r>
              <w:rPr>
                <w:rFonts w:ascii="Arial" w:cs="Arial" w:eastAsia="Arial" w:hAnsi="Arial"/>
                <w:b/>
                <w:bCs/>
                <w:color w:val="FFFFFF"/>
                <w:sz w:val="24"/>
                <w:szCs w:val="24"/>
              </w:rPr>
              <w:t xml:space="preserve">🎯 Département MARKETING</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Chef Marketing (orchestre toute la stratégie)</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Agent Veille (scrape LinkedIn, X, tendances agri Maroc en continu)</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Agent Stratégie (propose des campagnes → CEO valide)</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Agent Contenu (génère posts, copywriting, visuels)</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Agent Social Media (publie sur LinkedIn / Instagram / Facebook)</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Agent Analyse Performance (ROI campagnes, engagement, statistiques)</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Agent Concurrent (surveille la concurrence en permanence)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CCCCCC" w:sz="1"/>
              <w:left w:val="single" w:color="CCCCCC" w:sz="1"/>
              <w:bottom w:val="single" w:color="CCCCCC" w:sz="1"/>
              <w:right w:val="single" w:color="CCCCCC" w:sz="1"/>
            </w:tcBorders>
            <w:shd w:fill="2D6A4F" w:val="clear"/>
            <w:tcMar>
              <w:top w:type="dxa" w:w="100"/>
              <w:left w:type="dxa" w:w="150"/>
              <w:bottom w:type="dxa" w:w="100"/>
              <w:right w:type="dxa" w:w="150"/>
            </w:tcMar>
          </w:tcPr>
          <w:p>
            <w:r>
              <w:rPr>
                <w:rFonts w:ascii="Arial" w:cs="Arial" w:eastAsia="Arial" w:hAnsi="Arial"/>
                <w:b/>
                <w:bCs/>
                <w:color w:val="FFFFFF"/>
                <w:sz w:val="24"/>
                <w:szCs w:val="24"/>
              </w:rPr>
              <w:t xml:space="preserve">🔍 Département SEO</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Chef SEO (coordonne toute la stratégie SEO)</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Agent Recherche Mots-clés (agriculture Maroc, Darija, français, arabe)</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Agent Contenu SEO (articles de blog optimisés → CEO valide avant publication)</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Agent Technique (audit site, vitesse, balises, structure)</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Agent Backlinks (opportunités de liens entrants)</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Agent Reporting (positions Google, trafic, évolution mensuelle)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CCCCCC" w:sz="1"/>
              <w:left w:val="single" w:color="CCCCCC" w:sz="1"/>
              <w:bottom w:val="single" w:color="CCCCCC" w:sz="1"/>
              <w:right w:val="single" w:color="CCCCCC" w:sz="1"/>
            </w:tcBorders>
            <w:shd w:fill="2D6A4F" w:val="clear"/>
            <w:tcMar>
              <w:top w:type="dxa" w:w="100"/>
              <w:left w:type="dxa" w:w="150"/>
              <w:bottom w:type="dxa" w:w="100"/>
              <w:right w:type="dxa" w:w="150"/>
            </w:tcMar>
          </w:tcPr>
          <w:p>
            <w:r>
              <w:rPr>
                <w:rFonts w:ascii="Arial" w:cs="Arial" w:eastAsia="Arial" w:hAnsi="Arial"/>
                <w:b/>
                <w:bCs/>
                <w:color w:val="FFFFFF"/>
                <w:sz w:val="24"/>
                <w:szCs w:val="24"/>
              </w:rPr>
              <w:t xml:space="preserve">💰 Département FINANCE / CFO</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Chef Finance (vue globale P&amp;L, cash flow, alertes)</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Agent Reporting (P&amp;L mensuel automatique, MRR, Churn Rate)</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Agent Abonnements &amp; Paiements (statut paiement de chaque client, rappels)</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Agent Impayés (alertes J+7, J+15, J+30 → CEO valide avant envoi)</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Agent Charges &amp; Coûts (factures fournisseurs, salaires, VPS, APIs)</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Agent Prévisions (scénarios revenus SIAM et post-SIAM)</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Agent Alertes (notification immédiate si cash flow critique)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CCCCCC" w:sz="1"/>
              <w:left w:val="single" w:color="CCCCCC" w:sz="1"/>
              <w:bottom w:val="single" w:color="CCCCCC" w:sz="1"/>
              <w:right w:val="single" w:color="CCCCCC" w:sz="1"/>
            </w:tcBorders>
            <w:shd w:fill="2D6A4F" w:val="clear"/>
            <w:tcMar>
              <w:top w:type="dxa" w:w="100"/>
              <w:left w:type="dxa" w:w="150"/>
              <w:bottom w:type="dxa" w:w="100"/>
              <w:right w:type="dxa" w:w="150"/>
            </w:tcMar>
          </w:tcPr>
          <w:p>
            <w:r>
              <w:rPr>
                <w:rFonts w:ascii="Arial" w:cs="Arial" w:eastAsia="Arial" w:hAnsi="Arial"/>
                <w:b/>
                <w:bCs/>
                <w:color w:val="FFFFFF"/>
                <w:sz w:val="24"/>
                <w:szCs w:val="24"/>
              </w:rPr>
              <w:t xml:space="preserve">🌱 Département AGRONOMIE</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Chef Agronomie (coordonne la veille et l'alimentation d'AgromindIA)</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Agent Veille Scientifique (nouvelles recherches, maladies, météo Maroc)</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Agent Données (alimente AgromindIA avec nouvelles données terrain)</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Agent Validation (vérifie que les recommandations IA sont agronomiquement correctes)</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Agent Terrain (simule des scénarios agricoles marocains réels)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CCCCCC" w:sz="1"/>
              <w:left w:val="single" w:color="CCCCCC" w:sz="1"/>
              <w:bottom w:val="single" w:color="CCCCCC" w:sz="1"/>
              <w:right w:val="single" w:color="CCCCCC" w:sz="1"/>
            </w:tcBorders>
            <w:shd w:fill="2D6A4F" w:val="clear"/>
            <w:tcMar>
              <w:top w:type="dxa" w:w="100"/>
              <w:left w:type="dxa" w:w="150"/>
              <w:bottom w:type="dxa" w:w="100"/>
              <w:right w:type="dxa" w:w="150"/>
            </w:tcMar>
          </w:tcPr>
          <w:p>
            <w:r>
              <w:rPr>
                <w:rFonts w:ascii="Arial" w:cs="Arial" w:eastAsia="Arial" w:hAnsi="Arial"/>
                <w:b/>
                <w:bCs/>
                <w:color w:val="FFFFFF"/>
                <w:sz w:val="24"/>
                <w:szCs w:val="24"/>
              </w:rPr>
              <w:t xml:space="preserve">📦 Départements Futurs (Post-SIAM)</w:t>
            </w:r>
          </w:p>
        </w:tc>
      </w:tr>
      <w:tr>
        <w:tc>
          <w:tcPr>
            <w:tcW w:type="dxa" w:w="500"/>
            <w:tcBorders>
              <w:top w:val="single" w:color="CCCCCC" w:sz="1"/>
              <w:left w:val="single" w:color="CCCCCC" w:sz="1"/>
              <w:bottom w:val="single" w:color="CCCCCC" w:sz="1"/>
              <w:right w:val="single" w:color="CCCCCC" w:sz="1"/>
            </w:tcBorders>
            <w:shd w:fill="FFF9C4"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FFF9C4" w:val="clear"/>
            <w:tcMar>
              <w:top w:type="dxa" w:w="80"/>
              <w:left w:type="dxa" w:w="150"/>
              <w:bottom w:type="dxa" w:w="80"/>
              <w:right w:type="dxa" w:w="150"/>
            </w:tcMar>
          </w:tcPr>
          <w:p>
            <w:r>
              <w:rPr>
                <w:rFonts w:ascii="Arial" w:cs="Arial" w:eastAsia="Arial" w:hAnsi="Arial"/>
                <w:color w:val="1B1B1B"/>
                <w:sz w:val="22"/>
                <w:szCs w:val="22"/>
              </w:rPr>
              <w:t xml:space="preserve">Commercial — prospection, suivi leads, CRM</w:t>
            </w:r>
          </w:p>
        </w:tc>
      </w:tr>
      <w:tr>
        <w:tc>
          <w:tcPr>
            <w:tcW w:type="dxa" w:w="500"/>
            <w:tcBorders>
              <w:top w:val="single" w:color="CCCCCC" w:sz="1"/>
              <w:left w:val="single" w:color="CCCCCC" w:sz="1"/>
              <w:bottom w:val="single" w:color="CCCCCC" w:sz="1"/>
              <w:right w:val="single" w:color="CCCCCC" w:sz="1"/>
            </w:tcBorders>
            <w:shd w:fill="FFF9C4"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FFF9C4" w:val="clear"/>
            <w:tcMar>
              <w:top w:type="dxa" w:w="80"/>
              <w:left w:type="dxa" w:w="150"/>
              <w:bottom w:type="dxa" w:w="80"/>
              <w:right w:type="dxa" w:w="150"/>
            </w:tcMar>
          </w:tcPr>
          <w:p>
            <w:r>
              <w:rPr>
                <w:rFonts w:ascii="Arial" w:cs="Arial" w:eastAsia="Arial" w:hAnsi="Arial"/>
                <w:color w:val="1B1B1B"/>
                <w:sz w:val="22"/>
                <w:szCs w:val="22"/>
              </w:rPr>
              <w:t xml:space="preserve">Support Client — répond aux questions des fermes abonnées</w:t>
            </w:r>
          </w:p>
        </w:tc>
      </w:tr>
      <w:tr>
        <w:tc>
          <w:tcPr>
            <w:tcW w:type="dxa" w:w="500"/>
            <w:tcBorders>
              <w:top w:val="single" w:color="CCCCCC" w:sz="1"/>
              <w:left w:val="single" w:color="CCCCCC" w:sz="1"/>
              <w:bottom w:val="single" w:color="CCCCCC" w:sz="1"/>
              <w:right w:val="single" w:color="CCCCCC" w:sz="1"/>
            </w:tcBorders>
            <w:shd w:fill="FFF9C4"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FFF9C4" w:val="clear"/>
            <w:tcMar>
              <w:top w:type="dxa" w:w="80"/>
              <w:left w:type="dxa" w:w="150"/>
              <w:bottom w:type="dxa" w:w="80"/>
              <w:right w:type="dxa" w:w="150"/>
            </w:tcMar>
          </w:tcPr>
          <w:p>
            <w:r>
              <w:rPr>
                <w:rFonts w:ascii="Arial" w:cs="Arial" w:eastAsia="Arial" w:hAnsi="Arial"/>
                <w:color w:val="1B1B1B"/>
                <w:sz w:val="22"/>
                <w:szCs w:val="22"/>
              </w:rPr>
              <w:t xml:space="preserve">RH — gère la performance des agents, recrute si besoin</w:t>
            </w:r>
          </w:p>
        </w:tc>
      </w:tr>
      <w:tr>
        <w:tc>
          <w:tcPr>
            <w:tcW w:type="dxa" w:w="500"/>
            <w:tcBorders>
              <w:top w:val="single" w:color="CCCCCC" w:sz="1"/>
              <w:left w:val="single" w:color="CCCCCC" w:sz="1"/>
              <w:bottom w:val="single" w:color="CCCCCC" w:sz="1"/>
              <w:right w:val="single" w:color="CCCCCC" w:sz="1"/>
            </w:tcBorders>
            <w:shd w:fill="FFF9C4"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FFF9C4" w:val="clear"/>
            <w:tcMar>
              <w:top w:type="dxa" w:w="80"/>
              <w:left w:type="dxa" w:w="150"/>
              <w:bottom w:type="dxa" w:w="80"/>
              <w:right w:type="dxa" w:w="150"/>
            </w:tcMar>
          </w:tcPr>
          <w:p>
            <w:r>
              <w:rPr>
                <w:rFonts w:ascii="Arial" w:cs="Arial" w:eastAsia="Arial" w:hAnsi="Arial"/>
                <w:color w:val="1B1B1B"/>
                <w:sz w:val="22"/>
                <w:szCs w:val="22"/>
              </w:rPr>
              <w:t xml:space="preserve">Legal — conformité, contrats, RGPD Maroc</w:t>
            </w:r>
          </w:p>
        </w:tc>
      </w:tr>
    </w:tbl>
    <w:p>
      <w:pPr>
        <w:pBdr>
          <w:bottom w:val="single" w:color="52B788" w:sz="4" w:space="1"/>
        </w:pBdr>
        <w:spacing w:before="200" w:after="200"/>
      </w:pPr>
    </w:p>
    <w:p>
      <w:pPr>
        <w:pStyle w:val="Heading1"/>
        <w:spacing w:before="400" w:after="200"/>
      </w:pPr>
      <w:r>
        <w:rPr>
          <w:rFonts w:ascii="Arial" w:cs="Arial" w:eastAsia="Arial" w:hAnsi="Arial"/>
          <w:b/>
          <w:bCs/>
          <w:color w:val="2D6A4F"/>
          <w:sz w:val="36"/>
          <w:szCs w:val="36"/>
        </w:rPr>
        <w:t xml:space="preserve">3. Règles de Gouvernance</w:t>
      </w:r>
    </w:p>
    <w:p>
      <w:pPr>
        <w:pStyle w:val="Heading2"/>
        <w:spacing w:before="300" w:after="150"/>
      </w:pPr>
      <w:r>
        <w:rPr>
          <w:rFonts w:ascii="Arial" w:cs="Arial" w:eastAsia="Arial" w:hAnsi="Arial"/>
          <w:b/>
          <w:bCs/>
          <w:color w:val="2D6A4F"/>
          <w:sz w:val="28"/>
          <w:szCs w:val="28"/>
        </w:rPr>
        <w:t xml:space="preserve">3.1 Qui décide quoi</w:t>
      </w:r>
    </w:p>
    <w:p>
      <w:pPr>
        <w:spacing w:before="80" w:after="80"/>
      </w:pPr>
      <w:r>
        <w:rPr>
          <w:rFonts w:ascii="Arial" w:cs="Arial" w:eastAsia="Arial" w:hAnsi="Arial"/>
          <w:color w:val="1B1B1B"/>
          <w:sz w:val="22"/>
          <w:szCs w:val="22"/>
        </w:rPr>
        <w:t xml:space="preserve">La règle fondamentale : les agents exécutent, le CEO décide de la direction. Cette séparation est non-négociable et codée dans le système.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80"/>
        <w:gridCol w:w="2780"/>
      </w:tblGrid>
      <w:tr>
        <w:tc>
          <w:tcPr>
            <w:tcW w:type="dxa" w:w="2800"/>
            <w:tcBorders>
              <w:top w:val="single" w:color="CCCCCC" w:sz="1"/>
              <w:left w:val="single" w:color="CCCCCC" w:sz="1"/>
              <w:bottom w:val="single" w:color="CCCCCC" w:sz="1"/>
              <w:right w:val="single" w:color="CCCCCC" w:sz="1"/>
            </w:tcBorders>
            <w:shd w:fill="2D6A4F" w:val="clear"/>
            <w:tcMar>
              <w:top w:type="dxa" w:w="100"/>
              <w:left w:type="dxa" w:w="150"/>
              <w:bottom w:type="dxa" w:w="100"/>
              <w:right w:type="dxa" w:w="150"/>
            </w:tcMar>
          </w:tcPr>
          <w:p>
            <w:r>
              <w:rPr>
                <w:rFonts w:ascii="Arial" w:cs="Arial" w:eastAsia="Arial" w:hAnsi="Arial"/>
                <w:b/>
                <w:bCs/>
                <w:color w:val="FFFFFF"/>
                <w:sz w:val="22"/>
                <w:szCs w:val="22"/>
              </w:rPr>
              <w:t xml:space="preserve">Type d'action</w:t>
            </w:r>
          </w:p>
        </w:tc>
        <w:tc>
          <w:tcPr>
            <w:tcW w:type="dxa" w:w="3780"/>
            <w:tcBorders>
              <w:top w:val="single" w:color="CCCCCC" w:sz="1"/>
              <w:left w:val="single" w:color="CCCCCC" w:sz="1"/>
              <w:bottom w:val="single" w:color="CCCCCC" w:sz="1"/>
              <w:right w:val="single" w:color="CCCCCC" w:sz="1"/>
            </w:tcBorders>
            <w:shd w:fill="2D6A4F" w:val="clear"/>
            <w:tcMar>
              <w:top w:type="dxa" w:w="100"/>
              <w:left w:type="dxa" w:w="150"/>
              <w:bottom w:type="dxa" w:w="100"/>
              <w:right w:type="dxa" w:w="150"/>
            </w:tcMar>
          </w:tcPr>
          <w:p>
            <w:r>
              <w:rPr>
                <w:rFonts w:ascii="Arial" w:cs="Arial" w:eastAsia="Arial" w:hAnsi="Arial"/>
                <w:b/>
                <w:bCs/>
                <w:color w:val="FFFFFF"/>
                <w:sz w:val="22"/>
                <w:szCs w:val="22"/>
              </w:rPr>
              <w:t xml:space="preserve">Qui décide</w:t>
            </w:r>
          </w:p>
        </w:tc>
        <w:tc>
          <w:tcPr>
            <w:tcW w:type="dxa" w:w="2780"/>
            <w:tcBorders>
              <w:top w:val="single" w:color="CCCCCC" w:sz="1"/>
              <w:left w:val="single" w:color="CCCCCC" w:sz="1"/>
              <w:bottom w:val="single" w:color="CCCCCC" w:sz="1"/>
              <w:right w:val="single" w:color="CCCCCC" w:sz="1"/>
            </w:tcBorders>
            <w:shd w:fill="2D6A4F" w:val="clear"/>
            <w:tcMar>
              <w:top w:type="dxa" w:w="100"/>
              <w:left w:type="dxa" w:w="150"/>
              <w:bottom w:type="dxa" w:w="100"/>
              <w:right w:type="dxa" w:w="150"/>
            </w:tcMar>
          </w:tcPr>
          <w:p>
            <w:r>
              <w:rPr>
                <w:rFonts w:ascii="Arial" w:cs="Arial" w:eastAsia="Arial" w:hAnsi="Arial"/>
                <w:b/>
                <w:bCs/>
                <w:color w:val="FFFFFF"/>
                <w:sz w:val="22"/>
                <w:szCs w:val="22"/>
              </w:rPr>
              <w:t xml:space="preserve">Délai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Bug technique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Agents — automatique</w:t>
            </w:r>
          </w:p>
        </w:tc>
        <w:tc>
          <w:tcPr>
            <w:tcW w:type="dxa" w:w="2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Immédiat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Bug fonctionnel</w:t>
            </w:r>
          </w:p>
        </w:tc>
        <w:tc>
          <w:tcPr>
            <w:tcW w:type="dxa" w:w="378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Agents — automatique</w:t>
            </w:r>
          </w:p>
        </w:tc>
        <w:tc>
          <w:tcPr>
            <w:tcW w:type="dxa" w:w="278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Immédiat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Amélioration UX suggérée par persona</w:t>
            </w:r>
          </w:p>
        </w:tc>
        <w:tc>
          <w:tcPr>
            <w:tcW w:type="dxa" w:w="3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CEO — dashboard</w:t>
            </w:r>
          </w:p>
        </w:tc>
        <w:tc>
          <w:tcPr>
            <w:tcW w:type="dxa" w:w="2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Quand tu veux</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Nouvelle stratégie marketing</w:t>
            </w:r>
          </w:p>
        </w:tc>
        <w:tc>
          <w:tcPr>
            <w:tcW w:type="dxa" w:w="378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CEO — dashboard</w:t>
            </w:r>
          </w:p>
        </w:tc>
        <w:tc>
          <w:tcPr>
            <w:tcW w:type="dxa" w:w="278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Quand tu veux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Publication SEO</w:t>
            </w:r>
          </w:p>
        </w:tc>
        <w:tc>
          <w:tcPr>
            <w:tcW w:type="dxa" w:w="3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CEO — dashboard</w:t>
            </w:r>
          </w:p>
        </w:tc>
        <w:tc>
          <w:tcPr>
            <w:tcW w:type="dxa" w:w="2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Avant publication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Rappel impayé client</w:t>
            </w:r>
          </w:p>
        </w:tc>
        <w:tc>
          <w:tcPr>
            <w:tcW w:type="dxa" w:w="378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CEO — valide avant envoi</w:t>
            </w:r>
          </w:p>
        </w:tc>
        <w:tc>
          <w:tcPr>
            <w:tcW w:type="dxa" w:w="278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J+7/15/30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Rapport financier mensuel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Automatique</w:t>
            </w:r>
          </w:p>
        </w:tc>
        <w:tc>
          <w:tcPr>
            <w:tcW w:type="dxa" w:w="2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Fin de mois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Alerte cash flow critique</w:t>
            </w:r>
          </w:p>
        </w:tc>
        <w:tc>
          <w:tcPr>
            <w:tcW w:type="dxa" w:w="378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CEO — notification immédiate</w:t>
            </w:r>
          </w:p>
        </w:tc>
        <w:tc>
          <w:tcPr>
            <w:tcW w:type="dxa" w:w="278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Urgent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Nouvelle recommandation agro</w:t>
            </w:r>
          </w:p>
        </w:tc>
        <w:tc>
          <w:tcPr>
            <w:tcW w:type="dxa" w:w="3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CEO + Agronome humain</w:t>
            </w:r>
          </w:p>
        </w:tc>
        <w:tc>
          <w:tcPr>
            <w:tcW w:type="dxa" w:w="2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Avant déploiement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Recrutement nouvel agent</w:t>
            </w:r>
          </w:p>
        </w:tc>
        <w:tc>
          <w:tcPr>
            <w:tcW w:type="dxa" w:w="378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Chef d'Orchestre propose → CEO valide</w:t>
            </w:r>
          </w:p>
        </w:tc>
        <w:tc>
          <w:tcPr>
            <w:tcW w:type="dxa" w:w="278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Selon besoin</w:t>
            </w:r>
          </w:p>
        </w:tc>
      </w:tr>
    </w:tbl>
    <w:p>
      <w:r>
        <w:t xml:space="preserve"/>
      </w:r>
    </w:p>
    <w:p>
      <w:r>
        <w:t xml:space="preserve"/>
      </w:r>
    </w:p>
    <w:p>
      <w:pPr>
        <w:pStyle w:val="Heading2"/>
        <w:spacing w:before="300" w:after="150"/>
      </w:pPr>
      <w:r>
        <w:rPr>
          <w:rFonts w:ascii="Arial" w:cs="Arial" w:eastAsia="Arial" w:hAnsi="Arial"/>
          <w:b/>
          <w:bCs/>
          <w:color w:val="2D6A4F"/>
          <w:sz w:val="28"/>
          <w:szCs w:val="28"/>
        </w:rPr>
        <w:t xml:space="preserve">3.2 La Boucle Autonome — Règle des 6 tentatives</w:t>
      </w:r>
    </w:p>
    <w:p>
      <w:pPr>
        <w:spacing w:before="80" w:after="80"/>
      </w:pPr>
      <w:r>
        <w:rPr>
          <w:rFonts w:ascii="Arial" w:cs="Arial" w:eastAsia="Arial" w:hAnsi="Arial"/>
          <w:color w:val="1B1B1B"/>
          <w:sz w:val="22"/>
          <w:szCs w:val="22"/>
        </w:rPr>
        <w:t xml:space="preserve">Chaque boucle de correction suit ce protocole strict pour éviter une boucle infinie :</w:t>
      </w:r>
    </w:p>
    <w:p>
      <w:r>
        <w:t xml:space="preserve"/>
      </w:r>
    </w:p>
    <w:p>
      <w:pPr>
        <w:pStyle w:val="ListParagraph"/>
        <w:numPr>
          <w:ilvl w:val="0"/>
          <w:numId w:val="2"/>
        </w:numPr>
        <w:spacing w:before="60" w:after="60"/>
      </w:pPr>
      <w:r>
        <w:rPr>
          <w:rFonts w:ascii="Arial" w:cs="Arial" w:eastAsia="Arial" w:hAnsi="Arial"/>
          <w:color w:val="1B1B1B"/>
          <w:sz w:val="22"/>
          <w:szCs w:val="22"/>
        </w:rPr>
        <w:t xml:space="preserve">Tentatives 1-2-3 : les agents gèrent seuls, corrigent, re-testent</w:t>
      </w:r>
    </w:p>
    <w:p>
      <w:pPr>
        <w:pStyle w:val="ListParagraph"/>
        <w:numPr>
          <w:ilvl w:val="0"/>
          <w:numId w:val="2"/>
        </w:numPr>
        <w:spacing w:before="60" w:after="60"/>
      </w:pPr>
      <w:r>
        <w:rPr>
          <w:rFonts w:ascii="Arial" w:cs="Arial" w:eastAsia="Arial" w:hAnsi="Arial"/>
          <w:color w:val="1B1B1B"/>
          <w:sz w:val="22"/>
          <w:szCs w:val="22"/>
        </w:rPr>
        <w:t xml:space="preserve">Tentative 4 : le Chef d'Orchestre change d'approche technique</w:t>
      </w:r>
    </w:p>
    <w:p>
      <w:pPr>
        <w:pStyle w:val="ListParagraph"/>
        <w:numPr>
          <w:ilvl w:val="0"/>
          <w:numId w:val="2"/>
        </w:numPr>
        <w:spacing w:before="60" w:after="60"/>
      </w:pPr>
      <w:r>
        <w:rPr>
          <w:rFonts w:ascii="Arial" w:cs="Arial" w:eastAsia="Arial" w:hAnsi="Arial"/>
          <w:color w:val="1B1B1B"/>
          <w:sz w:val="22"/>
          <w:szCs w:val="22"/>
        </w:rPr>
        <w:t xml:space="preserve">Tentative 5 : le Chef d'Orchestre recrute un agent spécialisé temporaire</w:t>
      </w:r>
    </w:p>
    <w:p>
      <w:pPr>
        <w:pStyle w:val="ListParagraph"/>
        <w:numPr>
          <w:ilvl w:val="0"/>
          <w:numId w:val="2"/>
        </w:numPr>
        <w:spacing w:before="60" w:after="60"/>
      </w:pPr>
      <w:r>
        <w:rPr>
          <w:rFonts w:ascii="Arial" w:cs="Arial" w:eastAsia="Arial" w:hAnsi="Arial"/>
          <w:color w:val="1B1B1B"/>
          <w:sz w:val="22"/>
          <w:szCs w:val="22"/>
        </w:rPr>
        <w:t xml:space="preserve">Tentative 6 : ESCALADE vers le CEO dans le dashboard avec rapport complet (ce qui a été essayé, pourquoi ça bloque, options proposées, besoin du dev humain ?)</w:t>
      </w:r>
    </w:p>
    <w:p>
      <w:r>
        <w:t xml:space="preserve"/>
      </w:r>
    </w:p>
    <w:p>
      <w:r>
        <w:t xml:space="preserve"/>
      </w:r>
    </w:p>
    <w:p>
      <w:pPr>
        <w:pStyle w:val="Heading2"/>
        <w:spacing w:before="300" w:after="150"/>
      </w:pPr>
      <w:r>
        <w:rPr>
          <w:rFonts w:ascii="Arial" w:cs="Arial" w:eastAsia="Arial" w:hAnsi="Arial"/>
          <w:b/>
          <w:bCs/>
          <w:color w:val="2D6A4F"/>
          <w:sz w:val="28"/>
          <w:szCs w:val="28"/>
        </w:rPr>
        <w:t xml:space="preserve">3.3 Communication entre Chefs d'Orchestre</w:t>
      </w:r>
    </w:p>
    <w:p>
      <w:pPr>
        <w:spacing w:before="80" w:after="80"/>
      </w:pPr>
      <w:r>
        <w:rPr>
          <w:rFonts w:ascii="Arial" w:cs="Arial" w:eastAsia="Arial" w:hAnsi="Arial"/>
          <w:color w:val="1B1B1B"/>
          <w:sz w:val="22"/>
          <w:szCs w:val="22"/>
        </w:rPr>
        <w:t xml:space="preserve">Les deux Chefs Dev (ERP et AgromindIA) se parlent directement quand une feature touche les deux systèmes — exemple : une recommandation AgromindIA qui doit lire les stocks ERP en temps réel. Tous les autres départements communiquent uniquement via la mémoire partagée.</w:t>
      </w:r>
    </w:p>
    <w:p>
      <w:pPr>
        <w:pBdr>
          <w:bottom w:val="single" w:color="52B788" w:sz="4" w:space="1"/>
        </w:pBdr>
        <w:spacing w:before="200" w:after="200"/>
      </w:pPr>
    </w:p>
    <w:p>
      <w:pPr>
        <w:pStyle w:val="Heading1"/>
        <w:spacing w:before="400" w:after="200"/>
      </w:pPr>
      <w:r>
        <w:rPr>
          <w:rFonts w:ascii="Arial" w:cs="Arial" w:eastAsia="Arial" w:hAnsi="Arial"/>
          <w:b/>
          <w:bCs/>
          <w:color w:val="2D6A4F"/>
          <w:sz w:val="36"/>
          <w:szCs w:val="36"/>
        </w:rPr>
        <w:t xml:space="preserve">4. Système de Mémoire</w:t>
      </w:r>
    </w:p>
    <w:p>
      <w:pPr>
        <w:pStyle w:val="Heading2"/>
        <w:spacing w:before="300" w:after="150"/>
      </w:pPr>
      <w:r>
        <w:rPr>
          <w:rFonts w:ascii="Arial" w:cs="Arial" w:eastAsia="Arial" w:hAnsi="Arial"/>
          <w:b/>
          <w:bCs/>
          <w:color w:val="2D6A4F"/>
          <w:sz w:val="28"/>
          <w:szCs w:val="28"/>
        </w:rPr>
        <w:t xml:space="preserve">4.1 Deux niveaux de mémoire</w:t>
      </w:r>
    </w:p>
    <w:p>
      <w:pPr>
        <w:spacing w:before="80" w:after="80"/>
      </w:pPr>
      <w:r>
        <w:rPr>
          <w:rFonts w:ascii="Arial" w:cs="Arial" w:eastAsia="Arial" w:hAnsi="Arial"/>
          <w:color w:val="1B1B1B"/>
          <w:sz w:val="22"/>
          <w:szCs w:val="22"/>
        </w:rPr>
        <w:t xml:space="preserve">Chaque agent fonctionne avec deux niveaux de mémoire complémentaires :</w:t>
      </w:r>
    </w:p>
    <w:p>
      <w:r>
        <w:t xml:space="preserve"/>
      </w:r>
    </w:p>
    <w:p>
      <w:pPr>
        <w:pStyle w:val="ListParagraph"/>
        <w:numPr>
          <w:ilvl w:val="0"/>
          <w:numId w:val="2"/>
        </w:numPr>
        <w:spacing w:before="60" w:after="60"/>
      </w:pPr>
      <w:r>
        <w:rPr>
          <w:rFonts w:ascii="Arial" w:cs="Arial" w:eastAsia="Arial" w:hAnsi="Arial"/>
          <w:color w:val="1B1B1B"/>
          <w:sz w:val="22"/>
          <w:szCs w:val="22"/>
        </w:rPr>
        <w:t xml:space="preserve">Mémoire Court Terme : contexte de la tâche en cours uniquement, disparaît après la session</w:t>
      </w:r>
    </w:p>
    <w:p>
      <w:pPr>
        <w:pStyle w:val="ListParagraph"/>
        <w:numPr>
          <w:ilvl w:val="0"/>
          <w:numId w:val="2"/>
        </w:numPr>
        <w:spacing w:before="60" w:after="60"/>
      </w:pPr>
      <w:r>
        <w:rPr>
          <w:rFonts w:ascii="Arial" w:cs="Arial" w:eastAsia="Arial" w:hAnsi="Arial"/>
          <w:color w:val="1B1B1B"/>
          <w:sz w:val="22"/>
          <w:szCs w:val="22"/>
        </w:rPr>
        <w:t xml:space="preserve">Mémoire Long Terme : fichiers Markdown mis à jour après chaque session, persistants</w:t>
      </w:r>
    </w:p>
    <w:p>
      <w:r>
        <w:t xml:space="preserve"/>
      </w:r>
    </w:p>
    <w:p>
      <w:r>
        <w:t xml:space="preserve"/>
      </w:r>
    </w:p>
    <w:p>
      <w:pPr>
        <w:pStyle w:val="Heading2"/>
        <w:spacing w:before="300" w:after="150"/>
      </w:pPr>
      <w:r>
        <w:rPr>
          <w:rFonts w:ascii="Arial" w:cs="Arial" w:eastAsia="Arial" w:hAnsi="Arial"/>
          <w:b/>
          <w:bCs/>
          <w:color w:val="2D6A4F"/>
          <w:sz w:val="28"/>
          <w:szCs w:val="28"/>
        </w:rPr>
        <w:t xml:space="preserve">4.2 Documents partagés entre tous les agents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80"/>
        <w:gridCol w:w="2780"/>
      </w:tblGrid>
      <w:tr>
        <w:tc>
          <w:tcPr>
            <w:tcW w:type="dxa" w:w="2800"/>
            <w:tcBorders>
              <w:top w:val="single" w:color="CCCCCC" w:sz="1"/>
              <w:left w:val="single" w:color="CCCCCC" w:sz="1"/>
              <w:bottom w:val="single" w:color="CCCCCC" w:sz="1"/>
              <w:right w:val="single" w:color="CCCCCC" w:sz="1"/>
            </w:tcBorders>
            <w:shd w:fill="2D6A4F" w:val="clear"/>
            <w:tcMar>
              <w:top w:type="dxa" w:w="100"/>
              <w:left w:type="dxa" w:w="150"/>
              <w:bottom w:type="dxa" w:w="100"/>
              <w:right w:type="dxa" w:w="150"/>
            </w:tcMar>
          </w:tcPr>
          <w:p>
            <w:r>
              <w:rPr>
                <w:rFonts w:ascii="Arial" w:cs="Arial" w:eastAsia="Arial" w:hAnsi="Arial"/>
                <w:b/>
                <w:bCs/>
                <w:color w:val="FFFFFF"/>
                <w:sz w:val="22"/>
                <w:szCs w:val="22"/>
              </w:rPr>
              <w:t xml:space="preserve">Fichier</w:t>
            </w:r>
          </w:p>
        </w:tc>
        <w:tc>
          <w:tcPr>
            <w:tcW w:type="dxa" w:w="3780"/>
            <w:tcBorders>
              <w:top w:val="single" w:color="CCCCCC" w:sz="1"/>
              <w:left w:val="single" w:color="CCCCCC" w:sz="1"/>
              <w:bottom w:val="single" w:color="CCCCCC" w:sz="1"/>
              <w:right w:val="single" w:color="CCCCCC" w:sz="1"/>
            </w:tcBorders>
            <w:shd w:fill="2D6A4F" w:val="clear"/>
            <w:tcMar>
              <w:top w:type="dxa" w:w="100"/>
              <w:left w:type="dxa" w:w="150"/>
              <w:bottom w:type="dxa" w:w="100"/>
              <w:right w:type="dxa" w:w="150"/>
            </w:tcMar>
          </w:tcPr>
          <w:p>
            <w:r>
              <w:rPr>
                <w:rFonts w:ascii="Arial" w:cs="Arial" w:eastAsia="Arial" w:hAnsi="Arial"/>
                <w:b/>
                <w:bCs/>
                <w:color w:val="FFFFFF"/>
                <w:sz w:val="22"/>
                <w:szCs w:val="22"/>
              </w:rPr>
              <w:t xml:space="preserve">Contenu</w:t>
            </w:r>
          </w:p>
        </w:tc>
        <w:tc>
          <w:tcPr>
            <w:tcW w:type="dxa" w:w="2780"/>
            <w:tcBorders>
              <w:top w:val="single" w:color="CCCCCC" w:sz="1"/>
              <w:left w:val="single" w:color="CCCCCC" w:sz="1"/>
              <w:bottom w:val="single" w:color="CCCCCC" w:sz="1"/>
              <w:right w:val="single" w:color="CCCCCC" w:sz="1"/>
            </w:tcBorders>
            <w:shd w:fill="2D6A4F" w:val="clear"/>
            <w:tcMar>
              <w:top w:type="dxa" w:w="100"/>
              <w:left w:type="dxa" w:w="150"/>
              <w:bottom w:type="dxa" w:w="100"/>
              <w:right w:type="dxa" w:w="150"/>
            </w:tcMar>
          </w:tcPr>
          <w:p>
            <w:r>
              <w:rPr>
                <w:rFonts w:ascii="Arial" w:cs="Arial" w:eastAsia="Arial" w:hAnsi="Arial"/>
                <w:b/>
                <w:bCs/>
                <w:color w:val="FFFFFF"/>
                <w:sz w:val="22"/>
                <w:szCs w:val="22"/>
              </w:rPr>
              <w:t xml:space="preserve">Lu par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AGROGINA_VISION.md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Vision, mission, positionnement, SIAM</w:t>
            </w:r>
          </w:p>
        </w:tc>
        <w:tc>
          <w:tcPr>
            <w:tcW w:type="dxa" w:w="2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Tous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AGROGINA_BRAND.md</w:t>
            </w:r>
          </w:p>
        </w:tc>
        <w:tc>
          <w:tcPr>
            <w:tcW w:type="dxa" w:w="378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Ton, couleurs, voix, charte graphique</w:t>
            </w:r>
          </w:p>
        </w:tc>
        <w:tc>
          <w:tcPr>
            <w:tcW w:type="dxa" w:w="278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Marketing, SEO, Dev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AGROGINA_MARCHE.md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Marché agricole marocain, personas clients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Tous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AGROGINA_DECISIONS.md</w:t>
            </w:r>
          </w:p>
        </w:tc>
        <w:tc>
          <w:tcPr>
            <w:tcW w:type="dxa" w:w="378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Toutes les décisions CEO historiques</w:t>
            </w:r>
          </w:p>
        </w:tc>
        <w:tc>
          <w:tcPr>
            <w:tcW w:type="dxa" w:w="278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Tous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AGROGINA_STACK.md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Stack technique, standards de code</w:t>
            </w:r>
          </w:p>
        </w:tc>
        <w:tc>
          <w:tcPr>
            <w:tcW w:type="dxa" w:w="2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Dev uniquement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AGROGINA_FINANCES.md</w:t>
            </w:r>
          </w:p>
        </w:tc>
        <w:tc>
          <w:tcPr>
            <w:tcW w:type="dxa" w:w="378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Chiffres clés, objectifs, pricing</w:t>
            </w:r>
          </w:p>
        </w:tc>
        <w:tc>
          <w:tcPr>
            <w:tcW w:type="dxa" w:w="278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Finance, CEO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AGROGINA_AGRO.md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Contexte agronomique Maroc, terminologie</w:t>
            </w:r>
          </w:p>
        </w:tc>
        <w:tc>
          <w:tcPr>
            <w:tcW w:type="dxa" w:w="2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Agronomie, AgromindIA</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bugs_connus.md</w:t>
            </w:r>
          </w:p>
        </w:tc>
        <w:tc>
          <w:tcPr>
            <w:tcW w:type="dxa" w:w="378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Bugs déjà trouvés et corrigés</w:t>
            </w:r>
          </w:p>
        </w:tc>
        <w:tc>
          <w:tcPr>
            <w:tcW w:type="dxa" w:w="278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Dev, QA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ameliorations_rejetees.md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Suggestions rejetées par le CEO</w:t>
            </w:r>
          </w:p>
        </w:tc>
        <w:tc>
          <w:tcPr>
            <w:tcW w:type="dxa" w:w="2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Tous les personas</w:t>
            </w:r>
          </w:p>
        </w:tc>
      </w:tr>
    </w:tbl>
    <w:p>
      <w:pPr>
        <w:pBdr>
          <w:bottom w:val="single" w:color="52B788" w:sz="4" w:space="1"/>
        </w:pBdr>
        <w:spacing w:before="200" w:after="200"/>
      </w:pPr>
    </w:p>
    <w:p>
      <w:pPr>
        <w:pStyle w:val="Heading1"/>
        <w:spacing w:before="400" w:after="200"/>
      </w:pPr>
      <w:r>
        <w:rPr>
          <w:rFonts w:ascii="Arial" w:cs="Arial" w:eastAsia="Arial" w:hAnsi="Arial"/>
          <w:b/>
          <w:bCs/>
          <w:color w:val="2D6A4F"/>
          <w:sz w:val="36"/>
          <w:szCs w:val="36"/>
        </w:rPr>
        <w:t xml:space="preserve">5. Dashboard CEO</w:t>
      </w:r>
    </w:p>
    <w:p>
      <w:pPr>
        <w:pStyle w:val="Heading2"/>
        <w:spacing w:before="300" w:after="150"/>
      </w:pPr>
      <w:r>
        <w:rPr>
          <w:rFonts w:ascii="Arial" w:cs="Arial" w:eastAsia="Arial" w:hAnsi="Arial"/>
          <w:b/>
          <w:bCs/>
          <w:color w:val="2D6A4F"/>
          <w:sz w:val="28"/>
          <w:szCs w:val="28"/>
        </w:rPr>
        <w:t xml:space="preserve">5.1 Ce que tu vois</w:t>
      </w:r>
    </w:p>
    <w:p>
      <w:pPr>
        <w:pStyle w:val="ListParagraph"/>
        <w:numPr>
          <w:ilvl w:val="0"/>
          <w:numId w:val="2"/>
        </w:numPr>
        <w:spacing w:before="60" w:after="60"/>
      </w:pPr>
      <w:r>
        <w:rPr>
          <w:rFonts w:ascii="Arial" w:cs="Arial" w:eastAsia="Arial" w:hAnsi="Arial"/>
          <w:color w:val="1B1B1B"/>
          <w:sz w:val="22"/>
          <w:szCs w:val="22"/>
        </w:rPr>
        <w:t xml:space="preserve">Statut de chaque agent en temps réel (actif / en pause / erreur)</w:t>
      </w:r>
    </w:p>
    <w:p>
      <w:pPr>
        <w:pStyle w:val="ListParagraph"/>
        <w:numPr>
          <w:ilvl w:val="0"/>
          <w:numId w:val="2"/>
        </w:numPr>
        <w:spacing w:before="60" w:after="60"/>
      </w:pPr>
      <w:r>
        <w:rPr>
          <w:rFonts w:ascii="Arial" w:cs="Arial" w:eastAsia="Arial" w:hAnsi="Arial"/>
          <w:color w:val="1B1B1B"/>
          <w:sz w:val="22"/>
          <w:szCs w:val="22"/>
        </w:rPr>
        <w:t xml:space="preserve">Tâches en cours / terminées / en attente de validation</w:t>
      </w:r>
    </w:p>
    <w:p>
      <w:pPr>
        <w:pStyle w:val="ListParagraph"/>
        <w:numPr>
          <w:ilvl w:val="0"/>
          <w:numId w:val="2"/>
        </w:numPr>
        <w:spacing w:before="60" w:after="60"/>
      </w:pPr>
      <w:r>
        <w:rPr>
          <w:rFonts w:ascii="Arial" w:cs="Arial" w:eastAsia="Arial" w:hAnsi="Arial"/>
          <w:color w:val="1B1B1B"/>
          <w:sz w:val="22"/>
          <w:szCs w:val="22"/>
        </w:rPr>
        <w:t xml:space="preserve">Code produit par les agents (avec diff GitHub)</w:t>
      </w:r>
    </w:p>
    <w:p>
      <w:pPr>
        <w:pStyle w:val="ListParagraph"/>
        <w:numPr>
          <w:ilvl w:val="0"/>
          <w:numId w:val="2"/>
        </w:numPr>
        <w:spacing w:before="60" w:after="60"/>
      </w:pPr>
      <w:r>
        <w:rPr>
          <w:rFonts w:ascii="Arial" w:cs="Arial" w:eastAsia="Arial" w:hAnsi="Arial"/>
          <w:color w:val="1B1B1B"/>
          <w:sz w:val="22"/>
          <w:szCs w:val="22"/>
        </w:rPr>
        <w:t xml:space="preserve">Bugs détectés et corrigés automatiquement</w:t>
      </w:r>
    </w:p>
    <w:p>
      <w:pPr>
        <w:pStyle w:val="ListParagraph"/>
        <w:numPr>
          <w:ilvl w:val="0"/>
          <w:numId w:val="2"/>
        </w:numPr>
        <w:spacing w:before="60" w:after="60"/>
      </w:pPr>
      <w:r>
        <w:rPr>
          <w:rFonts w:ascii="Arial" w:cs="Arial" w:eastAsia="Arial" w:hAnsi="Arial"/>
          <w:color w:val="1B1B1B"/>
          <w:sz w:val="22"/>
          <w:szCs w:val="22"/>
        </w:rPr>
        <w:t xml:space="preserve">Screenshots Playwright — preuve visuelle des tests</w:t>
      </w:r>
    </w:p>
    <w:p>
      <w:pPr>
        <w:pStyle w:val="ListParagraph"/>
        <w:numPr>
          <w:ilvl w:val="0"/>
          <w:numId w:val="2"/>
        </w:numPr>
        <w:spacing w:before="60" w:after="60"/>
      </w:pPr>
      <w:r>
        <w:rPr>
          <w:rFonts w:ascii="Arial" w:cs="Arial" w:eastAsia="Arial" w:hAnsi="Arial"/>
          <w:color w:val="1B1B1B"/>
          <w:sz w:val="22"/>
          <w:szCs w:val="22"/>
        </w:rPr>
        <w:t xml:space="preserve">Historique complet de tout ce qui a été fait</w:t>
      </w:r>
    </w:p>
    <w:p>
      <w:pPr>
        <w:pStyle w:val="ListParagraph"/>
        <w:numPr>
          <w:ilvl w:val="0"/>
          <w:numId w:val="2"/>
        </w:numPr>
        <w:spacing w:before="60" w:after="60"/>
      </w:pPr>
      <w:r>
        <w:rPr>
          <w:rFonts w:ascii="Arial" w:cs="Arial" w:eastAsia="Arial" w:hAnsi="Arial"/>
          <w:color w:val="1B1B1B"/>
          <w:sz w:val="22"/>
          <w:szCs w:val="22"/>
        </w:rPr>
        <w:t xml:space="preserve">Pipeline commercial (devis, signés, en cours)</w:t>
      </w:r>
    </w:p>
    <w:p>
      <w:pPr>
        <w:pStyle w:val="ListParagraph"/>
        <w:numPr>
          <w:ilvl w:val="0"/>
          <w:numId w:val="2"/>
        </w:numPr>
        <w:spacing w:before="60" w:after="60"/>
      </w:pPr>
      <w:r>
        <w:rPr>
          <w:rFonts w:ascii="Arial" w:cs="Arial" w:eastAsia="Arial" w:hAnsi="Arial"/>
          <w:color w:val="1B1B1B"/>
          <w:sz w:val="22"/>
          <w:szCs w:val="22"/>
        </w:rPr>
        <w:t xml:space="preserve">MRR, cash flow, alertes financières</w:t>
      </w:r>
    </w:p>
    <w:p>
      <w:r>
        <w:t xml:space="preserve"/>
      </w:r>
    </w:p>
    <w:p>
      <w:r>
        <w:t xml:space="preserve"/>
      </w:r>
    </w:p>
    <w:p>
      <w:pPr>
        <w:pStyle w:val="Heading2"/>
        <w:spacing w:before="300" w:after="150"/>
      </w:pPr>
      <w:r>
        <w:rPr>
          <w:rFonts w:ascii="Arial" w:cs="Arial" w:eastAsia="Arial" w:hAnsi="Arial"/>
          <w:b/>
          <w:bCs/>
          <w:color w:val="2D6A4F"/>
          <w:sz w:val="28"/>
          <w:szCs w:val="28"/>
        </w:rPr>
        <w:t xml:space="preserve">5.2 Ce que tu fais depuis le dashboard</w:t>
      </w:r>
    </w:p>
    <w:p>
      <w:pPr>
        <w:pStyle w:val="ListParagraph"/>
        <w:numPr>
          <w:ilvl w:val="0"/>
          <w:numId w:val="2"/>
        </w:numPr>
        <w:spacing w:before="60" w:after="60"/>
      </w:pPr>
      <w:r>
        <w:rPr>
          <w:rFonts w:ascii="Arial" w:cs="Arial" w:eastAsia="Arial" w:hAnsi="Arial"/>
          <w:color w:val="1B1B1B"/>
          <w:sz w:val="22"/>
          <w:szCs w:val="22"/>
        </w:rPr>
        <w:t xml:space="preserve">Donner une nouvelle tâche à n'importe quel département</w:t>
      </w:r>
    </w:p>
    <w:p>
      <w:pPr>
        <w:pStyle w:val="ListParagraph"/>
        <w:numPr>
          <w:ilvl w:val="0"/>
          <w:numId w:val="2"/>
        </w:numPr>
        <w:spacing w:before="60" w:after="60"/>
      </w:pPr>
      <w:r>
        <w:rPr>
          <w:rFonts w:ascii="Arial" w:cs="Arial" w:eastAsia="Arial" w:hAnsi="Arial"/>
          <w:color w:val="1B1B1B"/>
          <w:sz w:val="22"/>
          <w:szCs w:val="22"/>
        </w:rPr>
        <w:t xml:space="preserve">Valider ou rejeter le travail d'un agent</w:t>
      </w:r>
    </w:p>
    <w:p>
      <w:pPr>
        <w:pStyle w:val="ListParagraph"/>
        <w:numPr>
          <w:ilvl w:val="0"/>
          <w:numId w:val="2"/>
        </w:numPr>
        <w:spacing w:before="60" w:after="60"/>
      </w:pPr>
      <w:r>
        <w:rPr>
          <w:rFonts w:ascii="Arial" w:cs="Arial" w:eastAsia="Arial" w:hAnsi="Arial"/>
          <w:color w:val="1B1B1B"/>
          <w:sz w:val="22"/>
          <w:szCs w:val="22"/>
        </w:rPr>
        <w:t xml:space="preserve">Valider les améliorations UX suggérées par les personas</w:t>
      </w:r>
    </w:p>
    <w:p>
      <w:pPr>
        <w:pStyle w:val="ListParagraph"/>
        <w:numPr>
          <w:ilvl w:val="0"/>
          <w:numId w:val="2"/>
        </w:numPr>
        <w:spacing w:before="60" w:after="60"/>
      </w:pPr>
      <w:r>
        <w:rPr>
          <w:rFonts w:ascii="Arial" w:cs="Arial" w:eastAsia="Arial" w:hAnsi="Arial"/>
          <w:color w:val="1B1B1B"/>
          <w:sz w:val="22"/>
          <w:szCs w:val="22"/>
        </w:rPr>
        <w:t xml:space="preserve">Valider avant publication SEO</w:t>
      </w:r>
    </w:p>
    <w:p>
      <w:pPr>
        <w:pStyle w:val="ListParagraph"/>
        <w:numPr>
          <w:ilvl w:val="0"/>
          <w:numId w:val="2"/>
        </w:numPr>
        <w:spacing w:before="60" w:after="60"/>
      </w:pPr>
      <w:r>
        <w:rPr>
          <w:rFonts w:ascii="Arial" w:cs="Arial" w:eastAsia="Arial" w:hAnsi="Arial"/>
          <w:color w:val="1B1B1B"/>
          <w:sz w:val="22"/>
          <w:szCs w:val="22"/>
        </w:rPr>
        <w:t xml:space="preserve">Valider les rappels impayés avant envoi</w:t>
      </w:r>
    </w:p>
    <w:p>
      <w:pPr>
        <w:pStyle w:val="ListParagraph"/>
        <w:numPr>
          <w:ilvl w:val="0"/>
          <w:numId w:val="2"/>
        </w:numPr>
        <w:spacing w:before="60" w:after="60"/>
      </w:pPr>
      <w:r>
        <w:rPr>
          <w:rFonts w:ascii="Arial" w:cs="Arial" w:eastAsia="Arial" w:hAnsi="Arial"/>
          <w:color w:val="1B1B1B"/>
          <w:sz w:val="22"/>
          <w:szCs w:val="22"/>
        </w:rPr>
        <w:t xml:space="preserve">Voir les escalades (problèmes bloquants)</w:t>
      </w:r>
    </w:p>
    <w:p>
      <w:pPr>
        <w:pStyle w:val="ListParagraph"/>
        <w:numPr>
          <w:ilvl w:val="0"/>
          <w:numId w:val="2"/>
        </w:numPr>
        <w:spacing w:before="60" w:after="60"/>
      </w:pPr>
      <w:r>
        <w:rPr>
          <w:rFonts w:ascii="Arial" w:cs="Arial" w:eastAsia="Arial" w:hAnsi="Arial"/>
          <w:color w:val="1B1B1B"/>
          <w:sz w:val="22"/>
          <w:szCs w:val="22"/>
        </w:rPr>
        <w:t xml:space="preserve">Recevoir des notifications par email</w:t>
      </w:r>
    </w:p>
    <w:p>
      <w:r>
        <w:t xml:space="preserve"/>
      </w:r>
    </w:p>
    <w:p>
      <w:r>
        <w:t xml:space="preserve"/>
      </w:r>
    </w:p>
    <w:p>
      <w:pPr>
        <w:pStyle w:val="Heading2"/>
        <w:spacing w:before="300" w:after="150"/>
      </w:pPr>
      <w:r>
        <w:rPr>
          <w:rFonts w:ascii="Arial" w:cs="Arial" w:eastAsia="Arial" w:hAnsi="Arial"/>
          <w:b/>
          <w:bCs/>
          <w:color w:val="2D6A4F"/>
          <w:sz w:val="28"/>
          <w:szCs w:val="28"/>
        </w:rPr>
        <w:t xml:space="preserve">5.3 Accès</w:t>
      </w:r>
    </w:p>
    <w:p>
      <w:pPr>
        <w:pStyle w:val="ListParagraph"/>
        <w:numPr>
          <w:ilvl w:val="0"/>
          <w:numId w:val="2"/>
        </w:numPr>
        <w:spacing w:before="60" w:after="60"/>
      </w:pPr>
      <w:r>
        <w:rPr>
          <w:rFonts w:ascii="Arial" w:cs="Arial" w:eastAsia="Arial" w:hAnsi="Arial"/>
          <w:color w:val="1B1B1B"/>
          <w:sz w:val="22"/>
          <w:szCs w:val="22"/>
        </w:rPr>
        <w:t xml:space="preserve">Navigateur web (PC) — vue complète</w:t>
      </w:r>
    </w:p>
    <w:p>
      <w:pPr>
        <w:pStyle w:val="ListParagraph"/>
        <w:numPr>
          <w:ilvl w:val="0"/>
          <w:numId w:val="2"/>
        </w:numPr>
        <w:spacing w:before="60" w:after="60"/>
      </w:pPr>
      <w:r>
        <w:rPr>
          <w:rFonts w:ascii="Arial" w:cs="Arial" w:eastAsia="Arial" w:hAnsi="Arial"/>
          <w:color w:val="1B1B1B"/>
          <w:sz w:val="22"/>
          <w:szCs w:val="22"/>
        </w:rPr>
        <w:t xml:space="preserve">Mobile (téléphone) — notifications + validations rapides</w:t>
      </w:r>
    </w:p>
    <w:p>
      <w:pPr>
        <w:pBdr>
          <w:bottom w:val="single" w:color="52B788" w:sz="4" w:space="1"/>
        </w:pBdr>
        <w:spacing w:before="200" w:after="200"/>
      </w:pPr>
    </w:p>
    <w:p>
      <w:pPr>
        <w:pStyle w:val="Heading1"/>
        <w:spacing w:before="400" w:after="200"/>
      </w:pPr>
      <w:r>
        <w:rPr>
          <w:rFonts w:ascii="Arial" w:cs="Arial" w:eastAsia="Arial" w:hAnsi="Arial"/>
          <w:b/>
          <w:bCs/>
          <w:color w:val="2D6A4F"/>
          <w:sz w:val="36"/>
          <w:szCs w:val="36"/>
        </w:rPr>
        <w:t xml:space="preserve">6. Back-Office Interne AGROGINA</w:t>
      </w:r>
    </w:p>
    <w:p>
      <w:pPr>
        <w:spacing w:before="80" w:after="80"/>
      </w:pPr>
      <w:r>
        <w:rPr>
          <w:rFonts w:ascii="Arial" w:cs="Arial" w:eastAsia="Arial" w:hAnsi="Arial"/>
          <w:color w:val="1B1B1B"/>
          <w:sz w:val="22"/>
          <w:szCs w:val="22"/>
        </w:rPr>
        <w:t xml:space="preserve">AGROGINA gère AGROGINA. Principe : Eat your own dog food. La startup utilise son propre ERP pour sa gestion interne. C'est le meilleur test réel du produit et un argument de vente puissant à SIAM.</w:t>
      </w:r>
    </w:p>
    <w:p>
      <w:r>
        <w:t xml:space="preserve"/>
      </w:r>
    </w:p>
    <w:p>
      <w:pPr>
        <w:pStyle w:val="Heading2"/>
        <w:spacing w:before="300" w:after="150"/>
      </w:pPr>
      <w:r>
        <w:rPr>
          <w:rFonts w:ascii="Arial" w:cs="Arial" w:eastAsia="Arial" w:hAnsi="Arial"/>
          <w:b/>
          <w:bCs/>
          <w:color w:val="2D6A4F"/>
          <w:sz w:val="28"/>
          <w:szCs w:val="28"/>
        </w:rPr>
        <w:t xml:space="preserve">6.1 Modules du Back-Office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CCCCCC" w:sz="1"/>
              <w:left w:val="single" w:color="CCCCCC" w:sz="1"/>
              <w:bottom w:val="single" w:color="CCCCCC" w:sz="1"/>
              <w:right w:val="single" w:color="CCCCCC" w:sz="1"/>
            </w:tcBorders>
            <w:shd w:fill="2D6A4F" w:val="clear"/>
            <w:tcMar>
              <w:top w:type="dxa" w:w="100"/>
              <w:left w:type="dxa" w:w="150"/>
              <w:bottom w:type="dxa" w:w="100"/>
              <w:right w:type="dxa" w:w="150"/>
            </w:tcMar>
          </w:tcPr>
          <w:p>
            <w:r>
              <w:rPr>
                <w:rFonts w:ascii="Arial" w:cs="Arial" w:eastAsia="Arial" w:hAnsi="Arial"/>
                <w:b/>
                <w:bCs/>
                <w:color w:val="FFFFFF"/>
                <w:sz w:val="24"/>
                <w:szCs w:val="24"/>
              </w:rPr>
              <w:t xml:space="preserve">💼 CRM Commercial</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Pipeline des devis (envoyé → négociation → signé → perdu)</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Fiche client (ferme, hectares, tier, contacts, historique)</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Introduction manuelle des devis signés avec tous les détails</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Suivi des renouvellements à venir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CCCCCC" w:sz="1"/>
              <w:left w:val="single" w:color="CCCCCC" w:sz="1"/>
              <w:bottom w:val="single" w:color="CCCCCC" w:sz="1"/>
              <w:right w:val="single" w:color="CCCCCC" w:sz="1"/>
            </w:tcBorders>
            <w:shd w:fill="2D6A4F" w:val="clear"/>
            <w:tcMar>
              <w:top w:type="dxa" w:w="100"/>
              <w:left w:type="dxa" w:w="150"/>
              <w:bottom w:type="dxa" w:w="100"/>
              <w:right w:type="dxa" w:w="150"/>
            </w:tcMar>
          </w:tcPr>
          <w:p>
            <w:r>
              <w:rPr>
                <w:rFonts w:ascii="Arial" w:cs="Arial" w:eastAsia="Arial" w:hAnsi="Arial"/>
                <w:b/>
                <w:bCs/>
                <w:color w:val="FFFFFF"/>
                <w:sz w:val="24"/>
                <w:szCs w:val="24"/>
              </w:rPr>
              <w:t xml:space="preserve">💳 Gestion Abonnements &amp; Paiements</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Statut paiement de chaque client en temps réel</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Alertes automatiques impayés (J+7, J+15, J+30)</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Rappels générés par Agent Finance → CEO valide avant envoi</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Intégration Polar.sh pour les futurs paiements en ligne</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Historique complet des transactions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CCCCCC" w:sz="1"/>
              <w:left w:val="single" w:color="CCCCCC" w:sz="1"/>
              <w:bottom w:val="single" w:color="CCCCCC" w:sz="1"/>
              <w:right w:val="single" w:color="CCCCCC" w:sz="1"/>
            </w:tcBorders>
            <w:shd w:fill="2D6A4F" w:val="clear"/>
            <w:tcMar>
              <w:top w:type="dxa" w:w="100"/>
              <w:left w:type="dxa" w:w="150"/>
              <w:bottom w:type="dxa" w:w="100"/>
              <w:right w:type="dxa" w:w="150"/>
            </w:tcMar>
          </w:tcPr>
          <w:p>
            <w:r>
              <w:rPr>
                <w:rFonts w:ascii="Arial" w:cs="Arial" w:eastAsia="Arial" w:hAnsi="Arial"/>
                <w:b/>
                <w:bCs/>
                <w:color w:val="FFFFFF"/>
                <w:sz w:val="24"/>
                <w:szCs w:val="24"/>
              </w:rPr>
              <w:t xml:space="preserve">🧾 Charges &amp; Coûts</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Upload des factures fournisseurs (VPS, APIs, outils, prestataires)</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Salaires et honoraires prestataires</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Agent Finance lit et catégorise automatiquement</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P&amp;L mensuel généré automatiquement</w:t>
            </w:r>
          </w:p>
        </w:tc>
      </w:tr>
      <w:tr>
        <w:tc>
          <w:tcPr>
            <w:tcW w:type="dxa" w:w="50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2D6A4F"/>
                <w:sz w:val="22"/>
                <w:szCs w:val="22"/>
              </w:rPr>
              <w:t xml:space="preserve">→</w:t>
            </w:r>
          </w:p>
        </w:tc>
        <w:tc>
          <w:tcPr>
            <w:tcW w:type="dxa" w:w="8860"/>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color w:val="1B1B1B"/>
                <w:sz w:val="22"/>
                <w:szCs w:val="22"/>
              </w:rPr>
              <w:t xml:space="preserve">Tableau de bord charges vs revenus en temps réel</w:t>
            </w:r>
          </w:p>
        </w:tc>
      </w:tr>
    </w:tbl>
    <w:p>
      <w:pPr>
        <w:pBdr>
          <w:bottom w:val="single" w:color="52B788" w:sz="4" w:space="1"/>
        </w:pBdr>
        <w:spacing w:before="200" w:after="200"/>
      </w:pPr>
    </w:p>
    <w:p>
      <w:pPr>
        <w:pStyle w:val="Heading1"/>
        <w:spacing w:before="400" w:after="200"/>
      </w:pPr>
      <w:r>
        <w:rPr>
          <w:rFonts w:ascii="Arial" w:cs="Arial" w:eastAsia="Arial" w:hAnsi="Arial"/>
          <w:b/>
          <w:bCs/>
          <w:color w:val="2D6A4F"/>
          <w:sz w:val="36"/>
          <w:szCs w:val="36"/>
        </w:rPr>
        <w:t xml:space="preserve">7. Infrastructure Technique</w:t>
      </w:r>
    </w:p>
    <w:p>
      <w:pPr>
        <w:pStyle w:val="Heading2"/>
        <w:spacing w:before="300" w:after="150"/>
      </w:pPr>
      <w:r>
        <w:rPr>
          <w:rFonts w:ascii="Arial" w:cs="Arial" w:eastAsia="Arial" w:hAnsi="Arial"/>
          <w:b/>
          <w:bCs/>
          <w:color w:val="2D6A4F"/>
          <w:sz w:val="28"/>
          <w:szCs w:val="28"/>
        </w:rPr>
        <w:t xml:space="preserve">7.1 Stack</w:t>
      </w:r>
    </w:p>
    <w:p>
      <w:pPr>
        <w:pStyle w:val="ListParagraph"/>
        <w:numPr>
          <w:ilvl w:val="0"/>
          <w:numId w:val="2"/>
        </w:numPr>
        <w:spacing w:before="60" w:after="60"/>
      </w:pPr>
      <w:r>
        <w:rPr>
          <w:rFonts w:ascii="Arial" w:cs="Arial" w:eastAsia="Arial" w:hAnsi="Arial"/>
          <w:color w:val="1B1B1B"/>
          <w:sz w:val="22"/>
          <w:szCs w:val="22"/>
        </w:rPr>
        <w:t xml:space="preserve">VPS DigitalOcean : ~$12/mois — tourne 24/7</w:t>
      </w:r>
    </w:p>
    <w:p>
      <w:pPr>
        <w:pStyle w:val="ListParagraph"/>
        <w:numPr>
          <w:ilvl w:val="0"/>
          <w:numId w:val="2"/>
        </w:numPr>
        <w:spacing w:before="60" w:after="60"/>
      </w:pPr>
      <w:r>
        <w:rPr>
          <w:rFonts w:ascii="Arial" w:cs="Arial" w:eastAsia="Arial" w:hAnsi="Arial"/>
          <w:color w:val="1B1B1B"/>
          <w:sz w:val="22"/>
          <w:szCs w:val="22"/>
        </w:rPr>
        <w:t xml:space="preserve">Claude Code : inclus dans l'abonnement Anthropic — moteur des agents</w:t>
      </w:r>
    </w:p>
    <w:p>
      <w:pPr>
        <w:pStyle w:val="ListParagraph"/>
        <w:numPr>
          <w:ilvl w:val="0"/>
          <w:numId w:val="2"/>
        </w:numPr>
        <w:spacing w:before="60" w:after="60"/>
      </w:pPr>
      <w:r>
        <w:rPr>
          <w:rFonts w:ascii="Arial" w:cs="Arial" w:eastAsia="Arial" w:hAnsi="Arial"/>
          <w:color w:val="1B1B1B"/>
          <w:sz w:val="22"/>
          <w:szCs w:val="22"/>
        </w:rPr>
        <w:t xml:space="preserve">GitHub : hébergement du code AGROGINA, accès local pour les agents</w:t>
      </w:r>
    </w:p>
    <w:p>
      <w:pPr>
        <w:pStyle w:val="ListParagraph"/>
        <w:numPr>
          <w:ilvl w:val="0"/>
          <w:numId w:val="2"/>
        </w:numPr>
        <w:spacing w:before="60" w:after="60"/>
      </w:pPr>
      <w:r>
        <w:rPr>
          <w:rFonts w:ascii="Arial" w:cs="Arial" w:eastAsia="Arial" w:hAnsi="Arial"/>
          <w:color w:val="1B1B1B"/>
          <w:sz w:val="22"/>
          <w:szCs w:val="22"/>
        </w:rPr>
        <w:t xml:space="preserve">Playwright : tests visuels automatiques (ouvre Chrome, clique, screenshot)</w:t>
      </w:r>
    </w:p>
    <w:p>
      <w:pPr>
        <w:pStyle w:val="ListParagraph"/>
        <w:numPr>
          <w:ilvl w:val="0"/>
          <w:numId w:val="2"/>
        </w:numPr>
        <w:spacing w:before="60" w:after="60"/>
      </w:pPr>
      <w:r>
        <w:rPr>
          <w:rFonts w:ascii="Arial" w:cs="Arial" w:eastAsia="Arial" w:hAnsi="Arial"/>
          <w:color w:val="1B1B1B"/>
          <w:sz w:val="22"/>
          <w:szCs w:val="22"/>
        </w:rPr>
        <w:t xml:space="preserve">Gmail SMTP : notifications email gratuites</w:t>
      </w:r>
    </w:p>
    <w:p>
      <w:pPr>
        <w:pStyle w:val="ListParagraph"/>
        <w:numPr>
          <w:ilvl w:val="0"/>
          <w:numId w:val="2"/>
        </w:numPr>
        <w:spacing w:before="60" w:after="60"/>
      </w:pPr>
      <w:r>
        <w:rPr>
          <w:rFonts w:ascii="Arial" w:cs="Arial" w:eastAsia="Arial" w:hAnsi="Arial"/>
          <w:color w:val="1B1B1B"/>
          <w:sz w:val="22"/>
          <w:szCs w:val="22"/>
        </w:rPr>
        <w:t xml:space="preserve">Polar.sh : paiements en ligne futurs</w:t>
      </w:r>
    </w:p>
    <w:p>
      <w:r>
        <w:t xml:space="preserve"/>
      </w:r>
    </w:p>
    <w:p>
      <w:r>
        <w:t xml:space="preserve"/>
      </w:r>
    </w:p>
    <w:p>
      <w:pPr>
        <w:pStyle w:val="Heading2"/>
        <w:spacing w:before="300" w:after="150"/>
      </w:pPr>
      <w:r>
        <w:rPr>
          <w:rFonts w:ascii="Arial" w:cs="Arial" w:eastAsia="Arial" w:hAnsi="Arial"/>
          <w:b/>
          <w:bCs/>
          <w:color w:val="2D6A4F"/>
          <w:sz w:val="28"/>
          <w:szCs w:val="28"/>
        </w:rPr>
        <w:t xml:space="preserve">7.2 Coût mensuel total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360"/>
        <w:gridCol w:w="2000"/>
      </w:tblGrid>
      <w:tr>
        <w:tc>
          <w:tcPr>
            <w:tcBorders>
              <w:top w:val="single" w:color="CCCCCC" w:sz="1"/>
              <w:left w:val="single" w:color="CCCCCC" w:sz="1"/>
              <w:bottom w:val="single" w:color="CCCCCC" w:sz="1"/>
              <w:right w:val="single" w:color="CCCCCC" w:sz="1"/>
            </w:tcBorders>
            <w:shd w:fill="2D6A4F" w:val="clear"/>
            <w:tcMar>
              <w:top w:type="dxa" w:w="100"/>
              <w:left w:type="dxa" w:w="150"/>
              <w:bottom w:type="dxa" w:w="100"/>
              <w:right w:type="dxa" w:w="150"/>
            </w:tcMar>
          </w:tcPr>
          <w:p>
            <w:r>
              <w:rPr>
                <w:rFonts w:ascii="Arial" w:cs="Arial" w:eastAsia="Arial" w:hAnsi="Arial"/>
                <w:b/>
                <w:bCs/>
                <w:color w:val="FFFFFF"/>
                <w:sz w:val="22"/>
                <w:szCs w:val="22"/>
              </w:rPr>
              <w:t xml:space="preserve">Élément</w:t>
            </w:r>
          </w:p>
        </w:tc>
        <w:tc>
          <w:tcPr>
            <w:tcBorders>
              <w:top w:val="single" w:color="CCCCCC" w:sz="1"/>
              <w:left w:val="single" w:color="CCCCCC" w:sz="1"/>
              <w:bottom w:val="single" w:color="CCCCCC" w:sz="1"/>
              <w:right w:val="single" w:color="CCCCCC" w:sz="1"/>
            </w:tcBorders>
            <w:shd w:fill="2D6A4F" w:val="clear"/>
            <w:tcMar>
              <w:top w:type="dxa" w:w="100"/>
              <w:left w:type="dxa" w:w="150"/>
              <w:bottom w:type="dxa" w:w="100"/>
              <w:right w:type="dxa" w:w="150"/>
            </w:tcMar>
          </w:tcPr>
          <w:p>
            <w:r>
              <w:rPr>
                <w:rFonts w:ascii="Arial" w:cs="Arial" w:eastAsia="Arial" w:hAnsi="Arial"/>
                <w:b/>
                <w:bCs/>
                <w:color w:val="FFFFFF"/>
                <w:sz w:val="22"/>
                <w:szCs w:val="22"/>
              </w:rPr>
              <w:t xml:space="preserve">Coût/mois</w:t>
            </w:r>
          </w:p>
        </w:tc>
        <w:tc>
          <w:tcPr>
            <w:tcBorders>
              <w:top w:val="single" w:color="CCCCCC" w:sz="1"/>
              <w:left w:val="single" w:color="CCCCCC" w:sz="1"/>
              <w:bottom w:val="single" w:color="CCCCCC" w:sz="1"/>
              <w:right w:val="single" w:color="CCCCCC" w:sz="1"/>
            </w:tcBorders>
            <w:shd w:fill="2D6A4F" w:val="clear"/>
            <w:tcMar>
              <w:top w:type="dxa" w:w="100"/>
              <w:left w:type="dxa" w:w="150"/>
              <w:bottom w:type="dxa" w:w="100"/>
              <w:right w:type="dxa" w:w="150"/>
            </w:tcMar>
          </w:tcPr>
          <w:p>
            <w:r>
              <w:rPr>
                <w:rFonts w:ascii="Arial" w:cs="Arial" w:eastAsia="Arial" w:hAnsi="Arial"/>
                <w:b/>
                <w:bCs/>
                <w:color w:val="FFFFFF"/>
                <w:sz w:val="22"/>
                <w:szCs w:val="22"/>
              </w:rPr>
              <w:t xml:space="preserve">Notes</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B1B1B"/>
                <w:sz w:val="21"/>
                <w:szCs w:val="21"/>
              </w:rPr>
              <w:t xml:space="preserve">VPS DigitalOcean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B1B1B"/>
                <w:sz w:val="21"/>
                <w:szCs w:val="21"/>
              </w:rPr>
              <w:t xml:space="preserve">~$12</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B1B1B"/>
                <w:sz w:val="21"/>
                <w:szCs w:val="21"/>
              </w:rPr>
              <w:t xml:space="preserve">Serveur 24/7</w:t>
            </w:r>
          </w:p>
        </w:tc>
      </w:tr>
      <w:tr>
        <w:tc>
          <w:tcPr>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b w:val="false"/>
                <w:bCs w:val="false"/>
                <w:color w:val="1B1B1B"/>
                <w:sz w:val="21"/>
                <w:szCs w:val="21"/>
              </w:rPr>
              <w:t xml:space="preserve">Claude Code (agents)</w:t>
            </w:r>
          </w:p>
        </w:tc>
        <w:tc>
          <w:tcPr>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b w:val="false"/>
                <w:bCs w:val="false"/>
                <w:color w:val="1B1B1B"/>
                <w:sz w:val="21"/>
                <w:szCs w:val="21"/>
              </w:rPr>
              <w:t xml:space="preserve">Inclus</w:t>
            </w:r>
          </w:p>
        </w:tc>
        <w:tc>
          <w:tcPr>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b w:val="false"/>
                <w:bCs w:val="false"/>
                <w:color w:val="1B1B1B"/>
                <w:sz w:val="21"/>
                <w:szCs w:val="21"/>
              </w:rPr>
              <w:t xml:space="preserve">Abonnement Anthropic</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B1B1B"/>
                <w:sz w:val="21"/>
                <w:szCs w:val="21"/>
              </w:rPr>
              <w:t xml:space="preserve">Playwright (QA visuel)</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B1B1B"/>
                <w:sz w:val="21"/>
                <w:szCs w:val="21"/>
              </w:rPr>
              <w:t xml:space="preserve">Gratuit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B1B1B"/>
                <w:sz w:val="21"/>
                <w:szCs w:val="21"/>
              </w:rPr>
              <w:t xml:space="preserve">Open source</w:t>
            </w:r>
          </w:p>
        </w:tc>
      </w:tr>
      <w:tr>
        <w:tc>
          <w:tcPr>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b w:val="false"/>
                <w:bCs w:val="false"/>
                <w:color w:val="1B1B1B"/>
                <w:sz w:val="21"/>
                <w:szCs w:val="21"/>
              </w:rPr>
              <w:t xml:space="preserve">Gmail SMTP (notifications)</w:t>
            </w:r>
          </w:p>
        </w:tc>
        <w:tc>
          <w:tcPr>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b w:val="false"/>
                <w:bCs w:val="false"/>
                <w:color w:val="1B1B1B"/>
                <w:sz w:val="21"/>
                <w:szCs w:val="21"/>
              </w:rPr>
              <w:t xml:space="preserve">Gratuit</w:t>
            </w:r>
          </w:p>
        </w:tc>
        <w:tc>
          <w:tcPr>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b w:val="false"/>
                <w:bCs w:val="false"/>
                <w:color w:val="1B1B1B"/>
                <w:sz w:val="21"/>
                <w:szCs w:val="21"/>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B1B1B"/>
                <w:sz w:val="21"/>
                <w:szCs w:val="21"/>
              </w:rPr>
              <w:t xml:space="preserve">Polar.sh (paiements)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B1B1B"/>
                <w:sz w:val="21"/>
                <w:szCs w:val="21"/>
              </w:rPr>
              <w:t xml:space="preserve">% transaction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B1B1B"/>
                <w:sz w:val="21"/>
                <w:szCs w:val="21"/>
              </w:rPr>
              <w:t xml:space="preserve">Futur</w:t>
            </w:r>
          </w:p>
        </w:tc>
      </w:tr>
      <w:tr>
        <w:tc>
          <w:tcPr>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1B1B1B"/>
                <w:sz w:val="21"/>
                <w:szCs w:val="21"/>
              </w:rPr>
              <w:t xml:space="preserve">TOTAL</w:t>
            </w:r>
          </w:p>
        </w:tc>
        <w:tc>
          <w:tcPr>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1B1B1B"/>
                <w:sz w:val="21"/>
                <w:szCs w:val="21"/>
              </w:rPr>
              <w:t xml:space="preserve">~$12/mois</w:t>
            </w:r>
          </w:p>
        </w:tc>
        <w:tc>
          <w:tcPr>
            <w:tcBorders>
              <w:top w:val="single" w:color="CCCCCC" w:sz="1"/>
              <w:left w:val="single" w:color="CCCCCC" w:sz="1"/>
              <w:bottom w:val="single" w:color="CCCCCC" w:sz="1"/>
              <w:right w:val="single" w:color="CCCCCC" w:sz="1"/>
            </w:tcBorders>
            <w:shd w:fill="D8F3DC" w:val="clear"/>
            <w:tcMar>
              <w:top w:type="dxa" w:w="80"/>
              <w:left w:type="dxa" w:w="150"/>
              <w:bottom w:type="dxa" w:w="80"/>
              <w:right w:type="dxa" w:w="150"/>
            </w:tcMar>
          </w:tcPr>
          <w:p>
            <w:r>
              <w:rPr>
                <w:rFonts w:ascii="Arial" w:cs="Arial" w:eastAsia="Arial" w:hAnsi="Arial"/>
                <w:b/>
                <w:bCs/>
                <w:color w:val="1B1B1B"/>
                <w:sz w:val="21"/>
                <w:szCs w:val="21"/>
              </w:rPr>
              <w:t xml:space="preserve"/>
            </w:r>
          </w:p>
        </w:tc>
      </w:tr>
    </w:tbl>
    <w:p>
      <w:pPr>
        <w:pBdr>
          <w:bottom w:val="single" w:color="52B788" w:sz="4" w:space="1"/>
        </w:pBdr>
        <w:spacing w:before="200" w:after="200"/>
      </w:pPr>
    </w:p>
    <w:p>
      <w:pPr>
        <w:pStyle w:val="Heading1"/>
        <w:spacing w:before="400" w:after="200"/>
      </w:pPr>
      <w:r>
        <w:rPr>
          <w:rFonts w:ascii="Arial" w:cs="Arial" w:eastAsia="Arial" w:hAnsi="Arial"/>
          <w:b/>
          <w:bCs/>
          <w:color w:val="2D6A4F"/>
          <w:sz w:val="36"/>
          <w:szCs w:val="36"/>
        </w:rPr>
        <w:t xml:space="preserve">8. Plan d'Exécution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80"/>
        <w:gridCol w:w="2780"/>
      </w:tblGrid>
      <w:tr>
        <w:tc>
          <w:tcPr>
            <w:tcW w:type="dxa" w:w="2800"/>
            <w:tcBorders>
              <w:top w:val="single" w:color="CCCCCC" w:sz="1"/>
              <w:left w:val="single" w:color="CCCCCC" w:sz="1"/>
              <w:bottom w:val="single" w:color="CCCCCC" w:sz="1"/>
              <w:right w:val="single" w:color="CCCCCC" w:sz="1"/>
            </w:tcBorders>
            <w:shd w:fill="2D6A4F" w:val="clear"/>
            <w:tcMar>
              <w:top w:type="dxa" w:w="100"/>
              <w:left w:type="dxa" w:w="150"/>
              <w:bottom w:type="dxa" w:w="100"/>
              <w:right w:type="dxa" w:w="150"/>
            </w:tcMar>
          </w:tcPr>
          <w:p>
            <w:r>
              <w:rPr>
                <w:rFonts w:ascii="Arial" w:cs="Arial" w:eastAsia="Arial" w:hAnsi="Arial"/>
                <w:b/>
                <w:bCs/>
                <w:color w:val="FFFFFF"/>
                <w:sz w:val="22"/>
                <w:szCs w:val="22"/>
              </w:rPr>
              <w:t xml:space="preserve">Étape</w:t>
            </w:r>
          </w:p>
        </w:tc>
        <w:tc>
          <w:tcPr>
            <w:tcW w:type="dxa" w:w="3780"/>
            <w:tcBorders>
              <w:top w:val="single" w:color="CCCCCC" w:sz="1"/>
              <w:left w:val="single" w:color="CCCCCC" w:sz="1"/>
              <w:bottom w:val="single" w:color="CCCCCC" w:sz="1"/>
              <w:right w:val="single" w:color="CCCCCC" w:sz="1"/>
            </w:tcBorders>
            <w:shd w:fill="2D6A4F" w:val="clear"/>
            <w:tcMar>
              <w:top w:type="dxa" w:w="100"/>
              <w:left w:type="dxa" w:w="150"/>
              <w:bottom w:type="dxa" w:w="100"/>
              <w:right w:type="dxa" w:w="150"/>
            </w:tcMar>
          </w:tcPr>
          <w:p>
            <w:r>
              <w:rPr>
                <w:rFonts w:ascii="Arial" w:cs="Arial" w:eastAsia="Arial" w:hAnsi="Arial"/>
                <w:b/>
                <w:bCs/>
                <w:color w:val="FFFFFF"/>
                <w:sz w:val="22"/>
                <w:szCs w:val="22"/>
              </w:rPr>
              <w:t xml:space="preserve">Action</w:t>
            </w:r>
          </w:p>
        </w:tc>
        <w:tc>
          <w:tcPr>
            <w:tcW w:type="dxa" w:w="2780"/>
            <w:tcBorders>
              <w:top w:val="single" w:color="CCCCCC" w:sz="1"/>
              <w:left w:val="single" w:color="CCCCCC" w:sz="1"/>
              <w:bottom w:val="single" w:color="CCCCCC" w:sz="1"/>
              <w:right w:val="single" w:color="CCCCCC" w:sz="1"/>
            </w:tcBorders>
            <w:shd w:fill="2D6A4F" w:val="clear"/>
            <w:tcMar>
              <w:top w:type="dxa" w:w="100"/>
              <w:left w:type="dxa" w:w="150"/>
              <w:bottom w:type="dxa" w:w="100"/>
              <w:right w:type="dxa" w:w="150"/>
            </w:tcMar>
          </w:tcPr>
          <w:p>
            <w:r>
              <w:rPr>
                <w:rFonts w:ascii="Arial" w:cs="Arial" w:eastAsia="Arial" w:hAnsi="Arial"/>
                <w:b/>
                <w:bCs/>
                <w:color w:val="FFFFFF"/>
                <w:sz w:val="22"/>
                <w:szCs w:val="22"/>
              </w:rPr>
              <w:t xml:space="preserve">Responsable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1</w:t>
            </w:r>
          </w:p>
        </w:tc>
        <w:tc>
          <w:tcPr>
            <w:tcW w:type="dxa" w:w="3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Construire les fichiers de documentation (cerveau)</w:t>
            </w:r>
          </w:p>
        </w:tc>
        <w:tc>
          <w:tcPr>
            <w:tcW w:type="dxa" w:w="2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CEO + Claude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2</w:t>
            </w:r>
          </w:p>
        </w:tc>
        <w:tc>
          <w:tcPr>
            <w:tcW w:type="dxa" w:w="378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Setup VPS DigitalOcean + Claude Code</w:t>
            </w:r>
          </w:p>
        </w:tc>
        <w:tc>
          <w:tcPr>
            <w:tcW w:type="dxa" w:w="278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Dev (1h)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3</w:t>
            </w:r>
          </w:p>
        </w:tc>
        <w:tc>
          <w:tcPr>
            <w:tcW w:type="dxa" w:w="3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Développer le Dashboard CEO</w:t>
            </w:r>
          </w:p>
        </w:tc>
        <w:tc>
          <w:tcPr>
            <w:tcW w:type="dxa" w:w="2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Claude génère le code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4</w:t>
            </w:r>
          </w:p>
        </w:tc>
        <w:tc>
          <w:tcPr>
            <w:tcW w:type="dxa" w:w="378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Connecter GitHub aux agents</w:t>
            </w:r>
          </w:p>
        </w:tc>
        <w:tc>
          <w:tcPr>
            <w:tcW w:type="dxa" w:w="278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Dev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5</w:t>
            </w:r>
          </w:p>
        </w:tc>
        <w:tc>
          <w:tcPr>
            <w:tcW w:type="dxa" w:w="3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Configurer Playwright + personas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Claude génère le code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6</w:t>
            </w:r>
          </w:p>
        </w:tc>
        <w:tc>
          <w:tcPr>
            <w:tcW w:type="dxa" w:w="378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Test avec une vraie tâche SIAM</w:t>
            </w:r>
          </w:p>
        </w:tc>
        <w:tc>
          <w:tcPr>
            <w:tcW w:type="dxa" w:w="278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CEO valide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7 (post-SIAM)</w:t>
            </w:r>
          </w:p>
        </w:tc>
        <w:tc>
          <w:tcPr>
            <w:tcW w:type="dxa" w:w="3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Ajouter départements Marketing, SEO, Finance</w:t>
            </w:r>
          </w:p>
        </w:tc>
        <w:tc>
          <w:tcPr>
            <w:tcW w:type="dxa" w:w="2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CEO + Claude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8 (post-SIAM)</w:t>
            </w:r>
          </w:p>
        </w:tc>
        <w:tc>
          <w:tcPr>
            <w:tcW w:type="dxa" w:w="378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Construire le Back-Office interne</w:t>
            </w:r>
          </w:p>
        </w:tc>
        <w:tc>
          <w:tcPr>
            <w:tcW w:type="dxa" w:w="2780"/>
            <w:tcBorders>
              <w:top w:val="single" w:color="CCCCCC" w:sz="1"/>
              <w:left w:val="single" w:color="CCCCCC" w:sz="1"/>
              <w:bottom w:val="single" w:color="CCCCCC" w:sz="1"/>
              <w:right w:val="single" w:color="CCCCCC" w:sz="1"/>
            </w:tcBorders>
            <w:shd w:fill="F4F4F4" w:val="clear"/>
            <w:tcMar>
              <w:top w:type="dxa" w:w="80"/>
              <w:left w:type="dxa" w:w="150"/>
              <w:bottom w:type="dxa" w:w="80"/>
              <w:right w:type="dxa" w:w="150"/>
            </w:tcMar>
          </w:tcPr>
          <w:p>
            <w:r>
              <w:rPr>
                <w:rFonts w:ascii="Arial" w:cs="Arial" w:eastAsia="Arial" w:hAnsi="Arial"/>
                <w:color w:val="1B1B1B"/>
                <w:sz w:val="21"/>
                <w:szCs w:val="21"/>
              </w:rPr>
              <w:t xml:space="preserve">Agents Dev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9 (futur)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Adapter le système pour d'autres domaines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B1B1B"/>
                <w:sz w:val="21"/>
                <w:szCs w:val="21"/>
              </w:rPr>
              <w:t xml:space="preserve">CEO — nouveau produit</w:t>
            </w:r>
          </w:p>
        </w:tc>
      </w:tr>
    </w:tbl>
    <w:p>
      <w:pPr>
        <w:pBdr>
          <w:bottom w:val="single" w:color="52B788" w:sz="4" w:space="1"/>
        </w:pBdr>
        <w:spacing w:before="200" w:after="200"/>
      </w:pPr>
    </w:p>
    <w:p>
      <w:pPr>
        <w:pStyle w:val="Heading1"/>
        <w:spacing w:before="400" w:after="200"/>
      </w:pPr>
      <w:r>
        <w:rPr>
          <w:rFonts w:ascii="Arial" w:cs="Arial" w:eastAsia="Arial" w:hAnsi="Arial"/>
          <w:b/>
          <w:bCs/>
          <w:color w:val="2D6A4F"/>
          <w:sz w:val="36"/>
          <w:szCs w:val="36"/>
        </w:rPr>
        <w:t xml:space="preserve">9. Priorités Immédiates — SIAM 2026</w:t>
      </w:r>
    </w:p>
    <w:p>
      <w:pPr>
        <w:spacing w:before="80" w:after="80"/>
      </w:pPr>
      <w:r>
        <w:rPr>
          <w:rFonts w:ascii="Arial" w:cs="Arial" w:eastAsia="Arial" w:hAnsi="Arial"/>
          <w:color w:val="1B1B1B"/>
          <w:sz w:val="22"/>
          <w:szCs w:val="22"/>
        </w:rPr>
        <w:t xml:space="preserve">Date cible : 20-26 Avril 2026 à Meknès. Toutes les ressources agents sont orientées vers cet objectif.</w:t>
      </w:r>
    </w:p>
    <w:p>
      <w:r>
        <w:t xml:space="preserve"/>
      </w:r>
    </w:p>
    <w:p>
      <w:pPr>
        <w:pStyle w:val="ListParagraph"/>
        <w:numPr>
          <w:ilvl w:val="0"/>
          <w:numId w:val="2"/>
        </w:numPr>
        <w:spacing w:before="60" w:after="60"/>
      </w:pPr>
      <w:r>
        <w:rPr>
          <w:rFonts w:ascii="Arial" w:cs="Arial" w:eastAsia="Arial" w:hAnsi="Arial"/>
          <w:color w:val="1B1B1B"/>
          <w:sz w:val="22"/>
          <w:szCs w:val="22"/>
        </w:rPr>
        <w:t xml:space="preserve">Tâche #0 : Corriger les bugs de l'audit Antigravity (QueryClient double, localhost hardcodé, monkey-patching Supabase, Celery/Redis manquant, fichiers .bak)</w:t>
      </w:r>
    </w:p>
    <w:p>
      <w:pPr>
        <w:pStyle w:val="ListParagraph"/>
        <w:numPr>
          <w:ilvl w:val="0"/>
          <w:numId w:val="2"/>
        </w:numPr>
        <w:spacing w:before="60" w:after="60"/>
      </w:pPr>
      <w:r>
        <w:rPr>
          <w:rFonts w:ascii="Arial" w:cs="Arial" w:eastAsia="Arial" w:hAnsi="Arial"/>
          <w:color w:val="1B1B1B"/>
          <w:sz w:val="22"/>
          <w:szCs w:val="22"/>
        </w:rPr>
        <w:t xml:space="preserve">Tâche #1 : Construire le module Back-Office interne basique (CRM + Paiements) pour gérer AGROGINA avec AGROGINA</w:t>
      </w:r>
    </w:p>
    <w:p>
      <w:pPr>
        <w:pStyle w:val="ListParagraph"/>
        <w:numPr>
          <w:ilvl w:val="0"/>
          <w:numId w:val="2"/>
        </w:numPr>
        <w:spacing w:before="60" w:after="60"/>
      </w:pPr>
      <w:r>
        <w:rPr>
          <w:rFonts w:ascii="Arial" w:cs="Arial" w:eastAsia="Arial" w:hAnsi="Arial"/>
          <w:color w:val="1B1B1B"/>
          <w:sz w:val="22"/>
          <w:szCs w:val="22"/>
        </w:rPr>
        <w:t xml:space="preserve">Tâche #2 : Finaliser les features clients prioritaires pour la démo SIAM</w:t>
      </w:r>
    </w:p>
    <w:p>
      <w:pPr>
        <w:pStyle w:val="ListParagraph"/>
        <w:numPr>
          <w:ilvl w:val="0"/>
          <w:numId w:val="2"/>
        </w:numPr>
        <w:spacing w:before="60" w:after="60"/>
      </w:pPr>
      <w:r>
        <w:rPr>
          <w:rFonts w:ascii="Arial" w:cs="Arial" w:eastAsia="Arial" w:hAnsi="Arial"/>
          <w:color w:val="1B1B1B"/>
          <w:sz w:val="22"/>
          <w:szCs w:val="22"/>
        </w:rPr>
        <w:t xml:space="preserve">Tâche #3 : Tests complets via Agent QA Playwright avant démo</w:t>
      </w:r>
    </w:p>
    <w:p>
      <w:pPr>
        <w:pBdr>
          <w:bottom w:val="single" w:color="52B788" w:sz="4" w:space="1"/>
        </w:pBdr>
        <w:spacing w:before="200" w:after="200"/>
      </w:pPr>
    </w:p>
    <w:p>
      <w:pPr>
        <w:pStyle w:val="Heading1"/>
        <w:spacing w:before="400" w:after="200"/>
      </w:pPr>
      <w:r>
        <w:rPr>
          <w:rFonts w:ascii="Arial" w:cs="Arial" w:eastAsia="Arial" w:hAnsi="Arial"/>
          <w:b/>
          <w:bCs/>
          <w:color w:val="2D6A4F"/>
          <w:sz w:val="36"/>
          <w:szCs w:val="36"/>
        </w:rPr>
        <w:t xml:space="preserve">10. Vision Future — Le Produit</w:t>
      </w:r>
    </w:p>
    <w:p>
      <w:pPr>
        <w:spacing w:before="80" w:after="80"/>
      </w:pPr>
      <w:r>
        <w:rPr>
          <w:rFonts w:ascii="Arial" w:cs="Arial" w:eastAsia="Arial" w:hAnsi="Arial"/>
          <w:color w:val="1B1B1B"/>
          <w:sz w:val="22"/>
          <w:szCs w:val="22"/>
        </w:rPr>
        <w:t xml:space="preserve">Si le système fonctionne pour AGROGINA, il devient lui-même un produit vendable :</w:t>
      </w:r>
    </w:p>
    <w:p>
      <w:r>
        <w:t xml:space="preserve"/>
      </w:r>
    </w:p>
    <w:p>
      <w:pPr>
        <w:pStyle w:val="ListParagraph"/>
        <w:numPr>
          <w:ilvl w:val="0"/>
          <w:numId w:val="2"/>
        </w:numPr>
        <w:spacing w:before="60" w:after="60"/>
      </w:pPr>
      <w:r>
        <w:rPr>
          <w:rFonts w:ascii="Arial" w:cs="Arial" w:eastAsia="Arial" w:hAnsi="Arial"/>
          <w:color w:val="1B1B1B"/>
          <w:sz w:val="22"/>
          <w:szCs w:val="22"/>
        </w:rPr>
        <w:t xml:space="preserve">Phase 1 (maintenant) : AGROGINA utilise le système pour accélérer son propre développement</w:t>
      </w:r>
    </w:p>
    <w:p>
      <w:pPr>
        <w:pStyle w:val="ListParagraph"/>
        <w:numPr>
          <w:ilvl w:val="0"/>
          <w:numId w:val="2"/>
        </w:numPr>
        <w:spacing w:before="60" w:after="60"/>
      </w:pPr>
      <w:r>
        <w:rPr>
          <w:rFonts w:ascii="Arial" w:cs="Arial" w:eastAsia="Arial" w:hAnsi="Arial"/>
          <w:color w:val="1B1B1B"/>
          <w:sz w:val="22"/>
          <w:szCs w:val="22"/>
        </w:rPr>
        <w:t xml:space="preserve">Phase 2 (2027) : Le système est adapté et vendu à d'autres startups marocaines</w:t>
      </w:r>
    </w:p>
    <w:p>
      <w:pPr>
        <w:pStyle w:val="ListParagraph"/>
        <w:numPr>
          <w:ilvl w:val="0"/>
          <w:numId w:val="2"/>
        </w:numPr>
        <w:spacing w:before="60" w:after="60"/>
      </w:pPr>
      <w:r>
        <w:rPr>
          <w:rFonts w:ascii="Arial" w:cs="Arial" w:eastAsia="Arial" w:hAnsi="Arial"/>
          <w:color w:val="1B1B1B"/>
          <w:sz w:val="22"/>
          <w:szCs w:val="22"/>
        </w:rPr>
        <w:t xml:space="preserve">Phase 3 : Framework generique de Virtual AI Company pour d'autres domaines</w:t>
      </w:r>
    </w:p>
    <w:p>
      <w:r>
        <w:t xml:space="preserve"/>
      </w:r>
    </w:p>
    <w:p>
      <w:pPr>
        <w:spacing w:before="80" w:after="80"/>
      </w:pPr>
      <w:r>
        <w:rPr>
          <w:rFonts w:ascii="Arial" w:cs="Arial" w:eastAsia="Arial" w:hAnsi="Arial"/>
          <w:color w:val="2D6A4F"/>
          <w:sz w:val="22"/>
          <w:szCs w:val="22"/>
        </w:rPr>
        <w:t xml:space="preserve">Ce document est la fondation. Chaque décision prise ici sera implémentée dans le code des agents.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D6A4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D6A4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2026-03-12T06:34:41.028Z</dcterms:created>
  <dcterms:modified xsi:type="dcterms:W3CDTF">2026-03-12T06:34:41.029Z</dcterms:modified>
</cp:coreProperties>
</file>

<file path=docProps/custom.xml><?xml version="1.0" encoding="utf-8"?>
<Properties xmlns="http://schemas.openxmlformats.org/officeDocument/2006/custom-properties" xmlns:vt="http://schemas.openxmlformats.org/officeDocument/2006/docPropsVTypes"/>
</file>