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B3A5C" w:val="clear"/>
            <w:tcMar>
              <w:top w:type="dxa" w:w="500"/>
              <w:left w:type="dxa" w:w="500"/>
              <w:bottom w:type="dxa" w:w="500"/>
              <w:right w:type="dxa" w:w="500"/>
            </w:tcMar>
          </w:tcPr>
          <w:p>
            <w:pPr>
              <w:spacing w:before="0" w:after="120"/>
              <w:jc w:val="center"/>
            </w:pPr>
            <w:r>
              <w:rPr>
                <w:rFonts w:ascii="Arial" w:cs="Arial" w:eastAsia="Arial" w:hAnsi="Arial"/>
                <w:b/>
                <w:bCs/>
                <w:color w:val="FFFFFF"/>
                <w:sz w:val="40"/>
                <w:szCs w:val="40"/>
              </w:rPr>
              <w:t xml:space="preserve">PROMPT DE SORTIE — RAPPORT DE CALIBRAGE</w:t>
            </w:r>
          </w:p>
          <w:p>
            <w:pPr>
              <w:spacing w:before="0" w:after="80"/>
              <w:jc w:val="center"/>
            </w:pPr>
            <w:r>
              <w:rPr>
                <w:rFonts w:ascii="Arial" w:cs="Arial" w:eastAsia="Arial" w:hAnsi="Arial"/>
                <w:b w:val="false"/>
                <w:bCs w:val="false"/>
                <w:color w:val="A8C8E8"/>
                <w:sz w:val="22"/>
                <w:szCs w:val="22"/>
              </w:rPr>
              <w:t xml:space="preserve">Module Calibrage · Architecture Agronomique Beta</w:t>
            </w:r>
          </w:p>
          <w:p>
            <w:pPr>
              <w:spacing w:before="0" w:after="0"/>
              <w:jc w:val="center"/>
            </w:pPr>
            <w:r>
              <w:rPr>
                <w:rFonts w:ascii="Arial" w:cs="Arial" w:eastAsia="Arial" w:hAnsi="Arial"/>
                <w:b w:val="false"/>
                <w:bCs w:val="false"/>
                <w:color w:val="A8C8E8"/>
                <w:sz w:val="20"/>
                <w:szCs w:val="20"/>
              </w:rPr>
              <w:t xml:space="preserve">Toutes Cultures Arboricoles + Olivier  ·  Affiché dans l'application</w:t>
            </w:r>
          </w:p>
          <w:p>
            <w:pPr>
              <w:spacing w:before="60" w:after="0"/>
              <w:jc w:val="center"/>
            </w:pPr>
            <w:r>
              <w:rPr>
                <w:rFonts w:ascii="Arial" w:cs="Arial" w:eastAsia="Arial" w:hAnsi="Arial"/>
                <w:b w:val="false"/>
                <w:bCs w:val="false"/>
                <w:color w:val="7AAAC8"/>
                <w:sz w:val="18"/>
                <w:szCs w:val="18"/>
              </w:rPr>
              <w:t xml:space="preserve">Version 1.0  ·  Février 2026</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3A5C" w:sz="1"/>
              <w:left w:val="single" w:color="1B3A5C" w:sz="18"/>
              <w:bottom w:val="single" w:color="1B3A5C" w:sz="1"/>
              <w:right w:val="single" w:color="1B3A5C" w:sz="1"/>
            </w:tcBorders>
            <w:shd w:fill="EBF4FC" w:val="clear"/>
            <w:tcMar>
              <w:top w:type="dxa" w:w="130"/>
              <w:left w:type="dxa" w:w="220"/>
              <w:bottom w:type="dxa" w:w="130"/>
              <w:right w:type="dxa" w:w="220"/>
            </w:tcMar>
          </w:tcPr>
          <w:p>
            <w:r>
              <w:rPr>
                <w:rFonts w:ascii="Arial" w:cs="Arial" w:eastAsia="Arial" w:hAnsi="Arial"/>
                <w:b/>
                <w:bCs/>
                <w:color w:val="1B3A5C"/>
                <w:sz w:val="20"/>
                <w:szCs w:val="20"/>
              </w:rPr>
              <w:t xml:space="preserve">OBJECTIF : Après exécution du calibrage (Phase 1), l'IA produit un rapport lisible, structuré en 8 sections obligatoires. Pas de scores bruts, pas de graphes. Un état complet de la parcelle que l'agriculteur comprend et que le conseiller utilise directement.</w:t>
            </w:r>
          </w:p>
        </w:tc>
      </w:tr>
    </w:tbl>
    <w:p>
      <w:pPr>
        <w:spacing w:before="160" w:after="0"/>
      </w:pPr>
    </w:p>
    <w:p>
      <w:pPr>
        <w:pStyle w:val="Heading1"/>
        <w:pBdr>
          <w:bottom w:val="single" w:color="2E6DA4" w:sz="8" w:space="1"/>
        </w:pBdr>
        <w:spacing w:before="360" w:after="140"/>
      </w:pPr>
      <w:r>
        <w:rPr>
          <w:rFonts w:ascii="Arial" w:cs="Arial" w:eastAsia="Arial" w:hAnsi="Arial"/>
          <w:b/>
          <w:bCs/>
          <w:color w:val="1B3A5C"/>
          <w:sz w:val="32"/>
          <w:szCs w:val="32"/>
        </w:rPr>
        <w:t xml:space="preserve">PARTIE 1 — INSTRUCTIONS À L'IA</w:t>
      </w:r>
    </w:p>
    <w:p>
      <w:pPr>
        <w:spacing w:before="80" w:after="0"/>
      </w:pPr>
    </w:p>
    <w:p>
      <w:pPr>
        <w:pStyle w:val="Heading2"/>
        <w:spacing w:before="260" w:after="100"/>
      </w:pPr>
      <w:r>
        <w:rPr>
          <w:rFonts w:ascii="Arial" w:cs="Arial" w:eastAsia="Arial" w:hAnsi="Arial"/>
          <w:b/>
          <w:bCs/>
          <w:color w:val="2E6DA4"/>
          <w:sz w:val="26"/>
          <w:szCs w:val="26"/>
        </w:rPr>
        <w:t xml:space="preserve">1.1  Ce que ce prompt déclenche</w:t>
      </w:r>
    </w:p>
    <w:p>
      <w:pPr>
        <w:spacing w:before="60" w:after="60"/>
        <w:jc w:val="left"/>
      </w:pPr>
      <w:r>
        <w:rPr>
          <w:rFonts w:ascii="Arial" w:cs="Arial" w:eastAsia="Arial" w:hAnsi="Arial"/>
          <w:b w:val="false"/>
          <w:bCs w:val="false"/>
          <w:color w:val="333333"/>
          <w:sz w:val="20"/>
          <w:szCs w:val="20"/>
        </w:rPr>
        <w:t xml:space="preserve">Ce prompt s'exécute immédiatement après la validation technique du calibrage (Phase 1 — Moteur Calibrage IA). L'IA a déjà extrait l'historique satellite Sentinel-2, calculé les percentiles P10/P25/P50/P75/P90 pour chaque indice, détecté la phénologie historique, identifié les anomalies passées et calculé le potentiel de rendement. Son rôle ici est de transformer ces résultats en rapport lisible structuré selon le format défini ci-dessous.</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8B0000" w:sz="1"/>
              <w:left w:val="single" w:color="8B0000" w:sz="18"/>
              <w:bottom w:val="single" w:color="8B0000" w:sz="1"/>
              <w:right w:val="single" w:color="8B0000" w:sz="1"/>
            </w:tcBorders>
            <w:shd w:fill="FADAD8" w:val="clear"/>
            <w:tcMar>
              <w:top w:type="dxa" w:w="130"/>
              <w:left w:type="dxa" w:w="220"/>
              <w:bottom w:type="dxa" w:w="130"/>
              <w:right w:type="dxa" w:w="220"/>
            </w:tcMar>
          </w:tcPr>
          <w:p>
            <w:r>
              <w:rPr>
                <w:rFonts w:ascii="Arial" w:cs="Arial" w:eastAsia="Arial" w:hAnsi="Arial"/>
                <w:b/>
                <w:bCs/>
                <w:color w:val="8B0000"/>
                <w:sz w:val="20"/>
                <w:szCs w:val="20"/>
              </w:rPr>
              <w:t xml:space="preserve">RÈGLE ABSOLUE : Ce rapport de calibrage ne contient AUCUNE recommandation d'action, AUCUNE dose, AUCUN produit, AUCUN conseil d'intervention. Ces éléments appartiennent au moteur opérationnel (Phase 2) qui s'active après validation de ce rapport par l'utilisateur.</w:t>
            </w:r>
          </w:p>
        </w:tc>
      </w:tr>
    </w:tbl>
    <w:p>
      <w:pPr>
        <w:spacing w:before="160" w:after="0"/>
      </w:pPr>
    </w:p>
    <w:p>
      <w:pPr>
        <w:pStyle w:val="Heading2"/>
        <w:spacing w:before="260" w:after="100"/>
      </w:pPr>
      <w:r>
        <w:rPr>
          <w:rFonts w:ascii="Arial" w:cs="Arial" w:eastAsia="Arial" w:hAnsi="Arial"/>
          <w:b/>
          <w:bCs/>
          <w:color w:val="2E6DA4"/>
          <w:sz w:val="26"/>
          <w:szCs w:val="26"/>
        </w:rPr>
        <w:t xml:space="preserve">1.2  Règles de rédaction obligatoires</w:t>
      </w:r>
    </w:p>
    <w:p>
      <w:pPr>
        <w:pStyle w:val="ListParagraph"/>
        <w:numPr>
          <w:ilvl w:val="0"/>
          <w:numId w:val="2"/>
        </w:numPr>
        <w:spacing w:before="40" w:after="40"/>
      </w:pPr>
      <w:r>
        <w:rPr>
          <w:rFonts w:ascii="Arial" w:cs="Arial" w:eastAsia="Arial" w:hAnsi="Arial"/>
          <w:b w:val="false"/>
          <w:bCs w:val="false"/>
          <w:color w:val="333333"/>
          <w:sz w:val="20"/>
          <w:szCs w:val="20"/>
        </w:rPr>
        <w:t xml:space="preserve">Langage clair et direct. L'agriculteur doit comprendre chaque phrase sans formation technique préalable.</w:t>
      </w:r>
    </w:p>
    <w:p>
      <w:pPr>
        <w:pStyle w:val="ListParagraph"/>
        <w:numPr>
          <w:ilvl w:val="0"/>
          <w:numId w:val="2"/>
        </w:numPr>
        <w:spacing w:before="40" w:after="40"/>
      </w:pPr>
      <w:r>
        <w:rPr>
          <w:rFonts w:ascii="Arial" w:cs="Arial" w:eastAsia="Arial" w:hAnsi="Arial"/>
          <w:b w:val="false"/>
          <w:bCs w:val="false"/>
          <w:color w:val="333333"/>
          <w:sz w:val="20"/>
          <w:szCs w:val="20"/>
        </w:rPr>
        <w:t xml:space="preserve">Chaque chiffre cité est issu des données réelles traitées — jamais estimé sans base ni inventé.</w:t>
      </w:r>
    </w:p>
    <w:p>
      <w:pPr>
        <w:pStyle w:val="ListParagraph"/>
        <w:numPr>
          <w:ilvl w:val="0"/>
          <w:numId w:val="2"/>
        </w:numPr>
        <w:spacing w:before="40" w:after="40"/>
      </w:pPr>
      <w:r>
        <w:rPr>
          <w:rFonts w:ascii="Arial" w:cs="Arial" w:eastAsia="Arial" w:hAnsi="Arial"/>
          <w:b w:val="false"/>
          <w:bCs w:val="false"/>
          <w:color w:val="333333"/>
          <w:sz w:val="20"/>
          <w:szCs w:val="20"/>
        </w:rPr>
        <w:t xml:space="preserve">Toute donnée manquante ou ancienne est signalée explicitement, avec son impact sur la fiabilité du calibrage.</w:t>
      </w:r>
    </w:p>
    <w:p>
      <w:pPr>
        <w:pStyle w:val="ListParagraph"/>
        <w:numPr>
          <w:ilvl w:val="0"/>
          <w:numId w:val="2"/>
        </w:numPr>
        <w:spacing w:before="40" w:after="40"/>
      </w:pPr>
      <w:r>
        <w:rPr>
          <w:rFonts w:ascii="Arial" w:cs="Arial" w:eastAsia="Arial" w:hAnsi="Arial"/>
          <w:b w:val="false"/>
          <w:bCs w:val="false"/>
          <w:color w:val="333333"/>
          <w:sz w:val="20"/>
          <w:szCs w:val="20"/>
        </w:rPr>
        <w:t xml:space="preserve">Les contraintes structurelles (non corrigibles) sont clairement distinguées des contraintes corrigibles.</w:t>
      </w:r>
    </w:p>
    <w:p>
      <w:pPr>
        <w:pStyle w:val="ListParagraph"/>
        <w:numPr>
          <w:ilvl w:val="0"/>
          <w:numId w:val="2"/>
        </w:numPr>
        <w:spacing w:before="40" w:after="40"/>
      </w:pPr>
      <w:r>
        <w:rPr>
          <w:rFonts w:ascii="Arial" w:cs="Arial" w:eastAsia="Arial" w:hAnsi="Arial"/>
          <w:b w:val="false"/>
          <w:bCs w:val="false"/>
          <w:color w:val="333333"/>
          <w:sz w:val="20"/>
          <w:szCs w:val="20"/>
        </w:rPr>
        <w:t xml:space="preserve">Aucune comparaison entre cette parcelle et d'autres exploitations.</w:t>
      </w:r>
    </w:p>
    <w:p>
      <w:pPr>
        <w:pStyle w:val="ListParagraph"/>
        <w:numPr>
          <w:ilvl w:val="0"/>
          <w:numId w:val="2"/>
        </w:numPr>
        <w:spacing w:before="40" w:after="40"/>
      </w:pPr>
      <w:r>
        <w:rPr>
          <w:rFonts w:ascii="Arial" w:cs="Arial" w:eastAsia="Arial" w:hAnsi="Arial"/>
          <w:b w:val="false"/>
          <w:bCs w:val="false"/>
          <w:color w:val="333333"/>
          <w:sz w:val="20"/>
          <w:szCs w:val="20"/>
        </w:rPr>
        <w:t xml:space="preserve">Toute analyse est strictement relative à cette parcelle et à son historique propre.</w:t>
      </w:r>
    </w:p>
    <w:p>
      <w:pPr>
        <w:pStyle w:val="ListParagraph"/>
        <w:numPr>
          <w:ilvl w:val="0"/>
          <w:numId w:val="2"/>
        </w:numPr>
        <w:spacing w:before="40" w:after="40"/>
      </w:pPr>
      <w:r>
        <w:rPr>
          <w:rFonts w:ascii="Arial" w:cs="Arial" w:eastAsia="Arial" w:hAnsi="Arial"/>
          <w:b w:val="false"/>
          <w:bCs w:val="false"/>
          <w:color w:val="333333"/>
          <w:sz w:val="20"/>
          <w:szCs w:val="20"/>
        </w:rPr>
        <w:t xml:space="preserve">Le niveau de confiance global est affiché en tête de rapport avec les raisons précises qui le déterminent.</w:t>
      </w:r>
    </w:p>
    <w:p>
      <w:pPr>
        <w:spacing w:before="160" w:after="0"/>
      </w:pPr>
    </w:p>
    <w:p>
      <w:pPr>
        <w:pStyle w:val="Heading2"/>
        <w:spacing w:before="260" w:after="100"/>
      </w:pPr>
      <w:r>
        <w:rPr>
          <w:rFonts w:ascii="Arial" w:cs="Arial" w:eastAsia="Arial" w:hAnsi="Arial"/>
          <w:b/>
          <w:bCs/>
          <w:color w:val="2E6DA4"/>
          <w:sz w:val="26"/>
          <w:szCs w:val="26"/>
        </w:rPr>
        <w:t xml:space="preserve">1.3  Hiérarchie des sources — rappel</w:t>
      </w:r>
    </w:p>
    <w:p>
      <w:pPr>
        <w:spacing w:before="60" w:after="60"/>
        <w:jc w:val="left"/>
      </w:pPr>
      <w:r>
        <w:rPr>
          <w:rFonts w:ascii="Arial" w:cs="Arial" w:eastAsia="Arial" w:hAnsi="Arial"/>
          <w:b w:val="false"/>
          <w:bCs w:val="false"/>
          <w:color w:val="333333"/>
          <w:sz w:val="20"/>
          <w:szCs w:val="20"/>
        </w:rPr>
        <w:t xml:space="preserve">En cas de conflit entre les données, l'IA applique cet ordre de priorité :</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806"/>
      </w:tblGrid>
      <w:tr>
        <w:tc>
          <w:tcPr>
            <w:tcW w:type="dxa" w:w="9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Priorité</w:t>
            </w:r>
          </w:p>
        </w:tc>
        <w:tc>
          <w:tcPr>
            <w:tcW w:type="dxa" w:w="2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Source</w:t>
            </w:r>
          </w:p>
        </w:tc>
        <w:tc>
          <w:tcPr>
            <w:tcW w:type="dxa" w:w="58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Raison</w:t>
            </w:r>
          </w:p>
        </w:tc>
      </w:tr>
      <w:tr>
        <w:tc>
          <w:tcPr>
            <w:tcW w:type="dxa" w:w="9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bCs/>
                <w:color w:val="1E6640"/>
                <w:sz w:val="20"/>
                <w:szCs w:val="20"/>
              </w:rPr>
              <w:t xml:space="preserve">1</w:t>
            </w:r>
          </w:p>
        </w:tc>
        <w:tc>
          <w:tcPr>
            <w:tcW w:type="dxa" w:w="2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Données terrain utilisateur (analyses labo)</w:t>
            </w:r>
          </w:p>
        </w:tc>
        <w:tc>
          <w:tcPr>
            <w:tcW w:type="dxa" w:w="58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Mesure directe et précise — vérité terrain</w:t>
            </w:r>
          </w:p>
        </w:tc>
      </w:tr>
      <w:tr>
        <w:tc>
          <w:tcPr>
            <w:tcW w:type="dxa" w:w="9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bCs/>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Historique rendements réels déclarés</w:t>
            </w:r>
          </w:p>
        </w:tc>
        <w:tc>
          <w:tcPr>
            <w:tcW w:type="dxa" w:w="58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Vérité campagne — jamais substituable</w:t>
            </w:r>
          </w:p>
        </w:tc>
      </w:tr>
      <w:tr>
        <w:tc>
          <w:tcPr>
            <w:tcW w:type="dxa" w:w="9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bCs/>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Données satellite Sentinel-2</w:t>
            </w:r>
          </w:p>
        </w:tc>
        <w:tc>
          <w:tcPr>
            <w:tcW w:type="dxa" w:w="58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Objectif, répétable, couvrant 12 à 36 mois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Données météo ERA5 / Open-Meteo</w:t>
            </w:r>
          </w:p>
        </w:tc>
        <w:tc>
          <w:tcPr>
            <w:tcW w:type="dxa" w:w="58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Modélisation — peut avoir un biais local</w:t>
            </w:r>
          </w:p>
        </w:tc>
      </w:tr>
      <w:tr>
        <w:tc>
          <w:tcPr>
            <w:tcW w:type="dxa" w:w="9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bCs/>
                <w:color w:val="C05A10"/>
                <w:sz w:val="20"/>
                <w:szCs w:val="20"/>
              </w:rPr>
              <w:t xml:space="preserve">5</w:t>
            </w:r>
          </w:p>
        </w:tc>
        <w:tc>
          <w:tcPr>
            <w:tcW w:type="dxa" w:w="28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Valeurs par défaut du référentiel culture</w:t>
            </w:r>
          </w:p>
        </w:tc>
        <w:tc>
          <w:tcPr>
            <w:tcW w:type="dxa" w:w="58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Génériques, non personnalisées — usage uniquement si aucune autre source disponible</w:t>
            </w:r>
          </w:p>
        </w:tc>
      </w:tr>
    </w:tbl>
    <w:p>
      <w:pPr>
        <w:spacing w:before="160" w:after="0"/>
      </w:pPr>
    </w:p>
    <w:p>
      <w:pPr>
        <w:pStyle w:val="Heading2"/>
        <w:spacing w:before="260" w:after="100"/>
      </w:pPr>
      <w:r>
        <w:rPr>
          <w:rFonts w:ascii="Arial" w:cs="Arial" w:eastAsia="Arial" w:hAnsi="Arial"/>
          <w:b/>
          <w:bCs/>
          <w:color w:val="2E6DA4"/>
          <w:sz w:val="26"/>
          <w:szCs w:val="26"/>
        </w:rPr>
        <w:t xml:space="preserve">1.4  Adaptation selon le contexte hydrique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Contexte hydrique</w:t>
            </w:r>
          </w:p>
        </w:tc>
        <w:tc>
          <w:tcPr>
            <w:tcW w:type="dxa" w:w="65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Règle d'interprétation</w:t>
            </w:r>
          </w:p>
        </w:tc>
      </w:tr>
      <w:tr>
        <w:tc>
          <w:tcPr>
            <w:tcW w:type="dxa" w:w="3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Irrigation maîtrisée
(goutte-à-goutte, aspersion)</w:t>
            </w:r>
          </w:p>
        </w:tc>
        <w:tc>
          <w:tcPr>
            <w:tcW w:type="dxa" w:w="650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 climat est facteur secondaire. L'analyse hydrique se base sur les volumes et fréquences d'irrigation déclarés. L'ET₀ sert uniquement à corriger l'effet climatique.</w:t>
            </w:r>
          </w:p>
        </w:tc>
      </w:tr>
      <w:tr>
        <w:tc>
          <w:tcPr>
            <w:tcW w:type="dxa" w:w="30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bCs/>
                <w:color w:val="C05A10"/>
                <w:sz w:val="20"/>
                <w:szCs w:val="20"/>
              </w:rPr>
              <w:t xml:space="preserve">Irrigation bore ou pluvial</w:t>
            </w:r>
          </w:p>
        </w:tc>
        <w:tc>
          <w:tcPr>
            <w:tcW w:type="dxa" w:w="65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 climat devient prioritaire. La pluviométrie et les températures conditionnent l'interprétation hydrique. Mentionner explicitement ce changement de logique dans le rapport.</w:t>
            </w:r>
          </w:p>
        </w:tc>
      </w:tr>
    </w:tbl>
    <w:p>
      <w:pPr>
        <w:spacing w:before="160" w:after="0"/>
      </w:pPr>
    </w:p>
    <w:p>
      <w:r>
        <w:br w:type="page"/>
      </w:r>
    </w:p>
    <w:p>
      <w:pPr>
        <w:pStyle w:val="Heading1"/>
        <w:pBdr>
          <w:bottom w:val="single" w:color="2E6DA4" w:sz="8" w:space="1"/>
        </w:pBdr>
        <w:spacing w:before="360" w:after="140"/>
      </w:pPr>
      <w:r>
        <w:rPr>
          <w:rFonts w:ascii="Arial" w:cs="Arial" w:eastAsia="Arial" w:hAnsi="Arial"/>
          <w:b/>
          <w:bCs/>
          <w:color w:val="1B3A5C"/>
          <w:sz w:val="32"/>
          <w:szCs w:val="32"/>
        </w:rPr>
        <w:t xml:space="preserve">PARTIE 2 — FORMAT OBLIGATOIRE DU RAPPORT</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3A5C" w:sz="1"/>
              <w:left w:val="single" w:color="1B3A5C" w:sz="18"/>
              <w:bottom w:val="single" w:color="1B3A5C" w:sz="1"/>
              <w:right w:val="single" w:color="1B3A5C" w:sz="1"/>
            </w:tcBorders>
            <w:shd w:fill="D6E8F7" w:val="clear"/>
            <w:tcMar>
              <w:top w:type="dxa" w:w="130"/>
              <w:left w:type="dxa" w:w="220"/>
              <w:bottom w:type="dxa" w:w="130"/>
              <w:right w:type="dxa" w:w="220"/>
            </w:tcMar>
          </w:tcPr>
          <w:p>
            <w:r>
              <w:rPr>
                <w:rFonts w:ascii="Arial" w:cs="Arial" w:eastAsia="Arial" w:hAnsi="Arial"/>
                <w:b/>
                <w:bCs/>
                <w:color w:val="1B3A5C"/>
                <w:sz w:val="20"/>
                <w:szCs w:val="20"/>
              </w:rPr>
              <w:t xml:space="preserve">L'IA produit les 8 sections suivantes dans cet ordre exact, avec ces titres exacts. Chaque section est obligatoire. Si les données sont insuffisantes pour une section, l'IA le dit explicitement dans cette section — elle ne l'omet pas.</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80"/>
            </w:tcMar>
          </w:tcPr>
          <w:p>
            <w:r>
              <w:rPr>
                <w:rFonts w:ascii="Arial" w:cs="Arial" w:eastAsia="Arial" w:hAnsi="Arial"/>
                <w:b/>
                <w:bCs/>
                <w:color w:val="FFFFFF"/>
                <w:sz w:val="24"/>
                <w:szCs w:val="24"/>
              </w:rPr>
              <w:t xml:space="preserve">SECTION 1 — IDENTITÉ ET CONTEXTE DE LA PARCELLE</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rédige un paragraphe d'introduction présentant la parcelle en termes simples. Il doit contenir :</w:t>
      </w:r>
    </w:p>
    <w:p>
      <w:pPr>
        <w:pStyle w:val="ListParagraph"/>
        <w:numPr>
          <w:ilvl w:val="0"/>
          <w:numId w:val="2"/>
        </w:numPr>
        <w:spacing w:before="40" w:after="40"/>
      </w:pPr>
      <w:r>
        <w:rPr>
          <w:rFonts w:ascii="Arial" w:cs="Arial" w:eastAsia="Arial" w:hAnsi="Arial"/>
          <w:b w:val="false"/>
          <w:bCs w:val="false"/>
          <w:color w:val="333333"/>
          <w:sz w:val="20"/>
          <w:szCs w:val="20"/>
        </w:rPr>
        <w:t xml:space="preserve">Nom ou référence de la parcelle</w:t>
      </w:r>
    </w:p>
    <w:p>
      <w:pPr>
        <w:pStyle w:val="ListParagraph"/>
        <w:numPr>
          <w:ilvl w:val="0"/>
          <w:numId w:val="2"/>
        </w:numPr>
        <w:spacing w:before="40" w:after="40"/>
      </w:pPr>
      <w:r>
        <w:rPr>
          <w:rFonts w:ascii="Arial" w:cs="Arial" w:eastAsia="Arial" w:hAnsi="Arial"/>
          <w:b w:val="false"/>
          <w:bCs w:val="false"/>
          <w:color w:val="333333"/>
          <w:sz w:val="20"/>
          <w:szCs w:val="20"/>
        </w:rPr>
        <w:t xml:space="preserve">Culture en place et variété (si connue)</w:t>
      </w:r>
    </w:p>
    <w:p>
      <w:pPr>
        <w:pStyle w:val="ListParagraph"/>
        <w:numPr>
          <w:ilvl w:val="0"/>
          <w:numId w:val="2"/>
        </w:numPr>
        <w:spacing w:before="40" w:after="40"/>
      </w:pPr>
      <w:r>
        <w:rPr>
          <w:rFonts w:ascii="Arial" w:cs="Arial" w:eastAsia="Arial" w:hAnsi="Arial"/>
          <w:b w:val="false"/>
          <w:bCs w:val="false"/>
          <w:color w:val="333333"/>
          <w:sz w:val="20"/>
          <w:szCs w:val="20"/>
        </w:rPr>
        <w:t xml:space="preserve">Système de plantation (traditionnel / intensif / super-intensif) et densité</w:t>
      </w:r>
    </w:p>
    <w:p>
      <w:pPr>
        <w:pStyle w:val="ListParagraph"/>
        <w:numPr>
          <w:ilvl w:val="0"/>
          <w:numId w:val="2"/>
        </w:numPr>
        <w:spacing w:before="40" w:after="40"/>
      </w:pPr>
      <w:r>
        <w:rPr>
          <w:rFonts w:ascii="Arial" w:cs="Arial" w:eastAsia="Arial" w:hAnsi="Arial"/>
          <w:b w:val="false"/>
          <w:bCs w:val="false"/>
          <w:color w:val="333333"/>
          <w:sz w:val="20"/>
          <w:szCs w:val="20"/>
        </w:rPr>
        <w:t xml:space="preserve">Superficie (ha)</w:t>
      </w:r>
    </w:p>
    <w:p>
      <w:pPr>
        <w:pStyle w:val="ListParagraph"/>
        <w:numPr>
          <w:ilvl w:val="0"/>
          <w:numId w:val="2"/>
        </w:numPr>
        <w:spacing w:before="40" w:after="40"/>
      </w:pPr>
      <w:r>
        <w:rPr>
          <w:rFonts w:ascii="Arial" w:cs="Arial" w:eastAsia="Arial" w:hAnsi="Arial"/>
          <w:b w:val="false"/>
          <w:bCs w:val="false"/>
          <w:color w:val="333333"/>
          <w:sz w:val="20"/>
          <w:szCs w:val="20"/>
        </w:rPr>
        <w:t xml:space="preserve">Système d'irrigation : type et source d'eau</w:t>
      </w:r>
    </w:p>
    <w:p>
      <w:pPr>
        <w:pStyle w:val="ListParagraph"/>
        <w:numPr>
          <w:ilvl w:val="0"/>
          <w:numId w:val="2"/>
        </w:numPr>
        <w:spacing w:before="40" w:after="40"/>
      </w:pPr>
      <w:r>
        <w:rPr>
          <w:rFonts w:ascii="Arial" w:cs="Arial" w:eastAsia="Arial" w:hAnsi="Arial"/>
          <w:b w:val="false"/>
          <w:bCs w:val="false"/>
          <w:color w:val="333333"/>
          <w:sz w:val="20"/>
          <w:szCs w:val="20"/>
        </w:rPr>
        <w:t xml:space="preserve">Date du calibrage</w:t>
      </w:r>
    </w:p>
    <w:p>
      <w:pPr>
        <w:pStyle w:val="ListParagraph"/>
        <w:numPr>
          <w:ilvl w:val="0"/>
          <w:numId w:val="2"/>
        </w:numPr>
        <w:spacing w:before="40" w:after="40"/>
      </w:pPr>
      <w:r>
        <w:rPr>
          <w:rFonts w:ascii="Arial" w:cs="Arial" w:eastAsia="Arial" w:hAnsi="Arial"/>
          <w:b w:val="false"/>
          <w:bCs w:val="false"/>
          <w:color w:val="333333"/>
          <w:sz w:val="20"/>
          <w:szCs w:val="20"/>
        </w:rPr>
        <w:t xml:space="preserve">Période couverte par les données satellite utilisées (ex. : janvier 2023 – janvier 2026)</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333333" w:sz="1"/>
              <w:left w:val="single" w:color="333333" w:sz="18"/>
              <w:bottom w:val="single" w:color="333333" w:sz="1"/>
              <w:right w:val="single" w:color="333333" w:sz="1"/>
            </w:tcBorders>
            <w:shd w:fill="F4F4F4" w:val="clear"/>
            <w:tcMar>
              <w:top w:type="dxa" w:w="130"/>
              <w:left w:type="dxa" w:w="220"/>
              <w:bottom w:type="dxa" w:w="130"/>
              <w:right w:type="dxa" w:w="220"/>
            </w:tcMar>
          </w:tcPr>
          <w:p>
            <w:r>
              <w:rPr>
                <w:rFonts w:ascii="Arial" w:cs="Arial" w:eastAsia="Arial" w:hAnsi="Arial"/>
                <w:b/>
                <w:bCs/>
                <w:color w:val="333333"/>
                <w:sz w:val="20"/>
                <w:szCs w:val="20"/>
              </w:rPr>
              <w:t xml:space="preserve">EXEMPLE : "Parcelle Ref-001 · Olivier Picholine Marocaine · Intensif 277 arbres/ha · 12 ha · Goutte-à-goutte · Eau barrage · Calibrage : 15 février 2026 · Données satellite : février 2023 – février 2026 (36 mois)."</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6DA4" w:val="clear"/>
            <w:tcMar>
              <w:top w:type="dxa" w:w="160"/>
              <w:left w:type="dxa" w:w="280"/>
              <w:bottom w:type="dxa" w:w="160"/>
              <w:right w:type="dxa" w:w="280"/>
            </w:tcMar>
          </w:tcPr>
          <w:p>
            <w:r>
              <w:rPr>
                <w:rFonts w:ascii="Arial" w:cs="Arial" w:eastAsia="Arial" w:hAnsi="Arial"/>
                <w:b/>
                <w:bCs/>
                <w:color w:val="FFFFFF"/>
                <w:sz w:val="24"/>
                <w:szCs w:val="24"/>
              </w:rPr>
              <w:t xml:space="preserve">SECTION 2 — NIVEAU DE CONFIANCE DU CALIBRAGE</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affiche le niveau de confiance global du calibrage et explique précisément pourquoi il est à ce niveau. Le score est calculé par le moteur de calibrage selon les 6 composantes suivantes :</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506"/>
      </w:tblGrid>
      <w:tr>
        <w:tc>
          <w:tcPr>
            <w:tcW w:type="dxa" w:w="2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Composante</w:t>
            </w:r>
          </w:p>
        </w:tc>
        <w:tc>
          <w:tcPr>
            <w:tcW w:type="dxa" w:w="1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Poids max</w:t>
            </w:r>
          </w:p>
        </w:tc>
        <w:tc>
          <w:tcPr>
            <w:tcW w:type="dxa" w:w="55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Critères</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Historique satellite</w:t>
            </w:r>
          </w:p>
        </w:tc>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30 pts</w:t>
            </w:r>
          </w:p>
        </w:tc>
        <w:tc>
          <w:tcPr>
            <w:tcW w:type="dxa" w:w="55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36+ mois = 30 pts · 24-36 mois = 20 pts · 12-24 mois = 10 pts · &lt; 12 mois = 5 pts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Analyse de sol</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20 pts</w:t>
            </w:r>
          </w:p>
        </w:tc>
        <w:tc>
          <w:tcPr>
            <w:tcW w:type="dxa" w:w="55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Complète &lt; 2 ans = 20 pts · Partielle = 10 pts · Absente = 0 pt</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Analyse de l'eau</w:t>
            </w:r>
          </w:p>
        </w:tc>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15 pts</w:t>
            </w:r>
          </w:p>
        </w:tc>
        <w:tc>
          <w:tcPr>
            <w:tcW w:type="dxa" w:w="55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Complète = 15 pts · Partielle = 8 pts · Absente = 0 pt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Historique rendements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20 pts</w:t>
            </w:r>
          </w:p>
        </w:tc>
        <w:tc>
          <w:tcPr>
            <w:tcW w:type="dxa" w:w="55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5+ ans = 20 pts · 3-4 ans = 15 pts · 1-2 ans = 8 pts · Aucun = 0 pt</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Profil complet</w:t>
            </w:r>
          </w:p>
        </w:tc>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10 pts</w:t>
            </w:r>
          </w:p>
        </w:tc>
        <w:tc>
          <w:tcPr>
            <w:tcW w:type="dxa" w:w="55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100% champs remplis = 10 pts · Prorata sinon</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Cohérence des données</w:t>
            </w:r>
          </w:p>
        </w:tc>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5 pts</w:t>
            </w:r>
          </w:p>
        </w:tc>
        <w:tc>
          <w:tcPr>
            <w:tcW w:type="dxa" w:w="55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Pas d'incohérence = 5 pts · Mineures = 2 pts · Majeures = 0 pt</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6"/>
      </w:tblGrid>
      <w:tr>
        <w:tc>
          <w:tcPr>
            <w:tcW w:type="dxa" w:w="1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Score</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Niveau</w:t>
            </w:r>
          </w:p>
        </w:tc>
        <w:tc>
          <w:tcPr>
            <w:tcW w:type="dxa" w:w="55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Mention à afficher + conséquence</w:t>
            </w:r>
          </w:p>
        </w:tc>
      </w:tr>
      <w:tr>
        <w:tc>
          <w:tcPr>
            <w:tcW w:type="dxa" w:w="1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bCs/>
                <w:color w:val="1E6640"/>
                <w:sz w:val="20"/>
                <w:szCs w:val="20"/>
              </w:rPr>
              <w:t xml:space="preserve">75 – 100%</w:t>
            </w:r>
          </w:p>
        </w:tc>
        <w:tc>
          <w:tcPr>
            <w:tcW w:type="dxa" w:w="2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1E6640"/>
                <w:sz w:val="20"/>
                <w:szCs w:val="20"/>
              </w:rPr>
              <w:t xml:space="preserve">ÉLEVÉ</w:t>
            </w:r>
          </w:p>
        </w:tc>
        <w:tc>
          <w:tcPr>
            <w:tcW w:type="dxa" w:w="55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 Calibrage fiable — Recommandations avec haute confiance</w:t>
            </w:r>
          </w:p>
        </w:tc>
      </w:tr>
      <w:tr>
        <w:tc>
          <w:tcPr>
            <w:tcW w:type="dxa" w:w="18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bCs/>
                <w:color w:val="C05A10"/>
                <w:sz w:val="20"/>
                <w:szCs w:val="20"/>
              </w:rPr>
              <w:t xml:space="preserve">50 – 75%</w:t>
            </w:r>
          </w:p>
        </w:tc>
        <w:tc>
          <w:tcPr>
            <w:tcW w:type="dxa" w:w="22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bCs/>
                <w:color w:val="C05A10"/>
                <w:sz w:val="20"/>
                <w:szCs w:val="20"/>
              </w:rPr>
              <w:t xml:space="preserve">MOYEN</w:t>
            </w:r>
          </w:p>
        </w:tc>
        <w:tc>
          <w:tcPr>
            <w:tcW w:type="dxa" w:w="55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 Calibrage partiel — Recommandations avec prudence, vérifications terrain suggérées</w:t>
            </w:r>
          </w:p>
        </w:tc>
      </w:tr>
      <w:tr>
        <w:tc>
          <w:tcPr>
            <w:tcW w:type="dxa" w:w="18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center"/>
            </w:pPr>
            <w:r>
              <w:rPr>
                <w:rFonts w:ascii="Arial" w:cs="Arial" w:eastAsia="Arial" w:hAnsi="Arial"/>
                <w:b/>
                <w:bCs/>
                <w:color w:val="8B0000"/>
                <w:sz w:val="20"/>
                <w:szCs w:val="20"/>
              </w:rPr>
              <w:t xml:space="preserve">25 – 50%</w:t>
            </w:r>
          </w:p>
        </w:tc>
        <w:tc>
          <w:tcPr>
            <w:tcW w:type="dxa" w:w="22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bCs/>
                <w:color w:val="8B0000"/>
                <w:sz w:val="20"/>
                <w:szCs w:val="20"/>
              </w:rPr>
              <w:t xml:space="preserve">FAIBLE</w:t>
            </w:r>
          </w:p>
        </w:tc>
        <w:tc>
          <w:tcPr>
            <w:tcW w:type="dxa" w:w="5506"/>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 Calibrage indicatif — Recommandations limitées, nombreuses vérifications requises</w:t>
            </w:r>
          </w:p>
        </w:tc>
      </w:tr>
      <w:tr>
        <w:tc>
          <w:tcPr>
            <w:tcW w:type="dxa" w:w="1800"/>
            <w:tcBorders>
              <w:top w:val="single" w:color="CCCCCC" w:sz="1"/>
              <w:left w:val="single" w:color="CCCCCC" w:sz="1"/>
              <w:bottom w:val="single" w:color="CCCCCC" w:sz="1"/>
              <w:right w:val="single" w:color="CCCCCC" w:sz="1"/>
            </w:tcBorders>
            <w:shd w:fill="4A000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0 – 25%</w:t>
            </w:r>
          </w:p>
        </w:tc>
        <w:tc>
          <w:tcPr>
            <w:tcW w:type="dxa" w:w="2200"/>
            <w:tcBorders>
              <w:top w:val="single" w:color="CCCCCC" w:sz="1"/>
              <w:left w:val="single" w:color="CCCCCC" w:sz="1"/>
              <w:bottom w:val="single" w:color="CCCCCC" w:sz="1"/>
              <w:right w:val="single" w:color="CCCCCC" w:sz="1"/>
            </w:tcBorders>
            <w:shd w:fill="4A000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MINIMAL</w:t>
            </w:r>
          </w:p>
        </w:tc>
        <w:tc>
          <w:tcPr>
            <w:tcW w:type="dxa" w:w="5506"/>
            <w:tcBorders>
              <w:top w:val="single" w:color="CCCCCC" w:sz="1"/>
              <w:left w:val="single" w:color="CCCCCC" w:sz="1"/>
              <w:bottom w:val="single" w:color="CCCCCC" w:sz="1"/>
              <w:right w:val="single" w:color="CCCCCC" w:sz="1"/>
            </w:tcBorders>
            <w:shd w:fill="4A0000" w:val="clear"/>
            <w:tcMar>
              <w:top w:type="dxa" w:w="100"/>
              <w:left w:type="dxa" w:w="140"/>
              <w:bottom w:type="dxa" w:w="100"/>
              <w:right w:type="dxa" w:w="140"/>
            </w:tcMar>
            <w:vAlign w:val="top"/>
          </w:tcPr>
          <w:p>
            <w:pPr>
              <w:jc w:val="left"/>
            </w:pPr>
            <w:r>
              <w:rPr>
                <w:rFonts w:ascii="Arial" w:cs="Arial" w:eastAsia="Arial" w:hAnsi="Arial"/>
                <w:b w:val="false"/>
                <w:bCs w:val="false"/>
                <w:color w:val="FFFFFF"/>
                <w:sz w:val="20"/>
                <w:szCs w:val="20"/>
              </w:rPr>
              <w:t xml:space="preserve">✗ Mode observation uniquement — Pas de recommandations actives</w:t>
            </w:r>
          </w:p>
        </w:tc>
      </w:tr>
    </w:tbl>
    <w:p>
      <w:pPr>
        <w:spacing w:before="80" w:after="0"/>
      </w:pPr>
    </w:p>
    <w:p>
      <w:pPr>
        <w:spacing w:before="60" w:after="60"/>
        <w:jc w:val="left"/>
      </w:pPr>
      <w:r>
        <w:rPr>
          <w:rFonts w:ascii="Arial" w:cs="Arial" w:eastAsia="Arial" w:hAnsi="Arial"/>
          <w:b w:val="false"/>
          <w:bCs w:val="false"/>
          <w:color w:val="333333"/>
          <w:sz w:val="20"/>
          <w:szCs w:val="20"/>
        </w:rPr>
        <w:t xml:space="preserve">Après les tableaux, l'IA liste les données manquantes ou à actualiser par ordre de priorité, avec l'impact de chaque manque sur la précision des futures recommandations.</w:t>
      </w:r>
    </w:p>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80"/>
            </w:tcMar>
          </w:tcPr>
          <w:p>
            <w:r>
              <w:rPr>
                <w:rFonts w:ascii="Arial" w:cs="Arial" w:eastAsia="Arial" w:hAnsi="Arial"/>
                <w:b/>
                <w:bCs/>
                <w:color w:val="FFFFFF"/>
                <w:sz w:val="24"/>
                <w:szCs w:val="24"/>
              </w:rPr>
              <w:t xml:space="preserve">SECTION 3 — SCORE DE SANTÉ INITIAL DE LA PARCELLE</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affiche le score de santé global (0 à 100) calculé à partir des 5 composantes du moteur de calibrage, puis explique chaque composante en langage simple.</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906"/>
      </w:tblGrid>
      <w:tr>
        <w:tc>
          <w:tcPr>
            <w:tcW w:type="dxa" w:w="26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Composante</w:t>
            </w:r>
          </w:p>
        </w:tc>
        <w:tc>
          <w:tcPr>
            <w:tcW w:type="dxa" w:w="10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Poids</w:t>
            </w:r>
          </w:p>
        </w:tc>
        <w:tc>
          <w:tcPr>
            <w:tcW w:type="dxa" w:w="10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Score</w:t>
            </w:r>
          </w:p>
        </w:tc>
        <w:tc>
          <w:tcPr>
            <w:tcW w:type="dxa" w:w="49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 que ça signifie pour cette parcelle</w:t>
            </w:r>
          </w:p>
        </w:tc>
      </w:tr>
      <w:tr>
        <w:tc>
          <w:tcPr>
            <w:tcW w:type="dxa" w:w="26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Vigueur végétative
(NIRv médian vs référentiel)</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30%</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[X/30]</w:t>
            </w:r>
          </w:p>
        </w:tc>
        <w:tc>
          <w:tcPr>
            <w:tcW w:type="dxa" w:w="49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L'IA rédige une phrase : ex. "La vigueur végétative historique est dans la bonne fourchette pour un olivier intensif de cet âge."</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Homogénéité spatiale
(% surface classe C ou mieux)</w:t>
            </w:r>
          </w:p>
        </w:tc>
        <w:tc>
          <w:tcPr>
            <w:tcW w:type="dxa" w:w="1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20%</w:t>
            </w:r>
          </w:p>
        </w:tc>
        <w:tc>
          <w:tcPr>
            <w:tcW w:type="dxa" w:w="1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[X/20]</w:t>
            </w:r>
          </w:p>
        </w:tc>
        <w:tc>
          <w:tcPr>
            <w:tcW w:type="dxa" w:w="49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ex. "75% de la surface est en zone normale ou vigoureuse. Une zone faible de 10% est identifiée dans le quart nord-est."</w:t>
            </w:r>
          </w:p>
        </w:tc>
      </w:tr>
      <w:tr>
        <w:tc>
          <w:tcPr>
            <w:tcW w:type="dxa" w:w="26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Stabilité temporelle
(faible variance inter-annuelle)</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15%</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[X/15]</w:t>
            </w:r>
          </w:p>
        </w:tc>
        <w:tc>
          <w:tcPr>
            <w:tcW w:type="dxa" w:w="49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ex. "La parcelle montre une variabilité inter-annuelle modérée — cohérente avec le pattern d'alternance de la variété."</w:t>
            </w:r>
          </w:p>
        </w:tc>
      </w:tr>
      <w:tr>
        <w:tc>
          <w:tcPr>
            <w:tcW w:type="dxa" w:w="2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État hydrique
(NDMI vs percentiles)</w:t>
            </w:r>
          </w:p>
        </w:tc>
        <w:tc>
          <w:tcPr>
            <w:tcW w:type="dxa" w:w="1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20%</w:t>
            </w:r>
          </w:p>
        </w:tc>
        <w:tc>
          <w:tcPr>
            <w:tcW w:type="dxa" w:w="1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[X/20]</w:t>
            </w:r>
          </w:p>
        </w:tc>
        <w:tc>
          <w:tcPr>
            <w:tcW w:type="dxa" w:w="49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ex. "Le contenu en eau de la canopée se situe généralement dans la plage normale sur l'historique analysé."</w:t>
            </w:r>
          </w:p>
        </w:tc>
      </w:tr>
      <w:tr>
        <w:tc>
          <w:tcPr>
            <w:tcW w:type="dxa" w:w="26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État nutritionnel
(NDRE vs percentiles)</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15%</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[X/15]</w:t>
            </w:r>
          </w:p>
        </w:tc>
        <w:tc>
          <w:tcPr>
            <w:tcW w:type="dxa" w:w="49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ex. "La teneur en chlorophylle estimée par satellite est dans la zone de vigilance basse — à confirmer par analyse foliaire."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c>
          <w:tcPr>
            <w:tcW w:type="dxa" w:w="1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Score</w:t>
            </w:r>
          </w:p>
        </w:tc>
        <w:tc>
          <w:tcPr>
            <w:tcW w:type="dxa" w:w="77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Message à afficher</w:t>
            </w:r>
          </w:p>
        </w:tc>
      </w:tr>
      <w:tr>
        <w:tc>
          <w:tcPr>
            <w:tcW w:type="dxa" w:w="1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bCs/>
                <w:color w:val="1E6640"/>
                <w:sz w:val="20"/>
                <w:szCs w:val="20"/>
              </w:rPr>
              <w:t xml:space="preserve">80 – 100</w:t>
            </w:r>
          </w:p>
        </w:tc>
        <w:tc>
          <w:tcPr>
            <w:tcW w:type="dxa" w:w="77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est en très bon état général.</w:t>
            </w:r>
          </w:p>
        </w:tc>
      </w:tr>
      <w:tr>
        <w:tc>
          <w:tcPr>
            <w:tcW w:type="dxa" w:w="1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bCs/>
                <w:color w:val="333333"/>
                <w:sz w:val="20"/>
                <w:szCs w:val="20"/>
              </w:rPr>
              <w:t xml:space="preserve">60 – 80</w:t>
            </w:r>
          </w:p>
        </w:tc>
        <w:tc>
          <w:tcPr>
            <w:tcW w:type="dxa" w:w="77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est en bon état avec quelques points d'attention.</w:t>
            </w:r>
          </w:p>
        </w:tc>
      </w:tr>
      <w:tr>
        <w:tc>
          <w:tcPr>
            <w:tcW w:type="dxa" w:w="18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bCs/>
                <w:color w:val="C05A10"/>
                <w:sz w:val="20"/>
                <w:szCs w:val="20"/>
              </w:rPr>
              <w:t xml:space="preserve">40 – 60</w:t>
            </w:r>
          </w:p>
        </w:tc>
        <w:tc>
          <w:tcPr>
            <w:tcW w:type="dxa" w:w="77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présente des faiblesses à investiguer.</w:t>
            </w:r>
          </w:p>
        </w:tc>
      </w:tr>
      <w:tr>
        <w:tc>
          <w:tcPr>
            <w:tcW w:type="dxa" w:w="18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center"/>
            </w:pPr>
            <w:r>
              <w:rPr>
                <w:rFonts w:ascii="Arial" w:cs="Arial" w:eastAsia="Arial" w:hAnsi="Arial"/>
                <w:b/>
                <w:bCs/>
                <w:color w:val="8B0000"/>
                <w:sz w:val="20"/>
                <w:szCs w:val="20"/>
              </w:rPr>
              <w:t xml:space="preserve">20 – 40</w:t>
            </w:r>
          </w:p>
        </w:tc>
        <w:tc>
          <w:tcPr>
            <w:tcW w:type="dxa" w:w="7706"/>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montre des signes de stress significatifs.</w:t>
            </w:r>
          </w:p>
        </w:tc>
      </w:tr>
      <w:tr>
        <w:tc>
          <w:tcPr>
            <w:tcW w:type="dxa" w:w="1800"/>
            <w:tcBorders>
              <w:top w:val="single" w:color="CCCCCC" w:sz="1"/>
              <w:left w:val="single" w:color="CCCCCC" w:sz="1"/>
              <w:bottom w:val="single" w:color="CCCCCC" w:sz="1"/>
              <w:right w:val="single" w:color="CCCCCC" w:sz="1"/>
            </w:tcBorders>
            <w:shd w:fill="4A000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0 – 20</w:t>
            </w:r>
          </w:p>
        </w:tc>
        <w:tc>
          <w:tcPr>
            <w:tcW w:type="dxa" w:w="7706"/>
            <w:tcBorders>
              <w:top w:val="single" w:color="CCCCCC" w:sz="1"/>
              <w:left w:val="single" w:color="CCCCCC" w:sz="1"/>
              <w:bottom w:val="single" w:color="CCCCCC" w:sz="1"/>
              <w:right w:val="single" w:color="CCCCCC" w:sz="1"/>
            </w:tcBorders>
            <w:shd w:fill="4A0000" w:val="clear"/>
            <w:tcMar>
              <w:top w:type="dxa" w:w="100"/>
              <w:left w:type="dxa" w:w="140"/>
              <w:bottom w:type="dxa" w:w="100"/>
              <w:right w:type="dxa" w:w="140"/>
            </w:tcMar>
            <w:vAlign w:val="top"/>
          </w:tcPr>
          <w:p>
            <w:pPr>
              <w:jc w:val="left"/>
            </w:pPr>
            <w:r>
              <w:rPr>
                <w:rFonts w:ascii="Arial" w:cs="Arial" w:eastAsia="Arial" w:hAnsi="Arial"/>
                <w:b w:val="false"/>
                <w:bCs w:val="false"/>
                <w:color w:val="FFFFFF"/>
                <w:sz w:val="20"/>
                <w:szCs w:val="20"/>
              </w:rPr>
              <w:t xml:space="preserve">La parcelle nécessite une attention urgente.</w:t>
            </w:r>
          </w:p>
        </w:tc>
      </w:tr>
    </w:tbl>
    <w:p>
      <w:pPr>
        <w:spacing w:before="160" w:after="0"/>
      </w:pP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6DA4" w:val="clear"/>
            <w:tcMar>
              <w:top w:type="dxa" w:w="160"/>
              <w:left w:type="dxa" w:w="280"/>
              <w:bottom w:type="dxa" w:w="160"/>
              <w:right w:type="dxa" w:w="280"/>
            </w:tcMar>
          </w:tcPr>
          <w:p>
            <w:r>
              <w:rPr>
                <w:rFonts w:ascii="Arial" w:cs="Arial" w:eastAsia="Arial" w:hAnsi="Arial"/>
                <w:b/>
                <w:bCs/>
                <w:color w:val="FFFFFF"/>
                <w:sz w:val="24"/>
                <w:szCs w:val="24"/>
              </w:rPr>
              <w:t xml:space="preserve">SECTION 4 — LECTURE DE L'HISTORIQUE SATELLITE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3A5C" w:sz="1"/>
              <w:left w:val="single" w:color="1B3A5C" w:sz="18"/>
              <w:bottom w:val="single" w:color="1B3A5C" w:sz="1"/>
              <w:right w:val="single" w:color="1B3A5C" w:sz="1"/>
            </w:tcBorders>
            <w:shd w:fill="D6E8F7" w:val="clear"/>
            <w:tcMar>
              <w:top w:type="dxa" w:w="130"/>
              <w:left w:type="dxa" w:w="220"/>
              <w:bottom w:type="dxa" w:w="130"/>
              <w:right w:type="dxa" w:w="220"/>
            </w:tcMar>
          </w:tcPr>
          <w:p>
            <w:r>
              <w:rPr>
                <w:rFonts w:ascii="Arial" w:cs="Arial" w:eastAsia="Arial" w:hAnsi="Arial"/>
                <w:b/>
                <w:bCs/>
                <w:color w:val="1B3A5C"/>
                <w:sz w:val="20"/>
                <w:szCs w:val="20"/>
              </w:rPr>
              <w:t xml:space="preserve">Cette section présente ce que les indices satellite révèlent sur l'état historique de la parcelle. L'IA rédige une synthèse lisible — elle ne produit pas de liste de valeurs brutes ni de graphes.</w:t>
            </w:r>
          </w:p>
        </w:tc>
      </w:tr>
    </w:tbl>
    <w:p>
      <w:pPr>
        <w:spacing w:before="80" w:after="0"/>
      </w:pPr>
    </w:p>
    <w:p>
      <w:pPr>
        <w:spacing w:before="60" w:after="60"/>
        <w:jc w:val="left"/>
      </w:pPr>
      <w:r>
        <w:rPr>
          <w:rFonts w:ascii="Arial" w:cs="Arial" w:eastAsia="Arial" w:hAnsi="Arial"/>
          <w:b/>
          <w:bCs/>
          <w:color w:val="333333"/>
          <w:sz w:val="20"/>
          <w:szCs w:val="20"/>
        </w:rPr>
        <w:t xml:space="preserve">Les indices analysés pour cette parcelle sont :</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006"/>
        <w:gridCol w:w="2200"/>
        <w:gridCol w:w="3100"/>
      </w:tblGrid>
      <w:tr>
        <w:tc>
          <w:tcPr>
            <w:tcW w:type="dxa" w:w="1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Indice</w:t>
            </w:r>
          </w:p>
        </w:tc>
        <w:tc>
          <w:tcPr>
            <w:tcW w:type="dxa" w:w="30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 qu'il mesure</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Usage principal</w:t>
            </w:r>
          </w:p>
        </w:tc>
        <w:tc>
          <w:tcPr>
            <w:tcW w:type="dxa" w:w="31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NDVI</w:t>
            </w:r>
          </w:p>
        </w:tc>
        <w:tc>
          <w:tcPr>
            <w:tcW w:type="dxa" w:w="30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Vigueur végétative générale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Tendance globale, détection stress</w:t>
            </w:r>
          </w:p>
        </w:tc>
        <w:tc>
          <w:tcPr>
            <w:tcW w:type="dxa" w:w="31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NIRv</w:t>
            </w:r>
          </w:p>
        </w:tc>
        <w:tc>
          <w:tcPr>
            <w:tcW w:type="dxa" w:w="30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Productivité photosynthétique réelle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Référence principale calibrage</w:t>
            </w:r>
          </w:p>
        </w:tc>
        <w:tc>
          <w:tcPr>
            <w:tcW w:type="dxa" w:w="3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1E6640"/>
                <w:sz w:val="20"/>
                <w:szCs w:val="20"/>
              </w:rPr>
              <w:t xml:space="preserve">NIRvP</w:t>
            </w:r>
          </w:p>
        </w:tc>
        <w:tc>
          <w:tcPr>
            <w:tcW w:type="dxa" w:w="30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NIRv × coefficient phénologique — compare les saisons entre elles</w:t>
            </w:r>
          </w:p>
        </w:tc>
        <w:tc>
          <w:tcPr>
            <w:tcW w:type="dxa" w:w="2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Modèle prédictif rendement, alternance</w:t>
            </w:r>
          </w:p>
        </w:tc>
        <w:tc>
          <w:tcPr>
            <w:tcW w:type="dxa" w:w="31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Calculé : NIRv × Coeff. stade BBCH</w:t>
            </w:r>
          </w:p>
        </w:tc>
      </w:tr>
      <w:tr>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NDMI</w:t>
            </w:r>
          </w:p>
        </w:tc>
        <w:tc>
          <w:tcPr>
            <w:tcW w:type="dxa" w:w="30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Contenu en eau de la canopée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Stress hydrique, bilan irrigation</w:t>
            </w:r>
          </w:p>
        </w:tc>
        <w:tc>
          <w:tcPr>
            <w:tcW w:type="dxa" w:w="31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NDRE</w:t>
            </w:r>
          </w:p>
        </w:tc>
        <w:tc>
          <w:tcPr>
            <w:tcW w:type="dxa" w:w="30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Teneur en chlorophylle, statut azoté</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Nutrition, carences débutantes</w:t>
            </w:r>
          </w:p>
        </w:tc>
        <w:tc>
          <w:tcPr>
            <w:tcW w:type="dxa" w:w="3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MSI</w:t>
            </w:r>
          </w:p>
        </w:tc>
        <w:tc>
          <w:tcPr>
            <w:tcW w:type="dxa" w:w="30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Stress hydrique (inverse) — SWIR1/NIR</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Confirmation stress eau, alertes OLI</w:t>
            </w:r>
          </w:p>
        </w:tc>
        <w:tc>
          <w:tcPr>
            <w:tcW w:type="dxa" w:w="31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EVI</w:t>
            </w:r>
          </w:p>
        </w:tc>
        <w:tc>
          <w:tcPr>
            <w:tcW w:type="dxa" w:w="30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Vigueur corrigée atmosphère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Zones à forte densité de végétation</w:t>
            </w:r>
          </w:p>
        </w:tc>
        <w:tc>
          <w:tcPr>
            <w:tcW w:type="dxa" w:w="3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MSAVI</w:t>
            </w:r>
          </w:p>
        </w:tc>
        <w:tc>
          <w:tcPr>
            <w:tcW w:type="dxa" w:w="30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Vigueur corrigée sol nu</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Indice de référence en traditionnel pluvial</w:t>
            </w:r>
          </w:p>
        </w:tc>
        <w:tc>
          <w:tcPr>
            <w:tcW w:type="dxa" w:w="31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r>
        <w:tc>
          <w:tcPr>
            <w:tcW w:type="dxa" w:w="1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GCI</w:t>
            </w:r>
          </w:p>
        </w:tc>
        <w:tc>
          <w:tcPr>
            <w:tcW w:type="dxa" w:w="30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Teneur en chlorophylle (NIR/Green - 1)</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Détection carences Fe, Mg complémentaire</w:t>
            </w:r>
          </w:p>
        </w:tc>
        <w:tc>
          <w:tcPr>
            <w:tcW w:type="dxa" w:w="31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Sentinel-2</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rédige ensuite 3 paragraphes :</w:t>
      </w:r>
    </w:p>
    <w:p>
      <w:pPr>
        <w:spacing w:before="80" w:after="0"/>
      </w:pPr>
    </w:p>
    <w:p>
      <w:pPr>
        <w:spacing w:before="200" w:after="80"/>
      </w:pPr>
      <w:r>
        <w:rPr>
          <w:rFonts w:ascii="Arial" w:cs="Arial" w:eastAsia="Arial" w:hAnsi="Arial"/>
          <w:b/>
          <w:bCs/>
          <w:color w:val="333333"/>
          <w:sz w:val="22"/>
          <w:szCs w:val="22"/>
        </w:rPr>
        <w:t xml:space="preserve">4a — Vigueur végétative globale sur la période</w:t>
      </w:r>
    </w:p>
    <w:p>
      <w:pPr>
        <w:spacing w:before="60" w:after="60"/>
        <w:jc w:val="left"/>
      </w:pPr>
      <w:r>
        <w:rPr>
          <w:rFonts w:ascii="Arial" w:cs="Arial" w:eastAsia="Arial" w:hAnsi="Arial"/>
          <w:b w:val="false"/>
          <w:bCs w:val="false"/>
          <w:color w:val="333333"/>
          <w:sz w:val="20"/>
          <w:szCs w:val="20"/>
        </w:rPr>
        <w:t xml:space="preserve">L'IA décrit en une ou deux phrases ce que les séries NIRv et NDVI montrent sur 12 à 36 mois : est-ce que la parcelle exprime un bon potentiel, une stagnation, une dégradation progressive ? Mention du percentile médian (P50) observé et de ce qu'il signifie pour cette parcelle.</w:t>
      </w:r>
    </w:p>
    <w:p>
      <w:pPr>
        <w:spacing w:before="80" w:after="0"/>
      </w:pPr>
    </w:p>
    <w:p>
      <w:pPr>
        <w:spacing w:before="200" w:after="80"/>
      </w:pPr>
      <w:r>
        <w:rPr>
          <w:rFonts w:ascii="Arial" w:cs="Arial" w:eastAsia="Arial" w:hAnsi="Arial"/>
          <w:b/>
          <w:bCs/>
          <w:color w:val="333333"/>
          <w:sz w:val="22"/>
          <w:szCs w:val="22"/>
        </w:rPr>
        <w:t xml:space="preserve">4b — Homogénéité spatiale de la parcelle</w:t>
      </w:r>
    </w:p>
    <w:p>
      <w:pPr>
        <w:spacing w:before="60" w:after="60"/>
        <w:jc w:val="left"/>
      </w:pPr>
      <w:r>
        <w:rPr>
          <w:rFonts w:ascii="Arial" w:cs="Arial" w:eastAsia="Arial" w:hAnsi="Arial"/>
          <w:b w:val="false"/>
          <w:bCs w:val="false"/>
          <w:color w:val="333333"/>
          <w:sz w:val="20"/>
          <w:szCs w:val="20"/>
        </w:rPr>
        <w:t xml:space="preserve">Y a-t-il des zones de variabilité intra-parcellaire identifiées ? Si oui, l'IA les décrit (taches, bandes, gradient, bordures) et indique le pourcentage de surface affecté par classe (A à E). Elle précise si ces zones correspondent à une contrainte déjà connue du profil (sol, topographie, irrigation).</w:t>
      </w:r>
    </w:p>
    <w:p>
      <w:pPr>
        <w:spacing w:before="80" w:after="0"/>
      </w:pPr>
    </w:p>
    <w:p>
      <w:pPr>
        <w:spacing w:before="200" w:after="80"/>
      </w:pPr>
      <w:r>
        <w:rPr>
          <w:rFonts w:ascii="Arial" w:cs="Arial" w:eastAsia="Arial" w:hAnsi="Arial"/>
          <w:b/>
          <w:bCs/>
          <w:color w:val="333333"/>
          <w:sz w:val="22"/>
          <w:szCs w:val="22"/>
        </w:rPr>
        <w:t xml:space="preserve">4c — Anomalies historiques détectées</w:t>
      </w:r>
    </w:p>
    <w:p>
      <w:pPr>
        <w:spacing w:before="60" w:after="60"/>
        <w:jc w:val="left"/>
      </w:pPr>
      <w:r>
        <w:rPr>
          <w:rFonts w:ascii="Arial" w:cs="Arial" w:eastAsia="Arial" w:hAnsi="Arial"/>
          <w:b w:val="false"/>
          <w:bCs w:val="false"/>
          <w:color w:val="333333"/>
          <w:sz w:val="20"/>
          <w:szCs w:val="20"/>
        </w:rPr>
        <w:t xml:space="preserve">L'IA liste les événements anormaux détectés dans l'historique (chutes brutales, déclins progressifs, ruptures de tendance) avec leur date approximative, leur nature probable (gel, sécheresse, taille, maladie) et leur impact sur le calibrage. Les périodes anormales ont été exclues du calcul des percentiles de référence — l'IA le mentionne si c'est le cas.</w:t>
      </w:r>
    </w:p>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80"/>
            </w:tcMar>
          </w:tcPr>
          <w:p>
            <w:r>
              <w:rPr>
                <w:rFonts w:ascii="Arial" w:cs="Arial" w:eastAsia="Arial" w:hAnsi="Arial"/>
                <w:b/>
                <w:bCs/>
                <w:color w:val="FFFFFF"/>
                <w:sz w:val="24"/>
                <w:szCs w:val="24"/>
              </w:rPr>
              <w:t xml:space="preserve">SECTION 5 — SEUILS DE RÉFÉRENCE PERSONNALISÉS</w:t>
            </w:r>
          </w:p>
        </w:tc>
      </w:tr>
    </w:tbl>
    <w:p>
      <w:pPr>
        <w:spacing w:before="80" w:after="0"/>
      </w:pPr>
    </w:p>
    <w:p>
      <w:pPr>
        <w:spacing w:before="60" w:after="60"/>
        <w:jc w:val="left"/>
      </w:pPr>
      <w:r>
        <w:rPr>
          <w:rFonts w:ascii="Arial" w:cs="Arial" w:eastAsia="Arial" w:hAnsi="Arial"/>
          <w:b w:val="false"/>
          <w:bCs w:val="false"/>
          <w:color w:val="333333"/>
          <w:sz w:val="20"/>
          <w:szCs w:val="20"/>
        </w:rPr>
        <w:t xml:space="preserve">Cette section présente les seuils calculés depuis l'historique de la parcelle. L'IA ne présente pas les valeurs numériques brutes — elle explique ce qu'elles signifient pour le suivi futur.</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3A5C" w:sz="1"/>
              <w:left w:val="single" w:color="1B3A5C" w:sz="18"/>
              <w:bottom w:val="single" w:color="1B3A5C" w:sz="1"/>
              <w:right w:val="single" w:color="1B3A5C" w:sz="1"/>
            </w:tcBorders>
            <w:shd w:fill="D6E8F7" w:val="clear"/>
            <w:tcMar>
              <w:top w:type="dxa" w:w="130"/>
              <w:left w:type="dxa" w:w="220"/>
              <w:bottom w:type="dxa" w:w="130"/>
              <w:right w:type="dxa" w:w="220"/>
            </w:tcMar>
          </w:tcPr>
          <w:p>
            <w:r>
              <w:rPr>
                <w:rFonts w:ascii="Arial" w:cs="Arial" w:eastAsia="Arial" w:hAnsi="Arial"/>
                <w:b/>
                <w:bCs/>
                <w:color w:val="1B3A5C"/>
                <w:sz w:val="20"/>
                <w:szCs w:val="20"/>
              </w:rPr>
              <w:t xml:space="preserve">RAPPEL : Ces seuils sont propres à CETTE parcelle. Ils remplacent les seuils génériques du référentiel culture pour le diagnostic opérationnel. Les seuils génériques servent uniquement de garde-fous pour valider la cohérence.</w:t>
            </w:r>
          </w:p>
        </w:tc>
      </w:tr>
    </w:tbl>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306"/>
        <w:gridCol w:w="1000"/>
      </w:tblGrid>
      <w:tr>
        <w:tc>
          <w:tcPr>
            <w:tcW w:type="dxa" w:w="1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Seuil</w:t>
            </w:r>
          </w:p>
        </w:tc>
        <w:tc>
          <w:tcPr>
            <w:tcW w:type="dxa" w:w="14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Percentile</w:t>
            </w:r>
          </w:p>
        </w:tc>
        <w:tc>
          <w:tcPr>
            <w:tcW w:type="dxa" w:w="53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 qu'il signifie pour le suivi de cette parcelle</w:t>
            </w:r>
          </w:p>
        </w:tc>
        <w:tc>
          <w:tcPr>
            <w:tcW w:type="dxa" w:w="10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bCs/>
                <w:color w:val="8B0000"/>
                <w:sz w:val="20"/>
                <w:szCs w:val="20"/>
              </w:rPr>
              <w:t xml:space="preserve">Alerte critique</w:t>
            </w:r>
          </w:p>
        </w:tc>
        <w:tc>
          <w:tcPr>
            <w:tcW w:type="dxa" w:w="14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P10</w:t>
            </w:r>
          </w:p>
        </w:tc>
        <w:tc>
          <w:tcPr>
            <w:tcW w:type="dxa" w:w="5306"/>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En dessous de ce seuil, la parcelle est dans un état inhabituel sur 10% de ses pires journées historiques → Investigation immédiate</w:t>
            </w:r>
          </w:p>
        </w:tc>
        <w:tc>
          <w:tcPr>
            <w:tcW w:type="dxa" w:w="10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Alerte</w:t>
            </w:r>
          </w:p>
        </w:tc>
      </w:tr>
      <w:tr>
        <w:tc>
          <w:tcPr>
            <w:tcW w:type="dxa" w:w="18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bCs/>
                <w:color w:val="C05A10"/>
                <w:sz w:val="20"/>
                <w:szCs w:val="20"/>
              </w:rPr>
              <w:t xml:space="preserve">Vigilance</w:t>
            </w:r>
          </w:p>
        </w:tc>
        <w:tc>
          <w:tcPr>
            <w:tcW w:type="dxa" w:w="14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P25</w:t>
            </w:r>
          </w:p>
        </w:tc>
        <w:tc>
          <w:tcPr>
            <w:tcW w:type="dxa" w:w="53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est dans le bas de sa fourchette habituelle → Surveillance renforcée, 2 passages consécutifs avant alerte</w:t>
            </w:r>
          </w:p>
        </w:tc>
        <w:tc>
          <w:tcPr>
            <w:tcW w:type="dxa" w:w="10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Vigilance</w:t>
            </w:r>
          </w:p>
        </w:tc>
      </w:tr>
      <w:tr>
        <w:tc>
          <w:tcPr>
            <w:tcW w:type="dxa" w:w="1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Normal bas</w:t>
            </w:r>
          </w:p>
        </w:tc>
        <w:tc>
          <w:tcPr>
            <w:tcW w:type="dxa" w:w="14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P40</w:t>
            </w:r>
          </w:p>
        </w:tc>
        <w:tc>
          <w:tcPr>
            <w:tcW w:type="dxa" w:w="53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Valeur dans la normale basse de la parcelle — aucune action nécessaire</w:t>
            </w:r>
          </w:p>
        </w:tc>
        <w:tc>
          <w:tcPr>
            <w:tcW w:type="dxa" w:w="1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Normal</w:t>
            </w:r>
          </w:p>
        </w:tc>
      </w:tr>
      <w:tr>
        <w:tc>
          <w:tcPr>
            <w:tcW w:type="dxa" w:w="1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Référence</w:t>
            </w:r>
          </w:p>
        </w:tc>
        <w:tc>
          <w:tcPr>
            <w:tcW w:type="dxa" w:w="14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P50</w:t>
            </w:r>
          </w:p>
        </w:tc>
        <w:tc>
          <w:tcPr>
            <w:tcW w:type="dxa" w:w="53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Médiane historique — état normal de référence pour cette parcelle</w:t>
            </w:r>
          </w:p>
        </w:tc>
        <w:tc>
          <w:tcPr>
            <w:tcW w:type="dxa" w:w="10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Normal</w:t>
            </w:r>
          </w:p>
        </w:tc>
      </w:tr>
      <w:tr>
        <w:tc>
          <w:tcPr>
            <w:tcW w:type="dxa" w:w="1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1E6640"/>
                <w:sz w:val="20"/>
                <w:szCs w:val="20"/>
              </w:rPr>
              <w:t xml:space="preserve">Bon</w:t>
            </w:r>
          </w:p>
        </w:tc>
        <w:tc>
          <w:tcPr>
            <w:tcW w:type="dxa" w:w="14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P75</w:t>
            </w:r>
          </w:p>
        </w:tc>
        <w:tc>
          <w:tcPr>
            <w:tcW w:type="dxa" w:w="53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La parcelle est dans la fourchette haute de son historique — bonne condition</w:t>
            </w:r>
          </w:p>
        </w:tc>
        <w:tc>
          <w:tcPr>
            <w:tcW w:type="dxa" w:w="10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Bon</w:t>
            </w:r>
          </w:p>
        </w:tc>
      </w:tr>
      <w:tr>
        <w:tc>
          <w:tcPr>
            <w:tcW w:type="dxa" w:w="1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1E6640"/>
                <w:sz w:val="20"/>
                <w:szCs w:val="20"/>
              </w:rPr>
              <w:t xml:space="preserve">Excellent / Excès possible</w:t>
            </w:r>
          </w:p>
        </w:tc>
        <w:tc>
          <w:tcPr>
            <w:tcW w:type="dxa" w:w="14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P90</w:t>
            </w:r>
          </w:p>
        </w:tc>
        <w:tc>
          <w:tcPr>
            <w:tcW w:type="dxa" w:w="53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Valeur dans le haut des 10% historiques — surveiller si excès (ex. sur-irrigation)</w:t>
            </w:r>
          </w:p>
        </w:tc>
        <w:tc>
          <w:tcPr>
            <w:tcW w:type="dxa" w:w="10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 Surveiller</w:t>
            </w:r>
          </w:p>
        </w:tc>
      </w:tr>
    </w:tbl>
    <w:p>
      <w:pPr>
        <w:spacing w:before="80" w:after="0"/>
      </w:pPr>
    </w:p>
    <w:p>
      <w:pPr>
        <w:spacing w:before="60" w:after="60"/>
        <w:jc w:val="left"/>
      </w:pPr>
      <w:r>
        <w:rPr>
          <w:rFonts w:ascii="Arial" w:cs="Arial" w:eastAsia="Arial" w:hAnsi="Arial"/>
          <w:b w:val="false"/>
          <w:bCs w:val="false"/>
          <w:color w:val="333333"/>
          <w:sz w:val="20"/>
          <w:szCs w:val="20"/>
        </w:rPr>
        <w:t xml:space="preserve">Si l'historique satellite est inférieur à 12 mois, l'IA précise que les seuils parcellaires sont temporairement remplacés par les seuils génériques du référentiel culture, et que le calibrage sera affiné automatiquement à 12, 24 et 36 mois de données.</w:t>
      </w:r>
    </w:p>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6DA4" w:val="clear"/>
            <w:tcMar>
              <w:top w:type="dxa" w:w="160"/>
              <w:left w:type="dxa" w:w="280"/>
              <w:bottom w:type="dxa" w:w="160"/>
              <w:right w:type="dxa" w:w="280"/>
            </w:tcMar>
          </w:tcPr>
          <w:p>
            <w:r>
              <w:rPr>
                <w:rFonts w:ascii="Arial" w:cs="Arial" w:eastAsia="Arial" w:hAnsi="Arial"/>
                <w:b/>
                <w:bCs/>
                <w:color w:val="FFFFFF"/>
                <w:sz w:val="24"/>
                <w:szCs w:val="24"/>
              </w:rPr>
              <w:t xml:space="preserve">SECTION 6 — PHÉNOLOGIE HISTORIQUE DE LA PARCELLE</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présente les dates typiques des stades phénologiques calculées depuis l'historique de la parcelle, et les compare au calendrier théorique du référentiel culture.</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306"/>
      </w:tblGrid>
      <w:tr>
        <w:tc>
          <w:tcPr>
            <w:tcW w:type="dxa" w:w="2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Stade phénologique</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Date moyenne historique</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Variabilité inter-annuelle</w:t>
            </w:r>
          </w:p>
        </w:tc>
        <w:tc>
          <w:tcPr>
            <w:tcW w:type="dxa" w:w="23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GDD cumulé associé</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Sortie dormance / débourrement</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[Date calculée]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 X jours]</w:t>
            </w:r>
          </w:p>
        </w:tc>
        <w:tc>
          <w:tcPr>
            <w:tcW w:type="dxa" w:w="23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 GDD]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Pic de végétation / floraison</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[Date calculée]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 X jours]</w:t>
            </w:r>
          </w:p>
        </w:tc>
        <w:tc>
          <w:tcPr>
            <w:tcW w:type="dxa" w:w="23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 GDD]</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Plateau estival (grossissement)</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[Date calculée]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 X jours]</w:t>
            </w:r>
          </w:p>
        </w:tc>
        <w:tc>
          <w:tcPr>
            <w:tcW w:type="dxa" w:w="23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 GDD]</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Déclin automnal / maturation</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[Date calculée]</w:t>
            </w:r>
          </w:p>
        </w:tc>
        <w:tc>
          <w:tcPr>
            <w:tcW w:type="dxa" w:w="22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 X jours]</w:t>
            </w:r>
          </w:p>
        </w:tc>
        <w:tc>
          <w:tcPr>
            <w:tcW w:type="dxa" w:w="2306"/>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 GDD]</w:t>
            </w:r>
          </w:p>
        </w:tc>
      </w:tr>
      <w:tr>
        <w:tc>
          <w:tcPr>
            <w:tcW w:type="dxa" w:w="28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Entrée en dormance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[Date calculée]</w:t>
            </w:r>
          </w:p>
        </w:tc>
        <w:tc>
          <w:tcPr>
            <w:tcW w:type="dxa" w:w="2200"/>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 X jours]</w:t>
            </w:r>
          </w:p>
        </w:tc>
        <w:tc>
          <w:tcPr>
            <w:tcW w:type="dxa" w:w="23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[X GDD]</w:t>
            </w:r>
          </w:p>
        </w:tc>
      </w:tr>
    </w:tbl>
    <w:p>
      <w:pPr>
        <w:spacing w:before="80" w:after="0"/>
      </w:pPr>
    </w:p>
    <w:p>
      <w:pPr>
        <w:spacing w:before="60" w:after="60"/>
        <w:jc w:val="left"/>
      </w:pPr>
      <w:r>
        <w:rPr>
          <w:rFonts w:ascii="Arial" w:cs="Arial" w:eastAsia="Arial" w:hAnsi="Arial"/>
          <w:b w:val="false"/>
          <w:bCs w:val="false"/>
          <w:color w:val="333333"/>
          <w:sz w:val="20"/>
          <w:szCs w:val="20"/>
        </w:rPr>
        <w:t xml:space="preserve">L'IA précise si les dates observées sont cohérentes avec le calendrier théorique du référentiel culture, et signale tout décalage significatif (avance ou retard &gt; 15 jours vs moyenne).</w:t>
      </w:r>
    </w:p>
    <w:p>
      <w:pPr>
        <w:spacing w:before="160" w:after="0"/>
      </w:pPr>
    </w:p>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1B3A5C" w:val="clear"/>
            <w:tcMar>
              <w:top w:type="dxa" w:w="160"/>
              <w:left w:type="dxa" w:w="280"/>
              <w:bottom w:type="dxa" w:w="160"/>
              <w:right w:type="dxa" w:w="280"/>
            </w:tcMar>
          </w:tcPr>
          <w:p>
            <w:r>
              <w:rPr>
                <w:rFonts w:ascii="Arial" w:cs="Arial" w:eastAsia="Arial" w:hAnsi="Arial"/>
                <w:b/>
                <w:bCs/>
                <w:color w:val="FFFFFF"/>
                <w:sz w:val="24"/>
                <w:szCs w:val="24"/>
              </w:rPr>
              <w:t xml:space="preserve">SECTION 7 — FACTEURS LIMITANTS HIÉRARCHISÉS</w:t>
            </w:r>
          </w:p>
        </w:tc>
      </w:tr>
    </w:tbl>
    <w:p>
      <w:pPr>
        <w:spacing w:before="80" w:after="0"/>
      </w:pPr>
    </w:p>
    <w:p>
      <w:pPr>
        <w:spacing w:before="60" w:after="60"/>
        <w:jc w:val="left"/>
      </w:pPr>
      <w:r>
        <w:rPr>
          <w:rFonts w:ascii="Arial" w:cs="Arial" w:eastAsia="Arial" w:hAnsi="Arial"/>
          <w:b w:val="false"/>
          <w:bCs w:val="false"/>
          <w:color w:val="333333"/>
          <w:sz w:val="20"/>
          <w:szCs w:val="20"/>
        </w:rPr>
        <w:t xml:space="preserve">C'est la section centrale du rapport. L'IA classe tous les facteurs limitants identifiés par le moteur de calibrage en deux catégories, par ordre d'impact décroissant sur le potentiel de la parcelle.</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333333" w:sz="1"/>
              <w:left w:val="single" w:color="333333" w:sz="18"/>
              <w:bottom w:val="single" w:color="333333" w:sz="1"/>
              <w:right w:val="single" w:color="333333" w:sz="1"/>
            </w:tcBorders>
            <w:shd w:fill="F4F4F4" w:val="clear"/>
            <w:tcMar>
              <w:top w:type="dxa" w:w="130"/>
              <w:left w:type="dxa" w:w="220"/>
              <w:bottom w:type="dxa" w:w="130"/>
              <w:right w:type="dxa" w:w="220"/>
            </w:tcMar>
          </w:tcPr>
          <w:p>
            <w:r>
              <w:rPr>
                <w:rFonts w:ascii="Arial" w:cs="Arial" w:eastAsia="Arial" w:hAnsi="Arial"/>
                <w:b/>
                <w:bCs/>
                <w:color w:val="333333"/>
                <w:sz w:val="20"/>
                <w:szCs w:val="20"/>
              </w:rPr>
              <w:t xml:space="preserve">RÈGLE RÉDACTIONNELLE : Chaque facteur est exprimé en langage simple avec son implication concrète. Exemple : "Calcaire actif élevé — bloque l'assimilation du fer et du manganèse — facteur structurel, non corrigible à court terme." Pas de valeurs brutes sans explication.</w:t>
            </w:r>
          </w:p>
        </w:tc>
      </w:tr>
    </w:tbl>
    <w:p>
      <w:pPr>
        <w:spacing w:before="80" w:after="0"/>
      </w:pPr>
    </w:p>
    <w:p>
      <w:pPr>
        <w:spacing w:before="200" w:after="80"/>
      </w:pPr>
      <w:r>
        <w:rPr>
          <w:rFonts w:ascii="Arial" w:cs="Arial" w:eastAsia="Arial" w:hAnsi="Arial"/>
          <w:b/>
          <w:bCs/>
          <w:color w:val="333333"/>
          <w:sz w:val="22"/>
          <w:szCs w:val="22"/>
        </w:rPr>
        <w:t xml:space="preserve">7a — Contraintes structurelles (non corrigibles à court terme)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06"/>
        <w:gridCol w:w="2200"/>
        <w:gridCol w:w="3100"/>
      </w:tblGrid>
      <w:tr>
        <w:tc>
          <w:tcPr>
            <w:tcW w:type="dxa" w:w="42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Facteur limitant</w:t>
            </w:r>
          </w:p>
        </w:tc>
        <w:tc>
          <w:tcPr>
            <w:tcW w:type="dxa" w:w="22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Impact sur le potentiel</w:t>
            </w:r>
          </w:p>
        </w:tc>
        <w:tc>
          <w:tcPr>
            <w:tcW w:type="dxa" w:w="31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Implication pour les recommandations futures</w:t>
            </w:r>
          </w:p>
        </w:tc>
      </w:tr>
      <w:tr>
        <w:tc>
          <w:tcPr>
            <w:tcW w:type="dxa" w:w="4206"/>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[L'IA liste ici le facteur structurel #1]</w:t>
            </w:r>
          </w:p>
        </w:tc>
        <w:tc>
          <w:tcPr>
            <w:tcW w:type="dxa" w:w="22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Élevé / Modéré / Faible</w:t>
            </w:r>
          </w:p>
        </w:tc>
        <w:tc>
          <w:tcPr>
            <w:tcW w:type="dxa" w:w="31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[L'IA précise comment ce facteur limitera les recommandations]</w:t>
            </w:r>
          </w:p>
        </w:tc>
      </w:tr>
      <w:tr>
        <w:tc>
          <w:tcPr>
            <w:tcW w:type="dxa" w:w="42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[Facteur #2, si applicable]</w:t>
            </w:r>
          </w:p>
        </w:tc>
        <w:tc>
          <w:tcPr>
            <w:tcW w:type="dxa" w:w="22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w:t>
            </w:r>
          </w:p>
        </w:tc>
        <w:tc>
          <w:tcPr>
            <w:tcW w:type="dxa" w:w="31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w:t>
            </w:r>
          </w:p>
        </w:tc>
      </w:tr>
    </w:tbl>
    <w:p>
      <w:pPr>
        <w:spacing w:before="80" w:after="0"/>
      </w:pPr>
    </w:p>
    <w:p>
      <w:pPr>
        <w:spacing w:before="200" w:after="80"/>
      </w:pPr>
      <w:r>
        <w:rPr>
          <w:rFonts w:ascii="Arial" w:cs="Arial" w:eastAsia="Arial" w:hAnsi="Arial"/>
          <w:b/>
          <w:bCs/>
          <w:color w:val="333333"/>
          <w:sz w:val="22"/>
          <w:szCs w:val="22"/>
        </w:rPr>
        <w:t xml:space="preserve">7b — Contraintes corrigibles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06"/>
        <w:gridCol w:w="2200"/>
        <w:gridCol w:w="3100"/>
      </w:tblGrid>
      <w:tr>
        <w:tc>
          <w:tcPr>
            <w:tcW w:type="dxa" w:w="4206"/>
            <w:tcBorders>
              <w:top w:val="single" w:color="1E6640" w:sz="1"/>
              <w:left w:val="single" w:color="1E6640" w:sz="1"/>
              <w:bottom w:val="single" w:color="1E6640" w:sz="1"/>
              <w:right w:val="single" w:color="1E6640" w:sz="1"/>
            </w:tcBorders>
            <w:shd w:fill="1E6640"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Facteur limitant corrigible</w:t>
            </w:r>
          </w:p>
        </w:tc>
        <w:tc>
          <w:tcPr>
            <w:tcW w:type="dxa" w:w="2200"/>
            <w:tcBorders>
              <w:top w:val="single" w:color="1E6640" w:sz="1"/>
              <w:left w:val="single" w:color="1E6640" w:sz="1"/>
              <w:bottom w:val="single" w:color="1E6640" w:sz="1"/>
              <w:right w:val="single" w:color="1E6640" w:sz="1"/>
            </w:tcBorders>
            <w:shd w:fill="1E6640"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Impact sur le potentiel</w:t>
            </w:r>
          </w:p>
        </w:tc>
        <w:tc>
          <w:tcPr>
            <w:tcW w:type="dxa" w:w="3100"/>
            <w:tcBorders>
              <w:top w:val="single" w:color="1E6640" w:sz="1"/>
              <w:left w:val="single" w:color="1E6640" w:sz="1"/>
              <w:bottom w:val="single" w:color="1E6640" w:sz="1"/>
              <w:right w:val="single" w:color="1E6640" w:sz="1"/>
            </w:tcBorders>
            <w:shd w:fill="1E6640"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Levier disponible (activé en Phase 2)</w:t>
            </w:r>
          </w:p>
        </w:tc>
      </w:tr>
      <w:tr>
        <w:tc>
          <w:tcPr>
            <w:tcW w:type="dxa" w:w="42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[L'IA liste ici le facteur corrigible #1]</w:t>
            </w:r>
          </w:p>
        </w:tc>
        <w:tc>
          <w:tcPr>
            <w:tcW w:type="dxa" w:w="2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888888"/>
                <w:sz w:val="20"/>
                <w:szCs w:val="20"/>
              </w:rPr>
              <w:t xml:space="preserve">Élevé / Modéré / Faible</w:t>
            </w:r>
          </w:p>
        </w:tc>
        <w:tc>
          <w:tcPr>
            <w:tcW w:type="dxa" w:w="31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[Ex. : Rééquilibrage hydrique via adaptation du planning irrigation]</w:t>
            </w:r>
          </w:p>
        </w:tc>
      </w:tr>
      <w:tr>
        <w:tc>
          <w:tcPr>
            <w:tcW w:type="dxa" w:w="42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[Facteur #2]</w:t>
            </w:r>
          </w:p>
        </w:tc>
        <w:tc>
          <w:tcPr>
            <w:tcW w:type="dxa" w:w="2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w:t>
            </w:r>
          </w:p>
        </w:tc>
        <w:tc>
          <w:tcPr>
            <w:tcW w:type="dxa" w:w="31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w:t>
            </w:r>
          </w:p>
        </w:tc>
      </w:tr>
      <w:tr>
        <w:tc>
          <w:tcPr>
            <w:tcW w:type="dxa" w:w="42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888888"/>
                <w:sz w:val="20"/>
                <w:szCs w:val="20"/>
              </w:rPr>
              <w:t xml:space="preserve">[Facteur #3 et suivants...]</w:t>
            </w:r>
          </w:p>
        </w:tc>
        <w:tc>
          <w:tcPr>
            <w:tcW w:type="dxa" w:w="22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center"/>
            </w:pPr>
            <w:r>
              <w:rPr>
                <w:rFonts w:ascii="Arial" w:cs="Arial" w:eastAsia="Arial" w:hAnsi="Arial"/>
                <w:b w:val="false"/>
                <w:bCs w:val="false"/>
                <w:color w:val="333333"/>
                <w:sz w:val="20"/>
                <w:szCs w:val="20"/>
              </w:rPr>
              <w:t xml:space="preserve">...</w:t>
            </w:r>
          </w:p>
        </w:tc>
        <w:tc>
          <w:tcPr>
            <w:tcW w:type="dxa" w:w="31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2E6DA4" w:val="clear"/>
            <w:tcMar>
              <w:top w:type="dxa" w:w="160"/>
              <w:left w:type="dxa" w:w="280"/>
              <w:bottom w:type="dxa" w:w="160"/>
              <w:right w:type="dxa" w:w="280"/>
            </w:tcMar>
          </w:tcPr>
          <w:p>
            <w:r>
              <w:rPr>
                <w:rFonts w:ascii="Arial" w:cs="Arial" w:eastAsia="Arial" w:hAnsi="Arial"/>
                <w:b/>
                <w:bCs/>
                <w:color w:val="FFFFFF"/>
                <w:sz w:val="24"/>
                <w:szCs w:val="24"/>
              </w:rPr>
              <w:t xml:space="preserve">SECTION 8 — POTENTIEL DE RENDEMENT ET SUITE DU PROCESSUS</w:t>
            </w:r>
          </w:p>
        </w:tc>
      </w:tr>
    </w:tbl>
    <w:p>
      <w:pPr>
        <w:spacing w:before="80" w:after="0"/>
      </w:pPr>
    </w:p>
    <w:p>
      <w:pPr>
        <w:spacing w:before="200" w:after="80"/>
      </w:pPr>
      <w:r>
        <w:rPr>
          <w:rFonts w:ascii="Arial" w:cs="Arial" w:eastAsia="Arial" w:hAnsi="Arial"/>
          <w:b/>
          <w:bCs/>
          <w:color w:val="333333"/>
          <w:sz w:val="22"/>
          <w:szCs w:val="22"/>
        </w:rPr>
        <w:t xml:space="preserve">8a — Potentiel de rendement estimé</w:t>
      </w:r>
    </w:p>
    <w:p>
      <w:pPr>
        <w:spacing w:before="60" w:after="60"/>
        <w:jc w:val="left"/>
      </w:pPr>
      <w:r>
        <w:rPr>
          <w:rFonts w:ascii="Arial" w:cs="Arial" w:eastAsia="Arial" w:hAnsi="Arial"/>
          <w:b w:val="false"/>
          <w:bCs w:val="false"/>
          <w:color w:val="333333"/>
          <w:sz w:val="20"/>
          <w:szCs w:val="20"/>
        </w:rPr>
        <w:t xml:space="preserve">L'IA exprime le potentiel en unité concrète pour la culture (T/ha, kg/arbre...) avec une fourchette réaliste.</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B3A5C" w:sz="1"/>
              <w:left w:val="single" w:color="1B3A5C" w:sz="18"/>
              <w:bottom w:val="single" w:color="1B3A5C" w:sz="1"/>
              <w:right w:val="single" w:color="1B3A5C" w:sz="1"/>
            </w:tcBorders>
            <w:shd w:fill="D6E8F7" w:val="clear"/>
            <w:tcMar>
              <w:top w:type="dxa" w:w="130"/>
              <w:left w:type="dxa" w:w="220"/>
              <w:bottom w:type="dxa" w:w="130"/>
              <w:right w:type="dxa" w:w="220"/>
            </w:tcMar>
          </w:tcPr>
          <w:p>
            <w:r>
              <w:rPr>
                <w:rFonts w:ascii="Arial" w:cs="Arial" w:eastAsia="Arial" w:hAnsi="Arial"/>
                <w:b/>
                <w:bCs/>
                <w:color w:val="1B3A5C"/>
                <w:sz w:val="20"/>
                <w:szCs w:val="20"/>
              </w:rPr>
              <w:t xml:space="preserve">RÈGLE : Toujours formuler en fourchette, jamais en valeur unique. Toujours mentionner la marge d'erreur et les conditions de validité. Jamais présenter ce potentiel comme une promesse. Exemple : "Sur la base du calibrage, le potentiel de rendement estimé pour cette parcelle est de 8 à 12 T/ha, avec une probabilité plus élevée autour de 10 T/ha. Cette estimation est conditionnée aux pratiques d'irrigation et de nutrition, et sera affinée à chaque campagne déclarée."</w:t>
            </w:r>
          </w:p>
        </w:tc>
      </w:tr>
    </w:tbl>
    <w:p>
      <w:pPr>
        <w:spacing w:before="80" w:after="0"/>
      </w:pPr>
    </w:p>
    <w:p>
      <w:pPr>
        <w:spacing w:before="60" w:after="60"/>
        <w:jc w:val="left"/>
      </w:pPr>
      <w:r>
        <w:rPr>
          <w:rFonts w:ascii="Arial" w:cs="Arial" w:eastAsia="Arial" w:hAnsi="Arial"/>
          <w:b w:val="false"/>
          <w:bCs w:val="false"/>
          <w:color w:val="333333"/>
          <w:sz w:val="20"/>
          <w:szCs w:val="20"/>
        </w:rPr>
        <w:t xml:space="preserve">Si l'historique de rendements réels est disponible (≥ 3 ans) :</w:t>
      </w:r>
    </w:p>
    <w:p>
      <w:pPr>
        <w:pStyle w:val="ListParagraph"/>
        <w:numPr>
          <w:ilvl w:val="0"/>
          <w:numId w:val="2"/>
        </w:numPr>
        <w:spacing w:before="40" w:after="40"/>
      </w:pPr>
      <w:r>
        <w:rPr>
          <w:rFonts w:ascii="Arial" w:cs="Arial" w:eastAsia="Arial" w:hAnsi="Arial"/>
          <w:b w:val="false"/>
          <w:bCs w:val="false"/>
          <w:color w:val="333333"/>
          <w:sz w:val="20"/>
          <w:szCs w:val="20"/>
        </w:rPr>
        <w:t xml:space="preserve">L'IA utilise : Potentiel = Moyenne des 3 meilleures années × 1.1</w:t>
      </w:r>
    </w:p>
    <w:p>
      <w:pPr>
        <w:pStyle w:val="ListParagraph"/>
        <w:numPr>
          <w:ilvl w:val="0"/>
          <w:numId w:val="2"/>
        </w:numPr>
        <w:spacing w:before="40" w:after="40"/>
      </w:pPr>
      <w:r>
        <w:rPr>
          <w:rFonts w:ascii="Arial" w:cs="Arial" w:eastAsia="Arial" w:hAnsi="Arial"/>
          <w:b w:val="false"/>
          <w:bCs w:val="false"/>
          <w:color w:val="333333"/>
          <w:sz w:val="20"/>
          <w:szCs w:val="20"/>
        </w:rPr>
        <w:t xml:space="preserve">L'IA compare le rendement moyen observé au potentiel estimé et explique l'écart par les facteurs limitants identifiés en Section 7.</w:t>
      </w:r>
    </w:p>
    <w:p>
      <w:pPr>
        <w:pStyle w:val="ListParagraph"/>
        <w:numPr>
          <w:ilvl w:val="0"/>
          <w:numId w:val="2"/>
        </w:numPr>
        <w:spacing w:before="40" w:after="40"/>
      </w:pPr>
      <w:r>
        <w:rPr>
          <w:rFonts w:ascii="Arial" w:cs="Arial" w:eastAsia="Arial" w:hAnsi="Arial"/>
          <w:b w:val="false"/>
          <w:bCs w:val="false"/>
          <w:color w:val="333333"/>
          <w:sz w:val="20"/>
          <w:szCs w:val="20"/>
        </w:rPr>
        <w:t xml:space="preserve">L'IA détecte et mentionne le statut d'alternance (ON / OFF / épuisement) si le pattern est identifiable sur 3+ ans.</w:t>
      </w:r>
    </w:p>
    <w:p>
      <w:pPr>
        <w:spacing w:before="80" w:after="0"/>
      </w:pPr>
    </w:p>
    <w:p>
      <w:pPr>
        <w:spacing w:before="60" w:after="60"/>
        <w:jc w:val="left"/>
      </w:pPr>
      <w:r>
        <w:rPr>
          <w:rFonts w:ascii="Arial" w:cs="Arial" w:eastAsia="Arial" w:hAnsi="Arial"/>
          <w:b w:val="false"/>
          <w:bCs w:val="false"/>
          <w:color w:val="333333"/>
          <w:sz w:val="20"/>
          <w:szCs w:val="20"/>
        </w:rPr>
        <w:t xml:space="preserve">Si l'historique de rendements est absent :</w:t>
      </w:r>
    </w:p>
    <w:p>
      <w:pPr>
        <w:pStyle w:val="ListParagraph"/>
        <w:numPr>
          <w:ilvl w:val="0"/>
          <w:numId w:val="2"/>
        </w:numPr>
        <w:spacing w:before="40" w:after="40"/>
      </w:pPr>
      <w:r>
        <w:rPr>
          <w:rFonts w:ascii="Arial" w:cs="Arial" w:eastAsia="Arial" w:hAnsi="Arial"/>
          <w:b w:val="false"/>
          <w:bCs w:val="false"/>
          <w:color w:val="333333"/>
          <w:sz w:val="20"/>
          <w:szCs w:val="20"/>
        </w:rPr>
        <w:t xml:space="preserve">L'IA utilise : Estimation basée sur NIRvP cumulé × coefficients culture du référentiel.</w:t>
      </w:r>
    </w:p>
    <w:p>
      <w:pPr>
        <w:pStyle w:val="ListParagraph"/>
        <w:numPr>
          <w:ilvl w:val="0"/>
          <w:numId w:val="2"/>
        </w:numPr>
        <w:spacing w:before="40" w:after="40"/>
      </w:pPr>
      <w:r>
        <w:rPr>
          <w:rFonts w:ascii="Arial" w:cs="Arial" w:eastAsia="Arial" w:hAnsi="Arial"/>
          <w:b w:val="false"/>
          <w:bCs w:val="false"/>
          <w:color w:val="333333"/>
          <w:sz w:val="20"/>
          <w:szCs w:val="20"/>
        </w:rPr>
        <w:t xml:space="preserve">La fourchette est plus large et le niveau de confiance de cette estimation est explicitement mentionné comme FAIBLE.</w:t>
      </w:r>
    </w:p>
    <w:p>
      <w:pPr>
        <w:spacing w:before="160" w:after="0"/>
      </w:pPr>
    </w:p>
    <w:p>
      <w:pPr>
        <w:spacing w:before="200" w:after="80"/>
      </w:pPr>
      <w:r>
        <w:rPr>
          <w:rFonts w:ascii="Arial" w:cs="Arial" w:eastAsia="Arial" w:hAnsi="Arial"/>
          <w:b/>
          <w:bCs/>
          <w:color w:val="333333"/>
          <w:sz w:val="22"/>
          <w:szCs w:val="22"/>
        </w:rPr>
        <w:t xml:space="preserve">8b — Mode de gestion du sol retenu pour la Phase 2</w:t>
      </w:r>
    </w:p>
    <w:p>
      <w:pPr>
        <w:spacing w:before="60" w:after="60"/>
        <w:jc w:val="left"/>
      </w:pPr>
      <w:r>
        <w:rPr>
          <w:rFonts w:ascii="Arial" w:cs="Arial" w:eastAsia="Arial" w:hAnsi="Arial"/>
          <w:b w:val="false"/>
          <w:bCs w:val="false"/>
          <w:color w:val="333333"/>
          <w:sz w:val="20"/>
          <w:szCs w:val="20"/>
        </w:rPr>
        <w:t xml:space="preserve">Sur la base du calibrage, l'IA indique le mode qui sera appliqué par le moteur opérationnel pour générer le plan annuel :</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3406"/>
        <w:gridCol w:w="3300"/>
      </w:tblGrid>
      <w:tr>
        <w:tc>
          <w:tcPr>
            <w:tcW w:type="dxa" w:w="28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Mode</w:t>
            </w:r>
          </w:p>
        </w:tc>
        <w:tc>
          <w:tcPr>
            <w:tcW w:type="dxa" w:w="3406"/>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Condition d'activation</w:t>
            </w:r>
          </w:p>
        </w:tc>
        <w:tc>
          <w:tcPr>
            <w:tcW w:type="dxa" w:w="3300"/>
            <w:tcBorders>
              <w:top w:val="single" w:color="1B3A5C" w:sz="1"/>
              <w:left w:val="single" w:color="1B3A5C" w:sz="1"/>
              <w:bottom w:val="single" w:color="1B3A5C" w:sz="1"/>
              <w:right w:val="single" w:color="1B3A5C" w:sz="1"/>
            </w:tcBorders>
            <w:shd w:fill="1B3A5C" w:val="clear"/>
            <w:tcMar>
              <w:top w:type="dxa" w:w="120"/>
              <w:left w:type="dxa" w:w="140"/>
              <w:bottom w:type="dxa" w:w="120"/>
              <w:right w:type="dxa" w:w="140"/>
            </w:tcMar>
            <w:vAlign w:val="center"/>
          </w:tcPr>
          <w:p>
            <w:pPr>
              <w:jc w:val="center"/>
            </w:pPr>
            <w:r>
              <w:rPr>
                <w:rFonts w:ascii="Arial" w:cs="Arial" w:eastAsia="Arial" w:hAnsi="Arial"/>
                <w:b/>
                <w:bCs/>
                <w:color w:val="FFFFFF"/>
                <w:sz w:val="20"/>
                <w:szCs w:val="20"/>
              </w:rPr>
              <w:t xml:space="preserve">Ce que ça signifie pour l'agriculteur</w:t>
            </w:r>
          </w:p>
        </w:tc>
      </w:tr>
      <w:tr>
        <w:tc>
          <w:tcPr>
            <w:tcW w:type="dxa" w:w="28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Mode A — Nutrition Plante</w:t>
            </w:r>
          </w:p>
        </w:tc>
        <w:tc>
          <w:tcPr>
            <w:tcW w:type="dxa" w:w="3406"/>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Sol fortement limitant, objectif court terme, priorité survie et production minimale</w:t>
            </w:r>
          </w:p>
        </w:tc>
        <w:tc>
          <w:tcPr>
            <w:tcW w:type="dxa" w:w="3300"/>
            <w:tcBorders>
              <w:top w:val="single" w:color="CCCCCC" w:sz="1"/>
              <w:left w:val="single" w:color="CCCCCC" w:sz="1"/>
              <w:bottom w:val="single" w:color="CCCCCC" w:sz="1"/>
              <w:right w:val="single" w:color="CCCCCC" w:sz="1"/>
            </w:tcBorders>
            <w:shd w:fill="FADA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Les apports seront ciblés et efficaces, sans chercher à construire le sol à court terme.</w:t>
            </w:r>
          </w:p>
        </w:tc>
      </w:tr>
      <w:tr>
        <w:tc>
          <w:tcPr>
            <w:tcW w:type="dxa" w:w="28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bCs/>
                <w:color w:val="333333"/>
                <w:sz w:val="20"/>
                <w:szCs w:val="20"/>
              </w:rPr>
              <w:t xml:space="preserve">Mode B — Construction du Sol</w:t>
            </w:r>
          </w:p>
        </w:tc>
        <w:tc>
          <w:tcPr>
            <w:tcW w:type="dxa" w:w="3406"/>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Sol à faible capacité tampon, vision moyen / long terme</w:t>
            </w:r>
          </w:p>
        </w:tc>
        <w:tc>
          <w:tcPr>
            <w:tcW w:type="dxa" w:w="3300"/>
            <w:tcBorders>
              <w:top w:val="single" w:color="CCCCCC" w:sz="1"/>
              <w:left w:val="single" w:color="CCCCCC" w:sz="1"/>
              <w:bottom w:val="single" w:color="CCCCCC" w:sz="1"/>
              <w:right w:val="single" w:color="CCCCCC" w:sz="1"/>
            </w:tcBorders>
            <w:shd w:fill="FDE8D8"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Les apports seront fractionnés et étalés dans le temps pour améliorer progressivement la structure et la matière organique.</w:t>
            </w:r>
          </w:p>
        </w:tc>
      </w:tr>
      <w:tr>
        <w:tc>
          <w:tcPr>
            <w:tcW w:type="dxa" w:w="28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bCs/>
                <w:color w:val="1E6640"/>
                <w:sz w:val="20"/>
                <w:szCs w:val="20"/>
              </w:rPr>
              <w:t xml:space="preserve">Mode C — Mixte (cas majoritaire)</w:t>
            </w:r>
          </w:p>
        </w:tc>
        <w:tc>
          <w:tcPr>
            <w:tcW w:type="dxa" w:w="34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Besoins immédiats de la plante couverts + construction progressive du sol</w:t>
            </w:r>
          </w:p>
        </w:tc>
        <w:tc>
          <w:tcPr>
            <w:tcW w:type="dxa" w:w="3300"/>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Arbitrage entre rendement, coût et durabilité — programme équilibré.</w:t>
            </w:r>
          </w:p>
        </w:tc>
      </w:tr>
    </w:tbl>
    <w:p>
      <w:pPr>
        <w:spacing w:before="160" w:after="0"/>
      </w:pPr>
    </w:p>
    <w:p>
      <w:pPr>
        <w:spacing w:before="200" w:after="80"/>
      </w:pPr>
      <w:r>
        <w:rPr>
          <w:rFonts w:ascii="Arial" w:cs="Arial" w:eastAsia="Arial" w:hAnsi="Arial"/>
          <w:b/>
          <w:bCs/>
          <w:color w:val="333333"/>
          <w:sz w:val="22"/>
          <w:szCs w:val="22"/>
        </w:rPr>
        <w:t xml:space="preserve">8c — Ce qui vient après ce rapport</w:t>
      </w:r>
    </w:p>
    <w:p>
      <w:pPr>
        <w:spacing w:before="60" w:after="60"/>
        <w:jc w:val="left"/>
      </w:pPr>
      <w:r>
        <w:rPr>
          <w:rFonts w:ascii="Arial" w:cs="Arial" w:eastAsia="Arial" w:hAnsi="Arial"/>
          <w:b w:val="false"/>
          <w:bCs w:val="false"/>
          <w:color w:val="333333"/>
          <w:sz w:val="20"/>
          <w:szCs w:val="20"/>
        </w:rPr>
        <w:t xml:space="preserve">L'IA explique en 3 phrases simples ce qui se passe après la validation du calibrage :</w:t>
      </w:r>
    </w:p>
    <w:p>
      <w:pPr>
        <w:spacing w:before="8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9106"/>
      </w:tblGrid>
      <w:tr>
        <w:tc>
          <w:tcPr>
            <w:tcW w:type="dxa" w:w="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1</w:t>
            </w:r>
          </w:p>
        </w:tc>
        <w:tc>
          <w:tcPr>
            <w:tcW w:type="dxa" w:w="9106"/>
            <w:tcBorders>
              <w:top w:val="single" w:color="CCCCCC" w:sz="1"/>
              <w:left w:val="single" w:color="CCCCCC" w:sz="1"/>
              <w:bottom w:val="single" w:color="CCCCCC" w:sz="1"/>
              <w:right w:val="single" w:color="CCCCCC" w:sz="1"/>
            </w:tcBorders>
            <w:shd w:fill="EBF4FC"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En cliquant sur "Valider et activer les recommandations", vous confirmez que les informations de cette parcelle sont correctes.</w:t>
            </w:r>
          </w:p>
        </w:tc>
      </w:tr>
      <w:tr>
        <w:tc>
          <w:tcPr>
            <w:tcW w:type="dxa" w:w="400"/>
            <w:tcBorders>
              <w:top w:val="single" w:color="CCCCCC" w:sz="1"/>
              <w:left w:val="single" w:color="CCCCCC" w:sz="1"/>
              <w:bottom w:val="single" w:color="CCCCCC" w:sz="1"/>
              <w:right w:val="single" w:color="CCCCCC" w:sz="1"/>
            </w:tcBorders>
            <w:shd w:fill="2E6DA4"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2</w:t>
            </w:r>
          </w:p>
        </w:tc>
        <w:tc>
          <w:tcPr>
            <w:tcW w:type="dxa" w:w="9106"/>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 système génère automatiquement votre plan annuel complet (programme NPK, irrigation, biostimulants, phytosanitaire préventif, taille, prévision récolte).</w:t>
            </w:r>
          </w:p>
        </w:tc>
      </w:tr>
      <w:tr>
        <w:tc>
          <w:tcPr>
            <w:tcW w:type="dxa" w:w="400"/>
            <w:tcBorders>
              <w:top w:val="single" w:color="CCCCCC" w:sz="1"/>
              <w:left w:val="single" w:color="CCCCCC" w:sz="1"/>
              <w:bottom w:val="single" w:color="CCCCCC" w:sz="1"/>
              <w:right w:val="single" w:color="CCCCCC" w:sz="1"/>
            </w:tcBorders>
            <w:shd w:fill="1E6640" w:val="clear"/>
            <w:tcMar>
              <w:top w:type="dxa" w:w="100"/>
              <w:left w:type="dxa" w:w="140"/>
              <w:bottom w:type="dxa" w:w="100"/>
              <w:right w:type="dxa" w:w="140"/>
            </w:tcMar>
            <w:vAlign w:val="top"/>
          </w:tcPr>
          <w:p>
            <w:pPr>
              <w:jc w:val="center"/>
            </w:pPr>
            <w:r>
              <w:rPr>
                <w:rFonts w:ascii="Arial" w:cs="Arial" w:eastAsia="Arial" w:hAnsi="Arial"/>
                <w:b/>
                <w:bCs/>
                <w:color w:val="FFFFFF"/>
                <w:sz w:val="20"/>
                <w:szCs w:val="20"/>
              </w:rPr>
              <w:t xml:space="preserve">3</w:t>
            </w:r>
          </w:p>
        </w:tc>
        <w:tc>
          <w:tcPr>
            <w:tcW w:type="dxa" w:w="9106"/>
            <w:tcBorders>
              <w:top w:val="single" w:color="CCCCCC" w:sz="1"/>
              <w:left w:val="single" w:color="CCCCCC" w:sz="1"/>
              <w:bottom w:val="single" w:color="CCCCCC" w:sz="1"/>
              <w:right w:val="single" w:color="CCCCCC" w:sz="1"/>
            </w:tcBorders>
            <w:shd w:fill="D6EFE0" w:val="clear"/>
            <w:tcMar>
              <w:top w:type="dxa" w:w="100"/>
              <w:left w:type="dxa" w:w="140"/>
              <w:bottom w:type="dxa" w:w="100"/>
              <w:right w:type="dxa" w:w="140"/>
            </w:tcMar>
            <w:vAlign w:val="top"/>
          </w:tcPr>
          <w:p>
            <w:pPr>
              <w:jc w:val="left"/>
            </w:pPr>
            <w:r>
              <w:rPr>
                <w:rFonts w:ascii="Arial" w:cs="Arial" w:eastAsia="Arial" w:hAnsi="Arial"/>
                <w:b w:val="false"/>
                <w:bCs w:val="false"/>
                <w:color w:val="333333"/>
                <w:sz w:val="20"/>
                <w:szCs w:val="20"/>
              </w:rPr>
              <w:t xml:space="preserve">Les alertes et recommandations sont activées. L'IA suit votre parcelle en continu et s'améliore à chaque campagne déclarée.</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8B0000" w:sz="1"/>
              <w:left w:val="single" w:color="8B0000" w:sz="18"/>
              <w:bottom w:val="single" w:color="8B0000" w:sz="1"/>
              <w:right w:val="single" w:color="8B0000" w:sz="1"/>
            </w:tcBorders>
            <w:shd w:fill="FADAD8" w:val="clear"/>
            <w:tcMar>
              <w:top w:type="dxa" w:w="130"/>
              <w:left w:type="dxa" w:w="220"/>
              <w:bottom w:type="dxa" w:w="130"/>
              <w:right w:type="dxa" w:w="220"/>
            </w:tcMar>
          </w:tcPr>
          <w:p>
            <w:r>
              <w:rPr>
                <w:rFonts w:ascii="Arial" w:cs="Arial" w:eastAsia="Arial" w:hAnsi="Arial"/>
                <w:b/>
                <w:bCs/>
                <w:color w:val="8B0000"/>
                <w:sz w:val="20"/>
                <w:szCs w:val="20"/>
              </w:rPr>
              <w:t xml:space="preserve">CE QUE L'IA NE DOIT PAS DIRE DANS CE RAPPORT :
• Vous devriez irriguer davantage.
• Appliquez un traitement contre le stress.
• Vous pouvez espérer 15 T/ha si vous suivez mes conseils.
• Fertilisez davantage cette zone.
• Faites une analyse sol immédiatement.
Tout ce qui précède est INTERDIT pendant la phase de calibrage. L'IA constate — elle n'agit pas.</w:t>
            </w:r>
          </w:p>
        </w:tc>
      </w:tr>
    </w:tbl>
    <w:p>
      <w:pPr>
        <w:spacing w:before="160" w:after="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1E6640" w:sz="1"/>
              <w:left w:val="single" w:color="1E6640" w:sz="1"/>
              <w:bottom w:val="single" w:color="1E6640" w:sz="1"/>
              <w:right w:val="single" w:color="1E6640" w:sz="1"/>
            </w:tcBorders>
            <w:shd w:fill="D6EFE0" w:val="clear"/>
            <w:tcMar>
              <w:top w:type="dxa" w:w="200"/>
              <w:left w:type="dxa" w:w="300"/>
              <w:bottom w:type="dxa" w:w="200"/>
              <w:right w:type="dxa" w:w="300"/>
            </w:tcMar>
          </w:tcPr>
          <w:p>
            <w:pPr>
              <w:spacing w:before="0" w:after="80"/>
              <w:jc w:val="center"/>
            </w:pPr>
            <w:r>
              <w:rPr>
                <w:rFonts w:ascii="Arial" w:cs="Arial" w:eastAsia="Arial" w:hAnsi="Arial"/>
                <w:b/>
                <w:bCs/>
                <w:color w:val="1E6640"/>
                <w:sz w:val="22"/>
                <w:szCs w:val="22"/>
              </w:rPr>
              <w:t xml:space="preserve">ACTION REQUISE — VALIDATION UTILISATEUR</w:t>
            </w:r>
          </w:p>
          <w:p>
            <w:pPr>
              <w:spacing w:before="0" w:after="60"/>
              <w:jc w:val="center"/>
            </w:pPr>
            <w:r>
              <w:rPr>
                <w:rFonts w:ascii="Arial" w:cs="Arial" w:eastAsia="Arial" w:hAnsi="Arial"/>
                <w:b w:val="false"/>
                <w:bCs w:val="false"/>
                <w:color w:val="333333"/>
                <w:sz w:val="20"/>
                <w:szCs w:val="20"/>
              </w:rPr>
              <w:t xml:space="preserve">Vérifiez que toutes les informations ci-dessus correspondent à votre parcelle.</w:t>
            </w:r>
          </w:p>
          <w:p>
            <w:pPr>
              <w:spacing w:before="0" w:after="100"/>
              <w:jc w:val="center"/>
            </w:pPr>
            <w:r>
              <w:rPr>
                <w:rFonts w:ascii="Arial" w:cs="Arial" w:eastAsia="Arial" w:hAnsi="Arial"/>
                <w:b w:val="false"/>
                <w:bCs w:val="false"/>
                <w:color w:val="333333"/>
                <w:sz w:val="20"/>
                <w:szCs w:val="20"/>
              </w:rPr>
              <w:t xml:space="preserve">Si une correction est nécessaire, modifiez les données avant de valider.</w:t>
            </w:r>
          </w:p>
          <w:p>
            <w:pPr>
              <w:spacing w:before="0" w:after="0"/>
              <w:jc w:val="center"/>
            </w:pPr>
            <w:r>
              <w:rPr>
                <w:rFonts w:ascii="Arial" w:cs="Arial" w:eastAsia="Arial" w:hAnsi="Arial"/>
                <w:b/>
                <w:bCs/>
                <w:color w:val="FFFFFF"/>
                <w:sz w:val="24"/>
                <w:szCs w:val="24"/>
              </w:rPr>
              <w:t xml:space="preserve">[ Valider et activer les recommandations ]</w:t>
            </w:r>
          </w:p>
        </w:tc>
      </w:tr>
    </w:tbl>
    <w:p>
      <w:pPr>
        <w:spacing w:before="160" w:after="0"/>
      </w:pPr>
    </w:p>
    <w:p>
      <w:pPr>
        <w:spacing w:before="60" w:after="60"/>
        <w:jc w:val="center"/>
      </w:pPr>
      <w:r>
        <w:rPr>
          <w:rFonts w:ascii="Arial" w:cs="Arial" w:eastAsia="Arial" w:hAnsi="Arial"/>
          <w:b w:val="false"/>
          <w:bCs w:val="false"/>
          <w:color w:val="999999"/>
          <w:sz w:val="18"/>
          <w:szCs w:val="18"/>
        </w:rPr>
        <w:t xml:space="preserve">Version 1.0 · Février 2026 · Module Calibrage — Architecture Agronomique Beta AGROGINA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2026-03-14T00:55:34.348Z</dcterms:created>
  <dcterms:modified xsi:type="dcterms:W3CDTF">2026-03-14T00:55:34.349Z</dcterms:modified>
</cp:coreProperties>
</file>

<file path=docProps/custom.xml><?xml version="1.0" encoding="utf-8"?>
<Properties xmlns="http://schemas.openxmlformats.org/officeDocument/2006/custom-properties" xmlns:vt="http://schemas.openxmlformats.org/officeDocument/2006/docPropsVTypes"/>
</file>