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0649" w14:textId="77777777" w:rsidR="00EA217B" w:rsidRDefault="001A2CF6">
      <w:r>
        <w:rPr>
          <w:b/>
          <w:sz w:val="28"/>
        </w:rPr>
        <w:t>Managementovereenkomst</w:t>
      </w:r>
    </w:p>
    <w:p w14:paraId="2478EBEC" w14:textId="77777777" w:rsidR="00EA217B" w:rsidRDefault="001A2CF6">
      <w:pPr>
        <w:spacing w:after="120"/>
      </w:pPr>
      <w:r>
        <w:t>Partijen:</w:t>
      </w:r>
    </w:p>
    <w:p w14:paraId="4DFF8890" w14:textId="77777777" w:rsidR="00EA217B" w:rsidRDefault="001A2CF6">
      <w:pPr>
        <w:spacing w:after="120"/>
      </w:pPr>
      <w:r>
        <w:t>(a) [NAAM_HOLDING], gevestigd te [VESTIGINGSPLAATS], vertegenwoordigd door [NAAM_DGA], hierna: de Holding;</w:t>
      </w:r>
    </w:p>
    <w:p w14:paraId="5F26CF42" w14:textId="77777777" w:rsidR="00EA217B" w:rsidRDefault="001A2CF6">
      <w:pPr>
        <w:spacing w:after="120"/>
      </w:pPr>
      <w:r>
        <w:t>(b) [NAAM_WERKMAATSCHAPPIJ], gevestigd te [VESTIGINGSPLAATS], vertegenwoordigd door de Holding, hierna: de Werkmaatschappij.</w:t>
      </w:r>
    </w:p>
    <w:p w14:paraId="6EE9F3BC" w14:textId="77777777" w:rsidR="00EA217B" w:rsidRDefault="001A2CF6">
      <w:pPr>
        <w:spacing w:after="120"/>
      </w:pPr>
      <w:r>
        <w:t>Partijen komen het volgende overeen.</w:t>
      </w:r>
    </w:p>
    <w:p w14:paraId="20386E8E" w14:textId="77777777" w:rsidR="00EA217B" w:rsidRDefault="001A2CF6">
      <w:r>
        <w:rPr>
          <w:b/>
          <w:sz w:val="28"/>
        </w:rPr>
        <w:t>1. Opdracht en scope</w:t>
      </w:r>
    </w:p>
    <w:p w14:paraId="2FF60FC9" w14:textId="77777777" w:rsidR="00EA217B" w:rsidRDefault="001A2CF6">
      <w:pPr>
        <w:spacing w:after="120"/>
      </w:pPr>
      <w:r>
        <w:t>De Werkmaatschappij draagt aan de Holding het management van de onderneming op, met inbegrip van strategische, commerciële, financiële en operationele aansturing op directieniveau.</w:t>
      </w:r>
    </w:p>
    <w:p w14:paraId="0DC84F77" w14:textId="77777777" w:rsidR="00EA217B" w:rsidRDefault="001A2CF6">
      <w:pPr>
        <w:spacing w:after="120"/>
      </w:pPr>
      <w:r>
        <w:t>De Holding verricht de werkzaamheden zelfstandig en naar eigen inzicht, met inachtneming van redelijke instructies van de algemene vergadering en de statuten van de Werkmaatschappij. Partijen beogen uitdrukkelijk geen arbeidsovereenkomst in de zin van artikel 7:610 BW tot stand te brengen. De Holding verricht de werkzaamheden als zelfstandig opdrachtnemer.</w:t>
      </w:r>
    </w:p>
    <w:p w14:paraId="589D399B" w14:textId="77777777" w:rsidR="00EA217B" w:rsidRDefault="001A2CF6">
      <w:r>
        <w:rPr>
          <w:b/>
          <w:sz w:val="28"/>
        </w:rPr>
        <w:t>2. Beschikbaarheid en vervanging</w:t>
      </w:r>
    </w:p>
    <w:p w14:paraId="22B7E40D" w14:textId="77777777" w:rsidR="00EA217B" w:rsidRDefault="001A2CF6">
      <w:pPr>
        <w:spacing w:after="120"/>
      </w:pPr>
      <w:r>
        <w:t>De Holding zorgt voor voldoende beschikbaarheid om de opdracht deugdelijk uit te voeren.</w:t>
      </w:r>
    </w:p>
    <w:p w14:paraId="03B47A0D" w14:textId="77777777" w:rsidR="00EA217B" w:rsidRDefault="001A2CF6">
      <w:pPr>
        <w:spacing w:after="120"/>
      </w:pPr>
      <w:r>
        <w:t>Bij tijdelijke verhindering, waaronder begrepen ziekte of vakantie van de natuurlijke persoon die de werkzaamheden uitvoert, blijft de managementfee verschuldigd. Indien sprake is van volledige en aaneengesloten ontstentenis langer dan 30 dagen, treden partijen in overleg over een redelijke aanpassing van de managementfee voor de periode waarin geen werkzaamheden worden verricht.</w:t>
      </w:r>
    </w:p>
    <w:p w14:paraId="3DBB0875" w14:textId="77777777" w:rsidR="00EA217B" w:rsidRDefault="001A2CF6">
      <w:r>
        <w:rPr>
          <w:b/>
          <w:sz w:val="28"/>
        </w:rPr>
        <w:t>3. Vergoeding en facturatie</w:t>
      </w:r>
    </w:p>
    <w:p w14:paraId="4B405223" w14:textId="77777777" w:rsidR="00EA217B" w:rsidRDefault="001A2CF6">
      <w:pPr>
        <w:spacing w:after="120"/>
      </w:pPr>
      <w:r>
        <w:t>De Werkmaatschappij betaalt aan de Holding een managementfee van [MANAGEMENTFEE_PER_MAAND] per maand, exclusief omzetbelasting.</w:t>
      </w:r>
    </w:p>
    <w:p w14:paraId="7D9BD630" w14:textId="77777777" w:rsidR="00EA217B" w:rsidRDefault="001A2CF6">
      <w:pPr>
        <w:spacing w:after="120"/>
      </w:pPr>
      <w:r>
        <w:t>De managementfee wordt maandelijks bij vooruitfacturatie in rekening gebracht aan het begin van de betreffende maand. De betalingstermijn bedraagt 14 dagen na factuurdatum. Redelijke en vooraf afgestemde onkosten die in het kader van de opdracht worden gemaakt, worden afzonderlijk gefactureerd tenzij partijen anders overeenkomen.</w:t>
      </w:r>
    </w:p>
    <w:p w14:paraId="5E74E898" w14:textId="77777777" w:rsidR="00EA217B" w:rsidRDefault="001A2CF6">
      <w:pPr>
        <w:spacing w:after="120"/>
      </w:pPr>
      <w:r>
        <w:t xml:space="preserve">Naast de vaste managementfee kan de Holding in aanmerking komen voor een jaarlijkse variabele vergoeding. De variabele vergoeding wordt vastgesteld door de algemene vergadering van aandeelhouders van de Werkmaatschappij en is afhankelijk van de gerealiseerde resultaten en de financiële positie van de onderneming. De variabele vergoeding is niet gegarandeerd en vormt geen vaste of periodiek terugkerende aanspraak. Aan uitkeringen in voorgaande jaren </w:t>
      </w:r>
      <w:r>
        <w:lastRenderedPageBreak/>
        <w:t>kunnen geen rechten voor toekomstige jaren worden ontleend. Uitbetaling vindt plaats na vaststelling van de jaarrekening over het betreffende boekjaar.</w:t>
      </w:r>
    </w:p>
    <w:p w14:paraId="460C047B" w14:textId="77777777" w:rsidR="00EA217B" w:rsidRDefault="001A2CF6">
      <w:pPr>
        <w:spacing w:after="120"/>
      </w:pPr>
      <w:r>
        <w:t>De managementfee kan jaarlijks worden aangepast op basis van inflatie of gewijzigde omstandigheden, na wederzijds overleg.</w:t>
      </w:r>
    </w:p>
    <w:p w14:paraId="5614C6C9" w14:textId="77777777" w:rsidR="00EA217B" w:rsidRDefault="001A2CF6">
      <w:r>
        <w:rPr>
          <w:b/>
          <w:sz w:val="28"/>
        </w:rPr>
        <w:t>4. Duur en beëindiging</w:t>
      </w:r>
    </w:p>
    <w:p w14:paraId="761B00A2" w14:textId="77777777" w:rsidR="00EA217B" w:rsidRDefault="001A2CF6">
      <w:pPr>
        <w:spacing w:after="120"/>
      </w:pPr>
      <w:r>
        <w:t>De overeenkomst vangt aan op [DATUM_AANVANG_MANAGEMENT] en wordt aangegaan voor onbepaalde tijd.</w:t>
      </w:r>
    </w:p>
    <w:p w14:paraId="04F42B1C" w14:textId="77777777" w:rsidR="00EA217B" w:rsidRDefault="001A2CF6">
      <w:pPr>
        <w:spacing w:after="120"/>
      </w:pPr>
      <w:r>
        <w:t>Ieder der partijen kan de overeenkomst schriftelijk opzeggen met inachtneming van een opzegtermijn van één maand tegen het einde van de maand.</w:t>
      </w:r>
    </w:p>
    <w:p w14:paraId="26268626" w14:textId="77777777" w:rsidR="00EA217B" w:rsidRDefault="001A2CF6">
      <w:pPr>
        <w:spacing w:after="120"/>
      </w:pPr>
      <w:r>
        <w:t>Onverminderd het voorgaande kan ieder der partijen de overeenkomst met onmiddellijke ingang beëindigen bij een toerekenbare tekortkoming die niet binnen 30 dagen na schriftelijke ingebrekestelling is hersteld, of in geval van faillissement, surseance of beëindiging van de activiteiten van de andere partij.</w:t>
      </w:r>
    </w:p>
    <w:p w14:paraId="2EF52364" w14:textId="77777777" w:rsidR="00EA217B" w:rsidRDefault="001A2CF6">
      <w:r>
        <w:rPr>
          <w:b/>
          <w:sz w:val="28"/>
        </w:rPr>
        <w:t>5. Aansprakelijkheid en beperking</w:t>
      </w:r>
    </w:p>
    <w:p w14:paraId="0D5B8707" w14:textId="77777777" w:rsidR="00EA217B" w:rsidRDefault="001A2CF6">
      <w:pPr>
        <w:spacing w:after="120"/>
      </w:pPr>
      <w:r>
        <w:t>De Holding is slechts aansprakelijk voor directe schade die het rechtstreekse gevolg is van een toerekenbare tekortkoming. Aansprakelijkheid voor gevolgschade en gederfde winst is uitgesloten.</w:t>
      </w:r>
    </w:p>
    <w:p w14:paraId="0B57C6E7" w14:textId="77777777" w:rsidR="00EA217B" w:rsidRDefault="001A2CF6">
      <w:pPr>
        <w:spacing w:after="120"/>
      </w:pPr>
      <w:r>
        <w:t>De totale aansprakelijkheid van de Holding is beperkt tot het bedrag van de door de Werkmaatschappij betaalde managementfee in de twaalf maanden voorafgaand aan de gebeurtenis die de schade veroorzaakte.</w:t>
      </w:r>
    </w:p>
    <w:p w14:paraId="4176379A" w14:textId="77777777" w:rsidR="00EA217B" w:rsidRDefault="001A2CF6">
      <w:r>
        <w:rPr>
          <w:b/>
          <w:sz w:val="28"/>
        </w:rPr>
        <w:t>6. Geheimhouding en gegevensbescherming</w:t>
      </w:r>
    </w:p>
    <w:p w14:paraId="6F3FE4D0" w14:textId="77777777" w:rsidR="00EA217B" w:rsidRDefault="001A2CF6">
      <w:pPr>
        <w:spacing w:after="120"/>
      </w:pPr>
      <w:r>
        <w:t>Partijen houden alle vertrouwelijke informatie geheim, zowel gedurende als na afloop van de overeenkomst.</w:t>
      </w:r>
    </w:p>
    <w:p w14:paraId="0139DF8D" w14:textId="77777777" w:rsidR="00EA217B" w:rsidRDefault="001A2CF6">
      <w:pPr>
        <w:spacing w:after="120"/>
      </w:pPr>
      <w:r>
        <w:t>De Holding verwerkt persoonsgegevens uitsluitend conform toepasselijke privacywetgeving en interne instructies van de Werkmaatschappij.</w:t>
      </w:r>
    </w:p>
    <w:p w14:paraId="2441CB90" w14:textId="77777777" w:rsidR="00EA217B" w:rsidRDefault="001A2CF6">
      <w:r>
        <w:rPr>
          <w:b/>
          <w:sz w:val="28"/>
        </w:rPr>
        <w:t>7. Intellectuele eigendom</w:t>
      </w:r>
    </w:p>
    <w:p w14:paraId="0B2B14A8" w14:textId="77777777" w:rsidR="00EA217B" w:rsidRDefault="001A2CF6">
      <w:pPr>
        <w:spacing w:after="120"/>
      </w:pPr>
      <w:r>
        <w:t>Alle door of namens de Holding in het kader van de opdracht ontwikkelde werken en resultaten komen – voor zover rechtens mogelijk – toe aan de Werkmaatschappij.</w:t>
      </w:r>
    </w:p>
    <w:p w14:paraId="0EC418A2" w14:textId="77777777" w:rsidR="00EA217B" w:rsidRDefault="001A2CF6">
      <w:r>
        <w:rPr>
          <w:b/>
          <w:sz w:val="28"/>
        </w:rPr>
        <w:t>8. Non‑sollicitatie en concurrentie</w:t>
      </w:r>
    </w:p>
    <w:p w14:paraId="13F1C566" w14:textId="77777777" w:rsidR="00EA217B" w:rsidRDefault="001A2CF6">
      <w:pPr>
        <w:spacing w:after="120"/>
      </w:pPr>
      <w:r>
        <w:t>Zonder voorafgaande schriftelijke toestemming zal de Holding gedurende de looptijd en twaalf maanden daarna geen personeel of essentiële relaties van de Werkmaatschappij actief benaderen met het doel deze bij de Werkmaatschappij weg te halen.</w:t>
      </w:r>
    </w:p>
    <w:p w14:paraId="3D2EA146" w14:textId="77777777" w:rsidR="00EA217B" w:rsidRDefault="001A2CF6">
      <w:r>
        <w:rPr>
          <w:b/>
          <w:sz w:val="28"/>
        </w:rPr>
        <w:lastRenderedPageBreak/>
        <w:t>9. Compliance</w:t>
      </w:r>
    </w:p>
    <w:p w14:paraId="40EDDA00" w14:textId="77777777" w:rsidR="00EA217B" w:rsidRDefault="001A2CF6">
      <w:pPr>
        <w:spacing w:after="120"/>
      </w:pPr>
      <w:r>
        <w:t>Partijen handelen in overeenstemming met toepasselijke wet- en regelgeving, waaronder anti‑corruptie‑ en sanctieregels, en interne gedragscodes.</w:t>
      </w:r>
    </w:p>
    <w:p w14:paraId="7FD112CE" w14:textId="77777777" w:rsidR="00EA217B" w:rsidRDefault="001A2CF6">
      <w:r>
        <w:rPr>
          <w:b/>
          <w:sz w:val="28"/>
        </w:rPr>
        <w:t>10. Slotbepalingen</w:t>
      </w:r>
    </w:p>
    <w:p w14:paraId="12CB5CC1" w14:textId="77777777" w:rsidR="00EA217B" w:rsidRDefault="001A2CF6">
      <w:pPr>
        <w:spacing w:after="120"/>
      </w:pPr>
      <w:r>
        <w:t>Wijzigingen of aanvullingen op deze overeenkomst zijn slechts geldig indien schriftelijk overeengekomen.</w:t>
      </w:r>
    </w:p>
    <w:p w14:paraId="1EB20B97" w14:textId="77777777" w:rsidR="00EA217B" w:rsidRDefault="001A2CF6">
      <w:pPr>
        <w:spacing w:after="120"/>
      </w:pPr>
      <w:r>
        <w:t>Op deze overeenkomst is Nederlands recht van toepassing. Geschillen worden voorgelegd aan de bevoegde rechter in [VESTIGINGSPLAATS].</w:t>
      </w:r>
    </w:p>
    <w:p w14:paraId="2F737187" w14:textId="77777777" w:rsidR="00EA217B" w:rsidRDefault="001A2CF6">
      <w:pPr>
        <w:spacing w:before="240" w:after="240"/>
      </w:pPr>
      <w:r>
        <w:t>Aldus overeengekomen en in tweevoud ondertekend te [VESTIGINGSPLAATS] op [DATUM_ONDERTEKENING].</w:t>
      </w:r>
    </w:p>
    <w:tbl>
      <w:tblPr>
        <w:tblW w:w="0" w:type="auto"/>
        <w:tblLook w:val="04A0" w:firstRow="1" w:lastRow="0" w:firstColumn="1" w:lastColumn="0" w:noHBand="0" w:noVBand="1"/>
      </w:tblPr>
      <w:tblGrid>
        <w:gridCol w:w="4320"/>
        <w:gridCol w:w="4320"/>
      </w:tblGrid>
      <w:tr w:rsidR="00EA217B" w14:paraId="38B985FA" w14:textId="77777777">
        <w:tc>
          <w:tcPr>
            <w:tcW w:w="4320" w:type="dxa"/>
          </w:tcPr>
          <w:p w14:paraId="7AD7216E" w14:textId="77777777" w:rsidR="00EA217B" w:rsidRDefault="001A2CF6">
            <w:r>
              <w:t>Voor de Holding</w:t>
            </w:r>
          </w:p>
        </w:tc>
        <w:tc>
          <w:tcPr>
            <w:tcW w:w="4320" w:type="dxa"/>
          </w:tcPr>
          <w:p w14:paraId="2A2A6D8D" w14:textId="77777777" w:rsidR="00EA217B" w:rsidRDefault="001A2CF6">
            <w:r>
              <w:t>Voor de Werkmaatschappij</w:t>
            </w:r>
          </w:p>
        </w:tc>
      </w:tr>
      <w:tr w:rsidR="00EA217B" w14:paraId="4A9EB9CB" w14:textId="77777777">
        <w:tc>
          <w:tcPr>
            <w:tcW w:w="4320" w:type="dxa"/>
          </w:tcPr>
          <w:p w14:paraId="405593CC" w14:textId="77777777" w:rsidR="00EA217B" w:rsidRDefault="001A2CF6">
            <w:r>
              <w:t>[NAAM_HOLDING]</w:t>
            </w:r>
          </w:p>
        </w:tc>
        <w:tc>
          <w:tcPr>
            <w:tcW w:w="4320" w:type="dxa"/>
          </w:tcPr>
          <w:p w14:paraId="2E13D9FE" w14:textId="77777777" w:rsidR="00EA217B" w:rsidRDefault="001A2CF6">
            <w:r>
              <w:t>[NAAM_WERKMAATSCHAPPIJ]</w:t>
            </w:r>
          </w:p>
        </w:tc>
      </w:tr>
      <w:tr w:rsidR="00EA217B" w14:paraId="475260C5" w14:textId="77777777">
        <w:tc>
          <w:tcPr>
            <w:tcW w:w="4320" w:type="dxa"/>
          </w:tcPr>
          <w:p w14:paraId="464A7664" w14:textId="77777777" w:rsidR="00EA217B" w:rsidRDefault="001A2CF6">
            <w:r>
              <w:t>vertegenwoordigd door</w:t>
            </w:r>
          </w:p>
        </w:tc>
        <w:tc>
          <w:tcPr>
            <w:tcW w:w="4320" w:type="dxa"/>
          </w:tcPr>
          <w:p w14:paraId="31ACA568" w14:textId="77777777" w:rsidR="00EA217B" w:rsidRDefault="001A2CF6">
            <w:r>
              <w:t>vertegenwoordigd door</w:t>
            </w:r>
          </w:p>
        </w:tc>
      </w:tr>
      <w:tr w:rsidR="00EA217B" w14:paraId="33EAF71D" w14:textId="77777777">
        <w:tc>
          <w:tcPr>
            <w:tcW w:w="4320" w:type="dxa"/>
          </w:tcPr>
          <w:p w14:paraId="3E57452D" w14:textId="77777777" w:rsidR="00EA217B" w:rsidRDefault="001A2CF6">
            <w:r>
              <w:t>[NAAM_DGA]</w:t>
            </w:r>
          </w:p>
        </w:tc>
        <w:tc>
          <w:tcPr>
            <w:tcW w:w="4320" w:type="dxa"/>
          </w:tcPr>
          <w:p w14:paraId="3505A07F" w14:textId="77777777" w:rsidR="00EA217B" w:rsidRDefault="001A2CF6">
            <w:r>
              <w:t>[NAAM_DGA]</w:t>
            </w:r>
          </w:p>
        </w:tc>
      </w:tr>
      <w:tr w:rsidR="00EA217B" w14:paraId="6E242814" w14:textId="77777777">
        <w:tc>
          <w:tcPr>
            <w:tcW w:w="4320" w:type="dxa"/>
          </w:tcPr>
          <w:p w14:paraId="5816D83E" w14:textId="77777777" w:rsidR="00EA217B" w:rsidRDefault="00EA217B"/>
        </w:tc>
        <w:tc>
          <w:tcPr>
            <w:tcW w:w="4320" w:type="dxa"/>
          </w:tcPr>
          <w:p w14:paraId="7F72B203" w14:textId="77777777" w:rsidR="00EA217B" w:rsidRDefault="00EA217B"/>
        </w:tc>
      </w:tr>
      <w:tr w:rsidR="00EA217B" w14:paraId="25CBCD1A" w14:textId="77777777">
        <w:tc>
          <w:tcPr>
            <w:tcW w:w="4320" w:type="dxa"/>
          </w:tcPr>
          <w:p w14:paraId="7C22855E" w14:textId="77777777" w:rsidR="00EA217B" w:rsidRDefault="001A2CF6">
            <w:r>
              <w:t>Handtekening: ________________________________</w:t>
            </w:r>
          </w:p>
        </w:tc>
        <w:tc>
          <w:tcPr>
            <w:tcW w:w="4320" w:type="dxa"/>
          </w:tcPr>
          <w:p w14:paraId="53635BF6" w14:textId="77777777" w:rsidR="00EA217B" w:rsidRDefault="001A2CF6">
            <w:r>
              <w:t>Handtekening: ________________________________</w:t>
            </w:r>
          </w:p>
        </w:tc>
      </w:tr>
    </w:tbl>
    <w:p w14:paraId="16882508" w14:textId="77777777" w:rsidR="00EA217B" w:rsidRDefault="00EA217B">
      <w:pPr>
        <w:spacing w:before="120" w:after="0"/>
      </w:pPr>
    </w:p>
    <w:sectPr w:rsidR="00EA21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568803912">
    <w:abstractNumId w:val="8"/>
  </w:num>
  <w:num w:numId="2" w16cid:durableId="1299266166">
    <w:abstractNumId w:val="6"/>
  </w:num>
  <w:num w:numId="3" w16cid:durableId="489293394">
    <w:abstractNumId w:val="5"/>
  </w:num>
  <w:num w:numId="4" w16cid:durableId="1509709625">
    <w:abstractNumId w:val="4"/>
  </w:num>
  <w:num w:numId="5" w16cid:durableId="1928032086">
    <w:abstractNumId w:val="7"/>
  </w:num>
  <w:num w:numId="6" w16cid:durableId="1798719126">
    <w:abstractNumId w:val="3"/>
  </w:num>
  <w:num w:numId="7" w16cid:durableId="1610354865">
    <w:abstractNumId w:val="2"/>
  </w:num>
  <w:num w:numId="8" w16cid:durableId="2109154844">
    <w:abstractNumId w:val="1"/>
  </w:num>
  <w:num w:numId="9" w16cid:durableId="195474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CF6"/>
    <w:rsid w:val="0029639D"/>
    <w:rsid w:val="00326F90"/>
    <w:rsid w:val="00961B99"/>
    <w:rsid w:val="00AA1D8D"/>
    <w:rsid w:val="00B47730"/>
    <w:rsid w:val="00CB0664"/>
    <w:rsid w:val="00EA2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77954"/>
  <w14:defaultImageDpi w14:val="300"/>
  <w15:docId w15:val="{E833A340-3F4F-409A-B89B-2D9F00DB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783</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Sylvain Bouwman | Onesti</cp:lastModifiedBy>
  <cp:revision>2</cp:revision>
  <dcterms:created xsi:type="dcterms:W3CDTF">2026-02-28T16:54:00Z</dcterms:created>
  <dcterms:modified xsi:type="dcterms:W3CDTF">2026-02-28T16:54:00Z</dcterms:modified>
  <cp:category/>
</cp:coreProperties>
</file>