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D432" w14:textId="77777777" w:rsidR="00CB66A5" w:rsidRPr="00C479EF" w:rsidRDefault="00634B77">
      <w:pPr>
        <w:rPr>
          <w:lang w:val="nl-NL"/>
        </w:rPr>
      </w:pPr>
      <w:r w:rsidRPr="00C479EF">
        <w:rPr>
          <w:b/>
          <w:sz w:val="28"/>
          <w:lang w:val="nl-NL"/>
        </w:rPr>
        <w:t>Rekening‑courantovereenkomst (Holding – Werkmaatschappij)</w:t>
      </w:r>
    </w:p>
    <w:p w14:paraId="162E6572" w14:textId="77777777" w:rsidR="00CB66A5" w:rsidRPr="00C479EF" w:rsidRDefault="00634B77">
      <w:pPr>
        <w:spacing w:after="120"/>
        <w:rPr>
          <w:lang w:val="nl-NL"/>
        </w:rPr>
      </w:pPr>
      <w:r w:rsidRPr="00C479EF">
        <w:rPr>
          <w:lang w:val="nl-NL"/>
        </w:rPr>
        <w:t>Partijen:</w:t>
      </w:r>
    </w:p>
    <w:p w14:paraId="0CF693BE" w14:textId="77777777" w:rsidR="00CB66A5" w:rsidRPr="00C479EF" w:rsidRDefault="00634B77">
      <w:pPr>
        <w:spacing w:after="120"/>
        <w:rPr>
          <w:lang w:val="nl-NL"/>
        </w:rPr>
      </w:pPr>
      <w:r w:rsidRPr="00C479EF">
        <w:rPr>
          <w:lang w:val="nl-NL"/>
        </w:rPr>
        <w:t>(a) [NAAM_HOLDING], gevestigd te [VESTIGINGSPLAATS], vertegenwoordigd door [NAAM_DGA], hierna: partij 1 (Holding);</w:t>
      </w:r>
    </w:p>
    <w:p w14:paraId="6A8EA4E1" w14:textId="77777777" w:rsidR="00CB66A5" w:rsidRPr="00C479EF" w:rsidRDefault="00634B77">
      <w:pPr>
        <w:spacing w:after="120"/>
        <w:rPr>
          <w:lang w:val="nl-NL"/>
        </w:rPr>
      </w:pPr>
      <w:r w:rsidRPr="00C479EF">
        <w:rPr>
          <w:lang w:val="nl-NL"/>
        </w:rPr>
        <w:t>(b) [NAAM_WERKMAATSCHAPPIJ], gevestigd te [VESTIGINGSPLAATS], vertegenwoordigd door de Holding, hierna: partij 2 (Werkmaatschappij).</w:t>
      </w:r>
    </w:p>
    <w:p w14:paraId="7D58492A" w14:textId="77777777" w:rsidR="00CB66A5" w:rsidRPr="00C479EF" w:rsidRDefault="00634B77">
      <w:pPr>
        <w:spacing w:after="120"/>
        <w:rPr>
          <w:lang w:val="nl-NL"/>
        </w:rPr>
      </w:pPr>
      <w:r w:rsidRPr="00C479EF">
        <w:rPr>
          <w:lang w:val="nl-NL"/>
        </w:rPr>
        <w:t>Partijen komen het volgende overeen.</w:t>
      </w:r>
    </w:p>
    <w:p w14:paraId="3EFBD302" w14:textId="77777777" w:rsidR="00CB66A5" w:rsidRPr="00C479EF" w:rsidRDefault="00634B77">
      <w:pPr>
        <w:rPr>
          <w:lang w:val="nl-NL"/>
        </w:rPr>
      </w:pPr>
      <w:r w:rsidRPr="00C479EF">
        <w:rPr>
          <w:b/>
          <w:sz w:val="28"/>
          <w:lang w:val="nl-NL"/>
        </w:rPr>
        <w:t>1. Faciliteit en plafond</w:t>
      </w:r>
    </w:p>
    <w:p w14:paraId="5DDACC37" w14:textId="77777777" w:rsidR="00CB66A5" w:rsidRPr="00C479EF" w:rsidRDefault="00634B77">
      <w:pPr>
        <w:spacing w:after="120"/>
        <w:rPr>
          <w:lang w:val="nl-NL"/>
        </w:rPr>
      </w:pPr>
      <w:r w:rsidRPr="00C479EF">
        <w:rPr>
          <w:lang w:val="nl-NL"/>
        </w:rPr>
        <w:t>Partijen verlenen elkaar per [DATUM_AANVANG_RC] een wederzijdse rekening‑courantfaciliteit tot een gezamenlijk kredietplafond van [RC_KREDIETPLAFOND_EURO]. Overschrijding van het kredietplafond is slechts toegestaan na voorafgaande schriftelijke instemming van beide partijen.</w:t>
      </w:r>
    </w:p>
    <w:p w14:paraId="2DD947AD" w14:textId="77777777" w:rsidR="00CB66A5" w:rsidRPr="00C479EF" w:rsidRDefault="00634B77">
      <w:pPr>
        <w:rPr>
          <w:lang w:val="nl-NL"/>
        </w:rPr>
      </w:pPr>
      <w:r w:rsidRPr="00C479EF">
        <w:rPr>
          <w:b/>
          <w:sz w:val="28"/>
          <w:lang w:val="nl-NL"/>
        </w:rPr>
        <w:t>2. Rente en zakelijkheid</w:t>
      </w:r>
    </w:p>
    <w:p w14:paraId="039F8EB2" w14:textId="77777777" w:rsidR="00CB66A5" w:rsidRPr="00C479EF" w:rsidRDefault="00634B77">
      <w:pPr>
        <w:spacing w:after="120"/>
        <w:rPr>
          <w:lang w:val="nl-NL"/>
        </w:rPr>
      </w:pPr>
      <w:r w:rsidRPr="00C479EF">
        <w:rPr>
          <w:lang w:val="nl-NL"/>
        </w:rPr>
        <w:t>Over het debetsaldo is een vaste jaarlijkse rente verschuldigd van [RC_RENTE_PERCENTAGE]% op jaarbasis. De rente wordt berekend over het gemiddeld uitstaand saldo en jaarlijks per 31 december bijgeschreven in rekening-courant, tenzij partijen schriftelijk anders overeenkomen. Partijen beoordelen jaarlijks of het overeengekomen rentepercentage, gelet op de financiële positie van partijen en de marktomstandigheden, nog als zakelijk kan worden aangemerkt en passen dit zo nodig schriftelijk aan om te blijven voldoen aan het arm’s-length beginsel.</w:t>
      </w:r>
    </w:p>
    <w:p w14:paraId="1B31E3C9" w14:textId="77777777" w:rsidR="00CB66A5" w:rsidRPr="00C479EF" w:rsidRDefault="00634B77">
      <w:pPr>
        <w:spacing w:after="120"/>
        <w:rPr>
          <w:lang w:val="nl-NL"/>
        </w:rPr>
      </w:pPr>
      <w:r w:rsidRPr="00C479EF">
        <w:rPr>
          <w:lang w:val="nl-NL"/>
        </w:rPr>
        <w:t>Partijen bevestigen dat de voorwaarden zakelijk zijn en dat – indien omstandigheden dat vereisen – rente of voorwaarden schriftelijk worden herzien om arm’s‑length te blijven.</w:t>
      </w:r>
    </w:p>
    <w:p w14:paraId="63FC546F" w14:textId="77777777" w:rsidR="00CB66A5" w:rsidRPr="00C479EF" w:rsidRDefault="00634B77">
      <w:pPr>
        <w:rPr>
          <w:lang w:val="nl-NL"/>
        </w:rPr>
      </w:pPr>
      <w:r w:rsidRPr="00C479EF">
        <w:rPr>
          <w:b/>
          <w:sz w:val="28"/>
          <w:lang w:val="nl-NL"/>
        </w:rPr>
        <w:t>3. Aflossing en saldering</w:t>
      </w:r>
    </w:p>
    <w:p w14:paraId="62400BED" w14:textId="77777777" w:rsidR="00CB66A5" w:rsidRPr="00C479EF" w:rsidRDefault="00634B77">
      <w:pPr>
        <w:spacing w:after="120"/>
        <w:rPr>
          <w:lang w:val="nl-NL"/>
        </w:rPr>
      </w:pPr>
      <w:r w:rsidRPr="00C479EF">
        <w:rPr>
          <w:lang w:val="nl-NL"/>
        </w:rPr>
        <w:t>Per kwartaal wordt gesaldeerd en – indien een partij een debetsaldo heeft – binnen 30 dagen na saldering teruggebracht binnen het kredietplafond, tenzij partijen schriftelijk anders afspreken. Indien gedurende meer dan twaalf aaneengesloten maanden sprake is van een structureel debetsaldo, treden partijen in overleg over een redelijke aflossingsregeling.</w:t>
      </w:r>
    </w:p>
    <w:p w14:paraId="4E1668A0" w14:textId="77777777" w:rsidR="00CB66A5" w:rsidRPr="00C479EF" w:rsidRDefault="00634B77">
      <w:pPr>
        <w:rPr>
          <w:lang w:val="nl-NL"/>
        </w:rPr>
      </w:pPr>
      <w:r w:rsidRPr="00C479EF">
        <w:rPr>
          <w:b/>
          <w:sz w:val="28"/>
          <w:lang w:val="nl-NL"/>
        </w:rPr>
        <w:t>4. Zekerheden</w:t>
      </w:r>
    </w:p>
    <w:p w14:paraId="4CB8A0AF" w14:textId="77777777" w:rsidR="00CB66A5" w:rsidRPr="00C479EF" w:rsidRDefault="00634B77">
      <w:pPr>
        <w:spacing w:after="120"/>
        <w:rPr>
          <w:lang w:val="nl-NL"/>
        </w:rPr>
      </w:pPr>
      <w:r w:rsidRPr="00C479EF">
        <w:rPr>
          <w:lang w:val="nl-NL"/>
        </w:rPr>
        <w:t>Indien de omvang van het debetsaldo of de financiële positie daartoe aanleiding geeft, verstrekt de partij met het debetsaldo op eerste verzoek passende zekerheden.</w:t>
      </w:r>
    </w:p>
    <w:p w14:paraId="2881C25E" w14:textId="77777777" w:rsidR="00C479EF" w:rsidRPr="00C479EF" w:rsidRDefault="00C479EF">
      <w:pPr>
        <w:rPr>
          <w:b/>
          <w:sz w:val="28"/>
          <w:lang w:val="nl-NL"/>
        </w:rPr>
      </w:pPr>
      <w:r w:rsidRPr="00C479EF">
        <w:rPr>
          <w:b/>
          <w:sz w:val="28"/>
          <w:lang w:val="nl-NL"/>
        </w:rPr>
        <w:br w:type="page"/>
      </w:r>
    </w:p>
    <w:p w14:paraId="61F93C41" w14:textId="3923ABC7" w:rsidR="00CB66A5" w:rsidRPr="00C479EF" w:rsidRDefault="00634B77">
      <w:pPr>
        <w:rPr>
          <w:lang w:val="nl-NL"/>
        </w:rPr>
      </w:pPr>
      <w:r w:rsidRPr="00C479EF">
        <w:rPr>
          <w:b/>
          <w:sz w:val="28"/>
          <w:lang w:val="nl-NL"/>
        </w:rPr>
        <w:lastRenderedPageBreak/>
        <w:t>5. Opeisbaarheid en beëindiging</w:t>
      </w:r>
    </w:p>
    <w:p w14:paraId="31896BEC" w14:textId="77777777" w:rsidR="00CB66A5" w:rsidRPr="00C479EF" w:rsidRDefault="00634B77">
      <w:pPr>
        <w:spacing w:after="120"/>
        <w:rPr>
          <w:lang w:val="nl-NL"/>
        </w:rPr>
      </w:pPr>
      <w:r w:rsidRPr="00C479EF">
        <w:rPr>
          <w:lang w:val="nl-NL"/>
        </w:rPr>
        <w:t>Elk debetsaldo is terstond en volledig opeisbaar bij faillissement, (voorlopige) surseance van betaling of beslag op een aanmerkelijk deel van de activa van de debiteur.</w:t>
      </w:r>
    </w:p>
    <w:p w14:paraId="7FFDFC32" w14:textId="77777777" w:rsidR="00CB66A5" w:rsidRPr="00C479EF" w:rsidRDefault="00634B77">
      <w:pPr>
        <w:spacing w:after="120"/>
        <w:rPr>
          <w:lang w:val="nl-NL"/>
        </w:rPr>
      </w:pPr>
      <w:r w:rsidRPr="00C479EF">
        <w:rPr>
          <w:lang w:val="nl-NL"/>
        </w:rPr>
        <w:t>Ieder der partijen kan de overeenkomst met inachtneming van een opzegtermijn van één maand schriftelijk beëindigen.</w:t>
      </w:r>
    </w:p>
    <w:p w14:paraId="4DC10499" w14:textId="77777777" w:rsidR="00CB66A5" w:rsidRPr="00C479EF" w:rsidRDefault="00634B77">
      <w:pPr>
        <w:rPr>
          <w:lang w:val="nl-NL"/>
        </w:rPr>
      </w:pPr>
      <w:r w:rsidRPr="00C479EF">
        <w:rPr>
          <w:b/>
          <w:sz w:val="28"/>
          <w:lang w:val="nl-NL"/>
        </w:rPr>
        <w:t>6. Fiscale en juridische bepalingen</w:t>
      </w:r>
    </w:p>
    <w:p w14:paraId="00DA33EF" w14:textId="77777777" w:rsidR="00CB66A5" w:rsidRPr="00C479EF" w:rsidRDefault="00634B77">
      <w:pPr>
        <w:spacing w:after="120"/>
        <w:rPr>
          <w:lang w:val="nl-NL"/>
        </w:rPr>
      </w:pPr>
      <w:r w:rsidRPr="00C479EF">
        <w:rPr>
          <w:lang w:val="nl-NL"/>
        </w:rPr>
        <w:t>Partijen voeren een deugdelijke administratie waarin de rekening‑courantverhouding inzichtelijk en controleerbaar is vastgelegd. Het saldo wordt ten minste eenmaal per jaar schriftelijk vastgesteld en door beide partijen bevestigd. Alle mutaties worden deugdelijk onderbouwd.</w:t>
      </w:r>
    </w:p>
    <w:p w14:paraId="4E06FCD7" w14:textId="77777777" w:rsidR="00CB66A5" w:rsidRPr="00C479EF" w:rsidRDefault="00634B77">
      <w:pPr>
        <w:rPr>
          <w:lang w:val="nl-NL"/>
        </w:rPr>
      </w:pPr>
      <w:r w:rsidRPr="00C479EF">
        <w:rPr>
          <w:b/>
          <w:sz w:val="28"/>
          <w:lang w:val="nl-NL"/>
        </w:rPr>
        <w:t>7. Toepasselijk recht en forum</w:t>
      </w:r>
    </w:p>
    <w:p w14:paraId="7D1E939A" w14:textId="77777777" w:rsidR="00CB66A5" w:rsidRPr="00C479EF" w:rsidRDefault="00634B77">
      <w:pPr>
        <w:spacing w:after="120"/>
        <w:rPr>
          <w:lang w:val="nl-NL"/>
        </w:rPr>
      </w:pPr>
      <w:r w:rsidRPr="00C479EF">
        <w:rPr>
          <w:lang w:val="nl-NL"/>
        </w:rPr>
        <w:t>Op deze overeenkomst is Nederlands recht van toepassing. Geschillen worden voorgelegd aan de bevoegde rechter in [VESTIGINGSPLAATS].</w:t>
      </w:r>
    </w:p>
    <w:p w14:paraId="19117BE6" w14:textId="77777777" w:rsidR="00CB66A5" w:rsidRPr="00C479EF" w:rsidRDefault="00634B77">
      <w:pPr>
        <w:spacing w:before="240" w:after="240"/>
        <w:rPr>
          <w:lang w:val="nl-NL"/>
        </w:rPr>
      </w:pPr>
      <w:r w:rsidRPr="00C479EF">
        <w:rPr>
          <w:lang w:val="nl-NL"/>
        </w:rPr>
        <w:t>Aldus overeengekomen en in tweevoud ondertekend te [VESTIGINGSPLAATS] op [DATUM_ONDERTEKENING].</w:t>
      </w:r>
    </w:p>
    <w:tbl>
      <w:tblPr>
        <w:tblW w:w="0" w:type="auto"/>
        <w:tblLook w:val="04A0" w:firstRow="1" w:lastRow="0" w:firstColumn="1" w:lastColumn="0" w:noHBand="0" w:noVBand="1"/>
      </w:tblPr>
      <w:tblGrid>
        <w:gridCol w:w="4320"/>
        <w:gridCol w:w="4320"/>
      </w:tblGrid>
      <w:tr w:rsidR="00CB66A5" w14:paraId="534DDF43" w14:textId="77777777">
        <w:tc>
          <w:tcPr>
            <w:tcW w:w="4320" w:type="dxa"/>
          </w:tcPr>
          <w:p w14:paraId="4ECAF142" w14:textId="77777777" w:rsidR="00CB66A5" w:rsidRDefault="00634B77">
            <w:r>
              <w:t>Voor de Holding</w:t>
            </w:r>
          </w:p>
        </w:tc>
        <w:tc>
          <w:tcPr>
            <w:tcW w:w="4320" w:type="dxa"/>
          </w:tcPr>
          <w:p w14:paraId="5A964E7C" w14:textId="77777777" w:rsidR="00CB66A5" w:rsidRDefault="00634B77">
            <w:r>
              <w:t>Voor de Werkmaatschappij</w:t>
            </w:r>
          </w:p>
        </w:tc>
      </w:tr>
      <w:tr w:rsidR="00CB66A5" w14:paraId="2C8AB37C" w14:textId="77777777">
        <w:tc>
          <w:tcPr>
            <w:tcW w:w="4320" w:type="dxa"/>
          </w:tcPr>
          <w:p w14:paraId="6D7ADC9D" w14:textId="77777777" w:rsidR="00CB66A5" w:rsidRDefault="00634B77">
            <w:r>
              <w:t>[NAAM_HOLDING]</w:t>
            </w:r>
          </w:p>
        </w:tc>
        <w:tc>
          <w:tcPr>
            <w:tcW w:w="4320" w:type="dxa"/>
          </w:tcPr>
          <w:p w14:paraId="1D6E539F" w14:textId="77777777" w:rsidR="00CB66A5" w:rsidRDefault="00634B77">
            <w:r>
              <w:t>[NAAM_WERKMAATSCHAPPIJ]</w:t>
            </w:r>
          </w:p>
        </w:tc>
      </w:tr>
      <w:tr w:rsidR="00CB66A5" w14:paraId="6C2738FC" w14:textId="77777777">
        <w:tc>
          <w:tcPr>
            <w:tcW w:w="4320" w:type="dxa"/>
          </w:tcPr>
          <w:p w14:paraId="601462C7" w14:textId="77777777" w:rsidR="00CB66A5" w:rsidRDefault="00634B77">
            <w:r>
              <w:t>vertegenwoordigd door</w:t>
            </w:r>
          </w:p>
        </w:tc>
        <w:tc>
          <w:tcPr>
            <w:tcW w:w="4320" w:type="dxa"/>
          </w:tcPr>
          <w:p w14:paraId="091E581E" w14:textId="77777777" w:rsidR="00CB66A5" w:rsidRDefault="00634B77">
            <w:r>
              <w:t>vertegenwoordigd door</w:t>
            </w:r>
          </w:p>
        </w:tc>
      </w:tr>
      <w:tr w:rsidR="00CB66A5" w14:paraId="7C5006E2" w14:textId="77777777">
        <w:tc>
          <w:tcPr>
            <w:tcW w:w="4320" w:type="dxa"/>
          </w:tcPr>
          <w:p w14:paraId="37C1FD54" w14:textId="77777777" w:rsidR="00CB66A5" w:rsidRDefault="00634B77">
            <w:r>
              <w:t>[NAAM_DGA]</w:t>
            </w:r>
          </w:p>
        </w:tc>
        <w:tc>
          <w:tcPr>
            <w:tcW w:w="4320" w:type="dxa"/>
          </w:tcPr>
          <w:p w14:paraId="28205B01" w14:textId="77777777" w:rsidR="00CB66A5" w:rsidRDefault="00634B77">
            <w:r>
              <w:t>[NAAM_DGA]</w:t>
            </w:r>
          </w:p>
        </w:tc>
      </w:tr>
      <w:tr w:rsidR="00CB66A5" w14:paraId="596640FA" w14:textId="77777777">
        <w:tc>
          <w:tcPr>
            <w:tcW w:w="4320" w:type="dxa"/>
          </w:tcPr>
          <w:p w14:paraId="2524FDEB" w14:textId="77777777" w:rsidR="00CB66A5" w:rsidRDefault="00CB66A5"/>
        </w:tc>
        <w:tc>
          <w:tcPr>
            <w:tcW w:w="4320" w:type="dxa"/>
          </w:tcPr>
          <w:p w14:paraId="172DF6EB" w14:textId="77777777" w:rsidR="00CB66A5" w:rsidRDefault="00CB66A5"/>
        </w:tc>
      </w:tr>
      <w:tr w:rsidR="00CB66A5" w14:paraId="5AA44A8C" w14:textId="77777777">
        <w:tc>
          <w:tcPr>
            <w:tcW w:w="4320" w:type="dxa"/>
          </w:tcPr>
          <w:p w14:paraId="42D7AC15" w14:textId="77777777" w:rsidR="00CB66A5" w:rsidRDefault="00634B77">
            <w:r>
              <w:t>Handtekening: ________________________________</w:t>
            </w:r>
          </w:p>
        </w:tc>
        <w:tc>
          <w:tcPr>
            <w:tcW w:w="4320" w:type="dxa"/>
          </w:tcPr>
          <w:p w14:paraId="66F185BB" w14:textId="77777777" w:rsidR="00CB66A5" w:rsidRDefault="00634B77">
            <w:r>
              <w:t>Handtekening: ________________________________</w:t>
            </w:r>
          </w:p>
        </w:tc>
      </w:tr>
    </w:tbl>
    <w:p w14:paraId="6BCCC11C" w14:textId="77777777" w:rsidR="00CB66A5" w:rsidRDefault="00CB66A5">
      <w:pPr>
        <w:spacing w:before="120" w:after="0"/>
      </w:pPr>
    </w:p>
    <w:sectPr w:rsidR="00CB66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662807893">
    <w:abstractNumId w:val="8"/>
  </w:num>
  <w:num w:numId="2" w16cid:durableId="662975058">
    <w:abstractNumId w:val="6"/>
  </w:num>
  <w:num w:numId="3" w16cid:durableId="1367212831">
    <w:abstractNumId w:val="5"/>
  </w:num>
  <w:num w:numId="4" w16cid:durableId="338197150">
    <w:abstractNumId w:val="4"/>
  </w:num>
  <w:num w:numId="5" w16cid:durableId="850604337">
    <w:abstractNumId w:val="7"/>
  </w:num>
  <w:num w:numId="6" w16cid:durableId="1201433708">
    <w:abstractNumId w:val="3"/>
  </w:num>
  <w:num w:numId="7" w16cid:durableId="942032552">
    <w:abstractNumId w:val="2"/>
  </w:num>
  <w:num w:numId="8" w16cid:durableId="346978651">
    <w:abstractNumId w:val="1"/>
  </w:num>
  <w:num w:numId="9" w16cid:durableId="176823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BC8"/>
    <w:rsid w:val="0029639D"/>
    <w:rsid w:val="00326F90"/>
    <w:rsid w:val="005C7BD9"/>
    <w:rsid w:val="00634B77"/>
    <w:rsid w:val="00905811"/>
    <w:rsid w:val="00A549C1"/>
    <w:rsid w:val="00AA1D8D"/>
    <w:rsid w:val="00B47730"/>
    <w:rsid w:val="00C479EF"/>
    <w:rsid w:val="00CB0664"/>
    <w:rsid w:val="00CB6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2D603"/>
  <w14:defaultImageDpi w14:val="300"/>
  <w15:docId w15:val="{1F0E06FD-65FD-4DAA-8BAE-1FB57947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Bouwman | Join Administraties</cp:lastModifiedBy>
  <cp:revision>4</cp:revision>
  <dcterms:created xsi:type="dcterms:W3CDTF">2026-02-28T17:05:00Z</dcterms:created>
  <dcterms:modified xsi:type="dcterms:W3CDTF">2026-03-03T10:00:00Z</dcterms:modified>
  <cp:category/>
</cp:coreProperties>
</file>