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64" w:rsidRDefault="00284C45">
      <w:pPr>
        <w:pStyle w:val="Heading1"/>
        <w:jc w:val="center"/>
      </w:pPr>
      <w:r>
        <w:t>MODE MAJEUR ET ACCORDAGE</w:t>
      </w:r>
    </w:p>
    <w:p w:rsidR="00122C64" w:rsidRDefault="00284C45">
      <w:pPr>
        <w:pStyle w:val="Heading2"/>
      </w:pPr>
      <w:r>
        <w:t>MODE MAJEUR</w:t>
      </w:r>
    </w:p>
    <w:p w:rsidR="00122C64" w:rsidRDefault="00284C45">
      <w:pPr>
        <w:pStyle w:val="Standard"/>
        <w:rPr>
          <w:szCs w:val="22"/>
        </w:rPr>
      </w:pPr>
      <w:r>
        <w:rPr>
          <w:szCs w:val="22"/>
        </w:rPr>
        <w:t>Les notes utilisées en musique occidentale sont :</w:t>
      </w:r>
    </w:p>
    <w:p w:rsidR="00122C64" w:rsidRDefault="00122C64">
      <w:pPr>
        <w:pStyle w:val="Standard"/>
      </w:pPr>
    </w:p>
    <w:p w:rsidR="00122C64" w:rsidRDefault="00284C45">
      <w:pPr>
        <w:pStyle w:val="Standard"/>
        <w:jc w:val="center"/>
        <w:rPr>
          <w:b/>
          <w:bCs/>
        </w:rPr>
      </w:pP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ab/>
        <w:t>ré</w:t>
      </w:r>
      <w:r>
        <w:rPr>
          <w:b/>
          <w:bCs/>
        </w:rPr>
        <w:tab/>
        <w:t>mi</w:t>
      </w:r>
      <w:r>
        <w:rPr>
          <w:b/>
          <w:bCs/>
        </w:rPr>
        <w:tab/>
        <w:t>fa</w:t>
      </w:r>
      <w:r>
        <w:rPr>
          <w:b/>
          <w:bCs/>
        </w:rPr>
        <w:tab/>
        <w:t>sol</w:t>
      </w:r>
      <w:r>
        <w:rPr>
          <w:b/>
          <w:bCs/>
        </w:rPr>
        <w:tab/>
        <w:t>la</w:t>
      </w:r>
      <w:r>
        <w:rPr>
          <w:b/>
          <w:bCs/>
        </w:rPr>
        <w:tab/>
        <w:t>si</w:t>
      </w:r>
      <w:r>
        <w:rPr>
          <w:b/>
          <w:bCs/>
        </w:rPr>
        <w:tab/>
        <w:t>(do)</w:t>
      </w:r>
    </w:p>
    <w:p w:rsidR="00122C64" w:rsidRDefault="00284C45">
      <w:pPr>
        <w:pStyle w:val="Standard"/>
        <w:tabs>
          <w:tab w:val="left" w:pos="2010"/>
          <w:tab w:val="left" w:pos="2730"/>
          <w:tab w:val="left" w:pos="3450"/>
          <w:tab w:val="left" w:pos="4155"/>
          <w:tab w:val="left" w:pos="4920"/>
          <w:tab w:val="left" w:pos="5595"/>
          <w:tab w:val="left" w:pos="6300"/>
        </w:tabs>
      </w:pPr>
      <w:proofErr w:type="gramStart"/>
      <w:r>
        <w:rPr>
          <w:sz w:val="20"/>
          <w:szCs w:val="20"/>
        </w:rPr>
        <w:t>mode</w:t>
      </w:r>
      <w:proofErr w:type="gramEnd"/>
      <w:r>
        <w:rPr>
          <w:sz w:val="20"/>
          <w:szCs w:val="20"/>
        </w:rPr>
        <w:t xml:space="preserve"> majeur</w:t>
      </w:r>
      <w:r>
        <w:t> :</w:t>
      </w:r>
      <w:r>
        <w:tab/>
        <w:t>1</w:t>
      </w:r>
      <w:r>
        <w:tab/>
        <w:t>1</w:t>
      </w:r>
      <w:r>
        <w:tab/>
      </w:r>
      <w:r>
        <w:rPr>
          <w:b/>
          <w:bCs/>
        </w:rPr>
        <w:t>½</w:t>
      </w:r>
      <w:r>
        <w:tab/>
        <w:t>1</w:t>
      </w:r>
      <w:r>
        <w:tab/>
        <w:t>1</w:t>
      </w:r>
      <w:r>
        <w:tab/>
        <w:t>1</w:t>
      </w:r>
      <w:r>
        <w:tab/>
      </w:r>
      <w:r>
        <w:rPr>
          <w:b/>
          <w:bCs/>
        </w:rPr>
        <w:t>½</w:t>
      </w:r>
    </w:p>
    <w:p w:rsidR="00122C64" w:rsidRDefault="00122C64">
      <w:pPr>
        <w:pStyle w:val="Standard"/>
      </w:pPr>
    </w:p>
    <w:p w:rsidR="00122C64" w:rsidRDefault="00284C45">
      <w:pPr>
        <w:pStyle w:val="Standard"/>
        <w:jc w:val="both"/>
      </w:pPr>
      <w:r>
        <w:t xml:space="preserve">Les chiffres indiqués en dessous de ces </w:t>
      </w:r>
      <w:r>
        <w:t xml:space="preserve">notes bien connues sont les intervalles en </w:t>
      </w:r>
      <w:r>
        <w:rPr>
          <w:b/>
          <w:bCs/>
        </w:rPr>
        <w:t>ton</w:t>
      </w:r>
      <w:r>
        <w:t xml:space="preserve"> et </w:t>
      </w:r>
      <w:r>
        <w:rPr>
          <w:b/>
          <w:bCs/>
        </w:rPr>
        <w:t>demi-ton</w:t>
      </w:r>
      <w:r>
        <w:t xml:space="preserve"> entre ces notes. L'ordre dans lequel ces intervalles sont placés définit le </w:t>
      </w:r>
      <w:r>
        <w:rPr>
          <w:b/>
          <w:bCs/>
        </w:rPr>
        <w:t>mode majeur</w:t>
      </w:r>
      <w:r>
        <w:t xml:space="preserve">, mode que l'on connaît parfaitement à l'oreille, pilier de notre culture musicale depuis la fin du </w:t>
      </w:r>
      <w:r w:rsidR="0018532F">
        <w:t>Moyen-âge</w:t>
      </w:r>
      <w:r>
        <w:t>.</w:t>
      </w:r>
    </w:p>
    <w:p w:rsidR="00122C64" w:rsidRDefault="00122C64">
      <w:pPr>
        <w:pStyle w:val="Standard"/>
        <w:jc w:val="both"/>
      </w:pPr>
    </w:p>
    <w:p w:rsidR="00122C64" w:rsidRDefault="00284C45">
      <w:pPr>
        <w:pStyle w:val="Standard"/>
        <w:jc w:val="both"/>
      </w:pPr>
      <w:r>
        <w:rPr>
          <w:b/>
          <w:bCs/>
        </w:rPr>
        <w:t>Sur la basse, une case équivaut à ½ ton</w:t>
      </w:r>
      <w:r>
        <w:t>. Ceci va nous permettre de trouver sur le manche les notes que l'on a besoin de jouer. Il nous faut une information supplémentaire malgré tout : les notes que produisent les cordes à vide de la basse dans son accor</w:t>
      </w:r>
      <w:r>
        <w:t xml:space="preserve">dage standard. Du plus grave au plus aigu, de la corde la plus grosse (en bas sur les diagrammes) à la corde la plus fine (en haut), l'accordage standard est </w:t>
      </w:r>
      <w:r>
        <w:rPr>
          <w:b/>
          <w:bCs/>
        </w:rPr>
        <w:t xml:space="preserve">mi, la, ré </w:t>
      </w:r>
      <w:r>
        <w:t>et</w:t>
      </w:r>
      <w:r>
        <w:rPr>
          <w:b/>
          <w:bCs/>
        </w:rPr>
        <w:t xml:space="preserve"> sol</w:t>
      </w:r>
      <w:r>
        <w:t>.</w:t>
      </w:r>
    </w:p>
    <w:p w:rsidR="00122C64" w:rsidRDefault="00122C64">
      <w:pPr>
        <w:pStyle w:val="Standard"/>
        <w:jc w:val="both"/>
      </w:pPr>
    </w:p>
    <w:p w:rsidR="00122C64" w:rsidRDefault="00122C64">
      <w:pPr>
        <w:pStyle w:val="Standard"/>
        <w:jc w:val="both"/>
      </w:pPr>
      <w:r w:rsidRPr="00122C64">
        <w:pict>
          <v:line id="_x0000_s1027" style="position:absolute;left:0;text-align:left;z-index:251659264;visibility:visible;v-text-anchor:middle-center" from="3.1pt,12.8pt" to="3.1pt,67.45pt" strokeweight="1pt">
            <v:textbox style="mso-rotate-with-shape:t" inset="0,0,0,0">
              <w:txbxContent>
                <w:p w:rsidR="00122C64" w:rsidRDefault="00122C64"/>
              </w:txbxContent>
            </v:textbox>
          </v:line>
        </w:pic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 w:rsidR="00122C64" w:rsidTr="00122C64">
        <w:tblPrEx>
          <w:tblCellMar>
            <w:top w:w="0" w:type="dxa"/>
            <w:bottom w:w="0" w:type="dxa"/>
          </w:tblCellMar>
        </w:tblPrEx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</w:tr>
      <w:tr w:rsidR="00122C64" w:rsidTr="00122C64">
        <w:tblPrEx>
          <w:tblCellMar>
            <w:top w:w="0" w:type="dxa"/>
            <w:bottom w:w="0" w:type="dxa"/>
          </w:tblCellMar>
        </w:tblPrEx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</w:tr>
      <w:tr w:rsidR="00122C64" w:rsidTr="00122C64">
        <w:tblPrEx>
          <w:tblCellMar>
            <w:top w:w="0" w:type="dxa"/>
            <w:bottom w:w="0" w:type="dxa"/>
          </w:tblCellMar>
        </w:tblPrEx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C64" w:rsidRDefault="00122C64">
            <w:pPr>
              <w:pStyle w:val="TableContents"/>
              <w:jc w:val="both"/>
            </w:pPr>
          </w:p>
        </w:tc>
      </w:tr>
    </w:tbl>
    <w:p w:rsidR="00122C64" w:rsidRDefault="00122C64">
      <w:pPr>
        <w:pStyle w:val="Standard"/>
        <w:jc w:val="both"/>
      </w:pPr>
    </w:p>
    <w:p w:rsidR="00122C64" w:rsidRDefault="00284C45">
      <w:pPr>
        <w:pStyle w:val="Standard"/>
        <w:tabs>
          <w:tab w:val="center" w:pos="3030"/>
          <w:tab w:val="center" w:pos="5505"/>
          <w:tab w:val="center" w:pos="7995"/>
        </w:tabs>
        <w:jc w:val="both"/>
      </w:pPr>
      <w:r>
        <w:tab/>
        <w:t>III</w:t>
      </w:r>
      <w:r>
        <w:tab/>
        <w:t>V</w:t>
      </w:r>
      <w:r>
        <w:tab/>
        <w:t>VII</w:t>
      </w:r>
    </w:p>
    <w:p w:rsidR="00122C64" w:rsidRDefault="00122C64">
      <w:pPr>
        <w:pStyle w:val="Standard"/>
        <w:jc w:val="both"/>
      </w:pPr>
    </w:p>
    <w:p w:rsidR="00122C64" w:rsidRDefault="00284C45">
      <w:pPr>
        <w:pStyle w:val="Standard"/>
        <w:jc w:val="both"/>
      </w:pPr>
      <w:r>
        <w:t xml:space="preserve">On constate que les notes </w:t>
      </w:r>
      <w:proofErr w:type="gramStart"/>
      <w:r>
        <w:t>des 5</w:t>
      </w:r>
      <w:r>
        <w:rPr>
          <w:vertAlign w:val="superscript"/>
        </w:rPr>
        <w:t>e</w:t>
      </w:r>
      <w:r>
        <w:t xml:space="preserve"> cases</w:t>
      </w:r>
      <w:proofErr w:type="gramEnd"/>
      <w:r>
        <w:t xml:space="preserve"> (V) sont équivalentes à celles produites par la corde à vide du dessous. C'est une des manières d'accorder son instrument.</w:t>
      </w:r>
    </w:p>
    <w:p w:rsidR="00122C64" w:rsidRDefault="00122C64">
      <w:pPr>
        <w:pStyle w:val="Standard"/>
        <w:jc w:val="both"/>
      </w:pPr>
    </w:p>
    <w:p w:rsidR="00122C64" w:rsidRDefault="00284C45">
      <w:pPr>
        <w:pStyle w:val="Standard"/>
        <w:jc w:val="both"/>
      </w:pPr>
      <w:r>
        <w:t>Correspondance entre la notation latine et la notation anglo-saxonne d'origine :</w:t>
      </w:r>
    </w:p>
    <w:p w:rsidR="00122C64" w:rsidRDefault="00284C45">
      <w:pPr>
        <w:pStyle w:val="Standard"/>
        <w:jc w:val="both"/>
      </w:pPr>
      <w:proofErr w:type="gramStart"/>
      <w:r>
        <w:t>la</w:t>
      </w:r>
      <w:proofErr w:type="gramEnd"/>
      <w:r>
        <w:tab/>
        <w:t>= A</w:t>
      </w:r>
    </w:p>
    <w:p w:rsidR="00122C64" w:rsidRDefault="00284C45">
      <w:pPr>
        <w:pStyle w:val="Standard"/>
        <w:jc w:val="both"/>
      </w:pPr>
      <w:proofErr w:type="gramStart"/>
      <w:r>
        <w:t>si</w:t>
      </w:r>
      <w:proofErr w:type="gramEnd"/>
      <w:r>
        <w:tab/>
        <w:t>= B</w:t>
      </w:r>
    </w:p>
    <w:p w:rsidR="00122C64" w:rsidRDefault="00284C45">
      <w:pPr>
        <w:pStyle w:val="Standard"/>
        <w:jc w:val="both"/>
      </w:pPr>
      <w:proofErr w:type="gramStart"/>
      <w:r>
        <w:t>do</w:t>
      </w:r>
      <w:proofErr w:type="gramEnd"/>
      <w:r>
        <w:tab/>
        <w:t>= C</w:t>
      </w:r>
    </w:p>
    <w:p w:rsidR="00122C64" w:rsidRDefault="00284C45">
      <w:pPr>
        <w:pStyle w:val="Standard"/>
        <w:jc w:val="both"/>
      </w:pPr>
      <w:proofErr w:type="gramStart"/>
      <w:r>
        <w:t>ré</w:t>
      </w:r>
      <w:proofErr w:type="gramEnd"/>
      <w:r>
        <w:tab/>
        <w:t>= D</w:t>
      </w:r>
    </w:p>
    <w:p w:rsidR="00122C64" w:rsidRDefault="00284C45">
      <w:pPr>
        <w:pStyle w:val="Standard"/>
        <w:jc w:val="both"/>
      </w:pPr>
      <w:proofErr w:type="gramStart"/>
      <w:r>
        <w:t>mi</w:t>
      </w:r>
      <w:proofErr w:type="gramEnd"/>
      <w:r>
        <w:tab/>
        <w:t>= E</w:t>
      </w:r>
    </w:p>
    <w:p w:rsidR="00122C64" w:rsidRDefault="00284C45">
      <w:pPr>
        <w:pStyle w:val="Standard"/>
        <w:jc w:val="both"/>
      </w:pPr>
      <w:proofErr w:type="gramStart"/>
      <w:r>
        <w:t>fa</w:t>
      </w:r>
      <w:proofErr w:type="gramEnd"/>
      <w:r>
        <w:tab/>
        <w:t>= F</w:t>
      </w:r>
    </w:p>
    <w:p w:rsidR="00122C64" w:rsidRDefault="00284C45">
      <w:pPr>
        <w:pStyle w:val="Standard"/>
        <w:jc w:val="both"/>
      </w:pPr>
      <w:proofErr w:type="gramStart"/>
      <w:r>
        <w:t>sol</w:t>
      </w:r>
      <w:proofErr w:type="gramEnd"/>
      <w:r>
        <w:tab/>
        <w:t>= G</w:t>
      </w:r>
    </w:p>
    <w:p w:rsidR="00122C64" w:rsidRDefault="00284C45">
      <w:pPr>
        <w:pStyle w:val="Heading2"/>
        <w:pageBreakBefore/>
      </w:pPr>
      <w:r>
        <w:lastRenderedPageBreak/>
        <w:t>ACCORDAGE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t xml:space="preserve">on prend un </w:t>
      </w:r>
      <w:r>
        <w:rPr>
          <w:b/>
          <w:bCs/>
        </w:rPr>
        <w:t>la</w:t>
      </w:r>
      <w:r>
        <w:t xml:space="preserve"> (téléphone, diapason, accordeur, etc.),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on accorde la corde de LA à vide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t xml:space="preserve">on joue la case V de la corde de LA, produisant ainsi un </w:t>
      </w:r>
      <w:r>
        <w:rPr>
          <w:b/>
          <w:bCs/>
        </w:rPr>
        <w:t>ré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RE à vide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t xml:space="preserve">on joue la case V de la corde de RE, produisant ainsi </w:t>
      </w:r>
      <w:r>
        <w:t xml:space="preserve">un </w:t>
      </w:r>
      <w:r>
        <w:rPr>
          <w:b/>
          <w:bCs/>
        </w:rPr>
        <w:t>sol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on accorde la corde de SOL à vide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t xml:space="preserve">on joue la case V de la corde de MI, produisant ainsi un </w:t>
      </w:r>
      <w:r>
        <w:rPr>
          <w:b/>
          <w:bCs/>
        </w:rPr>
        <w:t>la</w:t>
      </w:r>
      <w:r>
        <w:t>,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on accorde la corde de MI à vide</w:t>
      </w:r>
      <w:r>
        <w:t xml:space="preserve"> : </w:t>
      </w:r>
      <w:r>
        <w:t xml:space="preserve">ce </w:t>
      </w:r>
      <w:r>
        <w:rPr>
          <w:b/>
          <w:bCs/>
        </w:rPr>
        <w:t>la</w:t>
      </w:r>
      <w:r>
        <w:t xml:space="preserve"> doit être identique à la corde de LA à vide (c'est notre point de repère) ; si ce n'est pas pareil, c'est la mé</w:t>
      </w:r>
      <w:r>
        <w:t>canique de la corde de MI qu'il faut tourner, pas celle de la corde de LA, attention !</w:t>
      </w:r>
    </w:p>
    <w:p w:rsidR="00122C64" w:rsidRDefault="00284C45">
      <w:pPr>
        <w:pStyle w:val="Standard"/>
        <w:numPr>
          <w:ilvl w:val="0"/>
          <w:numId w:val="1"/>
        </w:numPr>
        <w:jc w:val="both"/>
      </w:pPr>
      <w:r>
        <w:t>on vérifie à l'accordeur électronique.</w:t>
      </w:r>
    </w:p>
    <w:p w:rsidR="00122C64" w:rsidRDefault="00122C64">
      <w:pPr>
        <w:pStyle w:val="Standard"/>
        <w:jc w:val="both"/>
      </w:pPr>
    </w:p>
    <w:sectPr w:rsidR="00122C64" w:rsidSect="00122C6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C45" w:rsidRDefault="00284C45" w:rsidP="00122C64">
      <w:r>
        <w:separator/>
      </w:r>
    </w:p>
  </w:endnote>
  <w:endnote w:type="continuationSeparator" w:id="0">
    <w:p w:rsidR="00284C45" w:rsidRDefault="00284C45" w:rsidP="00122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64" w:rsidRDefault="00122C64">
    <w:pPr>
      <w:pStyle w:val="Footer"/>
      <w:jc w:val="right"/>
    </w:pPr>
    <w:fldSimple w:instr=" PAGE ">
      <w:r w:rsidR="0018532F">
        <w:rPr>
          <w:noProof/>
        </w:rPr>
        <w:t>1</w:t>
      </w:r>
    </w:fldSimple>
    <w:r>
      <w:t>/</w:t>
    </w:r>
    <w:fldSimple w:instr=" NUMPAGES ">
      <w:r w:rsidR="0018532F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C45" w:rsidRDefault="00284C45" w:rsidP="00122C64">
      <w:r w:rsidRPr="00122C64">
        <w:rPr>
          <w:color w:val="000000"/>
        </w:rPr>
        <w:separator/>
      </w:r>
    </w:p>
  </w:footnote>
  <w:footnote w:type="continuationSeparator" w:id="0">
    <w:p w:rsidR="00284C45" w:rsidRDefault="00284C45" w:rsidP="00122C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C64" w:rsidRDefault="00122C64">
    <w:pPr>
      <w:pStyle w:val="Header"/>
      <w:rPr>
        <w:szCs w:val="22"/>
      </w:rPr>
    </w:pPr>
    <w:r>
      <w:rPr>
        <w:b/>
        <w:bCs/>
        <w:szCs w:val="22"/>
      </w:rPr>
      <w:t>MELODIE</w:t>
    </w:r>
    <w:r>
      <w:rPr>
        <w:szCs w:val="22"/>
      </w:rPr>
      <w:t xml:space="preserve"> – basse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060"/>
    <w:multiLevelType w:val="multilevel"/>
    <w:tmpl w:val="02AE34E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C64"/>
    <w:rsid w:val="00122C64"/>
    <w:rsid w:val="0018532F"/>
    <w:rsid w:val="00284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122C64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122C64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122C64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122C64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122C64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122C64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2C64"/>
    <w:rPr>
      <w:sz w:val="22"/>
    </w:rPr>
  </w:style>
  <w:style w:type="paragraph" w:customStyle="1" w:styleId="Textbody">
    <w:name w:val="Text body"/>
    <w:basedOn w:val="Standard"/>
    <w:rsid w:val="00122C64"/>
    <w:pPr>
      <w:spacing w:after="120"/>
    </w:pPr>
  </w:style>
  <w:style w:type="paragraph" w:customStyle="1" w:styleId="Heading">
    <w:name w:val="Heading"/>
    <w:basedOn w:val="Standard"/>
    <w:next w:val="Textbody"/>
    <w:rsid w:val="00122C64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122C64"/>
    <w:rPr>
      <w:rFonts w:cs="Tahoma"/>
    </w:rPr>
  </w:style>
  <w:style w:type="paragraph" w:styleId="Header">
    <w:name w:val="header"/>
    <w:basedOn w:val="Standard"/>
    <w:rsid w:val="00122C64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122C64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122C64"/>
    <w:pPr>
      <w:suppressLineNumbers/>
    </w:pPr>
  </w:style>
  <w:style w:type="paragraph" w:styleId="Caption">
    <w:name w:val="caption"/>
    <w:basedOn w:val="Standard"/>
    <w:rsid w:val="00122C64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122C64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122C64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122C64"/>
    <w:rPr>
      <w:b w:val="0"/>
      <w:bCs w:val="0"/>
      <w:sz w:val="22"/>
      <w:szCs w:val="22"/>
    </w:rPr>
  </w:style>
  <w:style w:type="character" w:customStyle="1" w:styleId="BulletSymbols">
    <w:name w:val="Bullet Symbols"/>
    <w:rsid w:val="00122C64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2</cp:revision>
  <cp:lastPrinted>2011-01-11T07:23:00Z</cp:lastPrinted>
  <dcterms:created xsi:type="dcterms:W3CDTF">2011-01-11T07:24:00Z</dcterms:created>
  <dcterms:modified xsi:type="dcterms:W3CDTF">2011-01-11T07:24:00Z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