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D4" w:rsidRDefault="00ED7FBD" w:rsidP="00100592">
      <w:pPr>
        <w:pStyle w:val="Standard"/>
        <w:jc w:val="both"/>
        <w:rPr>
          <w:rFonts w:ascii="Arial" w:hAnsi="Arial"/>
          <w:b/>
          <w:bCs/>
          <w:sz w:val="36"/>
          <w:szCs w:val="36"/>
          <w:u w:val="single"/>
        </w:rPr>
      </w:pPr>
      <w:r>
        <w:rPr>
          <w:rFonts w:ascii="Arial" w:hAnsi="Arial"/>
          <w:b/>
          <w:bCs/>
          <w:sz w:val="36"/>
          <w:szCs w:val="36"/>
          <w:u w:val="single"/>
        </w:rPr>
        <w:t>Harmonisation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E44A02" w:rsidRDefault="00E44A02" w:rsidP="00100592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  <w:r w:rsidRPr="00E44A02">
        <w:rPr>
          <w:rFonts w:ascii="Arial" w:hAnsi="Arial"/>
          <w:sz w:val="28"/>
          <w:szCs w:val="28"/>
          <w:u w:val="single"/>
        </w:rPr>
        <w:t>Mode</w:t>
      </w:r>
      <w:r w:rsidR="00ED7FBD" w:rsidRPr="00E44A02">
        <w:rPr>
          <w:rFonts w:ascii="Arial" w:hAnsi="Arial"/>
          <w:sz w:val="28"/>
          <w:szCs w:val="28"/>
          <w:u w:val="single"/>
        </w:rPr>
        <w:t xml:space="preserve"> majeur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Rappelons les intervalles, en partant de la tonique (première note du mode, note qui définit la tonalité), </w:t>
      </w:r>
      <w:r w:rsidR="00E44A02">
        <w:rPr>
          <w:rFonts w:ascii="Arial" w:hAnsi="Arial"/>
        </w:rPr>
        <w:t>caractérisant</w:t>
      </w:r>
      <w:r>
        <w:rPr>
          <w:rFonts w:ascii="Arial" w:hAnsi="Arial"/>
        </w:rPr>
        <w:t xml:space="preserve"> les notes du </w:t>
      </w:r>
      <w:r>
        <w:rPr>
          <w:rFonts w:ascii="Arial" w:hAnsi="Arial"/>
          <w:i/>
          <w:iCs/>
        </w:rPr>
        <w:t>mode Majeur </w:t>
      </w:r>
      <w:r>
        <w:rPr>
          <w:rFonts w:ascii="Arial" w:hAnsi="Arial"/>
        </w:rPr>
        <w:t>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F37336">
      <w:pPr>
        <w:pStyle w:val="Standard"/>
        <w:pBdr>
          <w:top w:val="single" w:sz="2" w:space="5" w:color="000000" w:shadow="1"/>
          <w:left w:val="single" w:sz="2" w:space="0" w:color="000000" w:shadow="1"/>
          <w:bottom w:val="single" w:sz="2" w:space="5" w:color="000000" w:shadow="1"/>
          <w:right w:val="single" w:sz="2" w:space="0" w:color="000000" w:shadow="1"/>
        </w:pBdr>
        <w:ind w:left="850" w:right="850" w:firstLine="1274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ab/>
        <w:t>1</w:t>
      </w:r>
      <w:r>
        <w:rPr>
          <w:rFonts w:ascii="Arial" w:hAnsi="Arial"/>
        </w:rPr>
        <w:tab/>
      </w:r>
      <w:r>
        <w:rPr>
          <w:rFonts w:ascii="Arial" w:hAnsi="Arial"/>
          <w:b/>
          <w:bCs/>
          <w:color w:val="FF0000"/>
        </w:rPr>
        <w:t>½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ab/>
        <w:t>1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>1</w:t>
      </w:r>
      <w:r>
        <w:rPr>
          <w:rFonts w:ascii="Arial" w:hAnsi="Arial"/>
        </w:rPr>
        <w:tab/>
      </w:r>
      <w:r>
        <w:rPr>
          <w:rFonts w:ascii="Arial" w:hAnsi="Arial"/>
          <w:b/>
          <w:bCs/>
          <w:color w:val="FF0000"/>
        </w:rPr>
        <w:t>½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E44A02" w:rsidRDefault="00E44A02" w:rsidP="00100592">
      <w:pPr>
        <w:pStyle w:val="Standard"/>
        <w:jc w:val="both"/>
        <w:rPr>
          <w:rFonts w:ascii="Arial" w:hAnsi="Arial"/>
          <w:sz w:val="28"/>
          <w:szCs w:val="28"/>
          <w:u w:val="single"/>
        </w:rPr>
      </w:pPr>
      <w:r w:rsidRPr="00E44A02">
        <w:rPr>
          <w:rFonts w:ascii="Arial" w:hAnsi="Arial"/>
          <w:sz w:val="28"/>
          <w:szCs w:val="28"/>
          <w:u w:val="single"/>
        </w:rPr>
        <w:t>Accords</w:t>
      </w:r>
      <w:r w:rsidR="00ED7FBD" w:rsidRPr="00E44A02">
        <w:rPr>
          <w:rFonts w:ascii="Arial" w:hAnsi="Arial"/>
          <w:sz w:val="28"/>
          <w:szCs w:val="28"/>
          <w:u w:val="single"/>
        </w:rPr>
        <w:t xml:space="preserve"> à 3 sons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Il s'agit de faire l'inventaire des accords à 3 sons que l'on peut construire à l'aide des notes d'un mode majeur. Pour exemple, nous choisirons la tonalité de DO qui en mode majeur ne contient aucune note altérée (dièse ou bémol), c</w:t>
      </w:r>
      <w:r>
        <w:rPr>
          <w:rFonts w:ascii="Arial" w:hAnsi="Arial"/>
        </w:rPr>
        <w:t>e qui rend la lecture plus simple.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Notes du mode de DO Majeur 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F37336">
      <w:pPr>
        <w:pStyle w:val="Standard"/>
        <w:pBdr>
          <w:top w:val="single" w:sz="2" w:space="0" w:color="000000" w:shadow="1"/>
          <w:left w:val="single" w:sz="2" w:space="0" w:color="000000" w:shadow="1"/>
          <w:bottom w:val="single" w:sz="2" w:space="0" w:color="000000" w:shadow="1"/>
          <w:right w:val="single" w:sz="2" w:space="0" w:color="000000" w:shadow="1"/>
        </w:pBdr>
        <w:ind w:firstLine="1416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do</w:t>
      </w:r>
      <w:r>
        <w:rPr>
          <w:rFonts w:ascii="Arial" w:hAnsi="Arial"/>
        </w:rPr>
        <w:tab/>
        <w:t>ré</w:t>
      </w:r>
      <w:r>
        <w:rPr>
          <w:rFonts w:ascii="Arial" w:hAnsi="Arial"/>
        </w:rPr>
        <w:tab/>
        <w:t>mi</w:t>
      </w:r>
      <w:r>
        <w:rPr>
          <w:rFonts w:ascii="Arial" w:hAnsi="Arial"/>
        </w:rPr>
        <w:tab/>
        <w:t>fa</w:t>
      </w:r>
      <w:r>
        <w:rPr>
          <w:rFonts w:ascii="Arial" w:hAnsi="Arial"/>
        </w:rPr>
        <w:tab/>
        <w:t>sol</w:t>
      </w:r>
      <w:r>
        <w:rPr>
          <w:rFonts w:ascii="Arial" w:hAnsi="Arial"/>
        </w:rPr>
        <w:tab/>
        <w:t>la</w:t>
      </w:r>
      <w:r>
        <w:rPr>
          <w:rFonts w:ascii="Arial" w:hAnsi="Arial"/>
        </w:rPr>
        <w:tab/>
        <w:t>si</w:t>
      </w:r>
      <w:r>
        <w:rPr>
          <w:rFonts w:ascii="Arial" w:hAnsi="Arial"/>
        </w:rPr>
        <w:tab/>
        <w:t>(</w:t>
      </w:r>
      <w:r>
        <w:rPr>
          <w:rFonts w:ascii="Arial" w:hAnsi="Arial"/>
          <w:b/>
          <w:bCs/>
        </w:rPr>
        <w:t>do</w:t>
      </w:r>
      <w:r>
        <w:rPr>
          <w:rFonts w:ascii="Arial" w:hAnsi="Arial"/>
        </w:rPr>
        <w:t>)</w:t>
      </w:r>
    </w:p>
    <w:p w:rsidR="008F21D4" w:rsidRDefault="008F21D4" w:rsidP="00100592">
      <w:pPr>
        <w:pStyle w:val="Standard"/>
        <w:pBdr>
          <w:top w:val="single" w:sz="2" w:space="0" w:color="000000" w:shadow="1"/>
          <w:left w:val="single" w:sz="2" w:space="0" w:color="000000" w:shadow="1"/>
          <w:bottom w:val="single" w:sz="2" w:space="0" w:color="000000" w:shadow="1"/>
          <w:right w:val="single" w:sz="2" w:space="0" w:color="000000" w:shadow="1"/>
        </w:pBdr>
        <w:jc w:val="both"/>
        <w:rPr>
          <w:rFonts w:ascii="Arial" w:hAnsi="Arial"/>
        </w:rPr>
      </w:pPr>
    </w:p>
    <w:p w:rsidR="008F21D4" w:rsidRDefault="00ED7FBD" w:rsidP="00F37336">
      <w:pPr>
        <w:pStyle w:val="Standard"/>
        <w:pBdr>
          <w:top w:val="single" w:sz="2" w:space="0" w:color="000000" w:shadow="1"/>
          <w:left w:val="single" w:sz="2" w:space="0" w:color="000000" w:shadow="1"/>
          <w:bottom w:val="single" w:sz="2" w:space="0" w:color="000000" w:shadow="1"/>
          <w:right w:val="single" w:sz="2" w:space="0" w:color="000000" w:shadow="1"/>
        </w:pBdr>
        <w:tabs>
          <w:tab w:val="left" w:pos="2552"/>
          <w:tab w:val="left" w:pos="3261"/>
          <w:tab w:val="left" w:pos="3969"/>
          <w:tab w:val="left" w:pos="4820"/>
          <w:tab w:val="left" w:pos="5387"/>
          <w:tab w:val="left" w:pos="6096"/>
        </w:tabs>
        <w:ind w:firstLine="1843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>1</w:t>
      </w:r>
      <w:r>
        <w:rPr>
          <w:rFonts w:ascii="Arial" w:hAnsi="Arial"/>
        </w:rPr>
        <w:tab/>
      </w:r>
      <w:r>
        <w:rPr>
          <w:rFonts w:ascii="Arial" w:hAnsi="Arial"/>
          <w:b/>
          <w:bCs/>
          <w:color w:val="FF0000"/>
        </w:rPr>
        <w:t>½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1</w:t>
      </w:r>
      <w:r>
        <w:rPr>
          <w:rFonts w:ascii="Arial" w:hAnsi="Arial"/>
          <w:b/>
          <w:bCs/>
        </w:rPr>
        <w:tab/>
        <w:t>1</w:t>
      </w:r>
      <w:r>
        <w:rPr>
          <w:rFonts w:ascii="Arial" w:hAnsi="Arial"/>
          <w:b/>
          <w:bCs/>
        </w:rPr>
        <w:tab/>
        <w:t>1</w:t>
      </w:r>
      <w:r>
        <w:rPr>
          <w:rFonts w:ascii="Arial" w:hAnsi="Arial"/>
        </w:rPr>
        <w:tab/>
      </w:r>
      <w:r>
        <w:rPr>
          <w:rFonts w:ascii="Arial" w:hAnsi="Arial"/>
          <w:b/>
          <w:bCs/>
          <w:color w:val="FF0000"/>
        </w:rPr>
        <w:t>½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Chaque note de ce mode peut être la fondamentale d'un accord à 3 sons.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Cours-Encadr"/>
      </w:pPr>
      <w:r>
        <w:t xml:space="preserve">Rappelons que les accords sont construits en empilant les notes par tierce </w:t>
      </w:r>
      <w:r>
        <w:t xml:space="preserve">à partir d'une première note appelée </w:t>
      </w:r>
      <w:r>
        <w:rPr>
          <w:i/>
          <w:iCs/>
        </w:rPr>
        <w:t>fondamentale</w:t>
      </w:r>
      <w:r>
        <w:t>.</w:t>
      </w:r>
    </w:p>
    <w:p w:rsidR="008F21D4" w:rsidRDefault="008F21D4" w:rsidP="00100592">
      <w:pPr>
        <w:pStyle w:val="Cours-Encadr"/>
      </w:pPr>
    </w:p>
    <w:p w:rsidR="008F21D4" w:rsidRDefault="00ED7FBD" w:rsidP="00100592">
      <w:pPr>
        <w:pStyle w:val="Cours-Encadr"/>
      </w:pPr>
      <w:r>
        <w:t xml:space="preserve">Cette </w:t>
      </w:r>
      <w:r>
        <w:rPr>
          <w:i/>
          <w:iCs/>
        </w:rPr>
        <w:t>fondamentale</w:t>
      </w:r>
      <w:r>
        <w:t xml:space="preserve"> donne son nom à l'accord.</w:t>
      </w:r>
    </w:p>
    <w:p w:rsidR="008F21D4" w:rsidRDefault="00ED7FBD" w:rsidP="00100592">
      <w:pPr>
        <w:pStyle w:val="Cours-Encadr"/>
      </w:pPr>
      <w:r>
        <w:t xml:space="preserve">La nature de la </w:t>
      </w:r>
      <w:r>
        <w:rPr>
          <w:i/>
          <w:iCs/>
        </w:rPr>
        <w:t>tierce</w:t>
      </w:r>
      <w:r>
        <w:t xml:space="preserve"> (mineure ou majeure) donne le caractère mineur ou majeur de l'accord.</w:t>
      </w:r>
    </w:p>
    <w:p w:rsidR="008F21D4" w:rsidRDefault="00ED7FBD" w:rsidP="00100592">
      <w:pPr>
        <w:pStyle w:val="Cours-Encadr"/>
      </w:pPr>
      <w:r>
        <w:t xml:space="preserve">La </w:t>
      </w:r>
      <w:r>
        <w:rPr>
          <w:i/>
          <w:iCs/>
        </w:rPr>
        <w:t>quinte</w:t>
      </w:r>
      <w:r>
        <w:t xml:space="preserve"> renforce la fondamentale (si elle est juste) ou rend l'a</w:t>
      </w:r>
      <w:r>
        <w:t>ccord moins stable, moins défini (dans le cas contraire).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Ce qui donne pour les accords de DO Majeur 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quinte</w:t>
      </w:r>
      <w:r>
        <w:rPr>
          <w:rFonts w:ascii="Arial" w:hAnsi="Arial"/>
        </w:rPr>
        <w:tab/>
      </w:r>
      <w:r w:rsidR="00E44A02">
        <w:rPr>
          <w:rFonts w:ascii="Arial" w:hAnsi="Arial"/>
        </w:rPr>
        <w:tab/>
      </w:r>
      <w:r>
        <w:rPr>
          <w:rFonts w:ascii="Arial" w:hAnsi="Arial"/>
          <w:b/>
          <w:bCs/>
        </w:rPr>
        <w:t>sol</w:t>
      </w:r>
      <w:r>
        <w:rPr>
          <w:rFonts w:ascii="Arial" w:hAnsi="Arial"/>
          <w:b/>
          <w:bCs/>
        </w:rPr>
        <w:tab/>
        <w:t>la</w:t>
      </w:r>
      <w:r>
        <w:rPr>
          <w:rFonts w:ascii="Arial" w:hAnsi="Arial"/>
          <w:b/>
          <w:bCs/>
        </w:rPr>
        <w:tab/>
        <w:t>si</w:t>
      </w:r>
      <w:r>
        <w:rPr>
          <w:rFonts w:ascii="Arial" w:hAnsi="Arial"/>
          <w:b/>
          <w:bCs/>
        </w:rPr>
        <w:tab/>
        <w:t>do</w:t>
      </w:r>
      <w:r>
        <w:rPr>
          <w:rFonts w:ascii="Arial" w:hAnsi="Arial"/>
          <w:b/>
          <w:bCs/>
        </w:rPr>
        <w:tab/>
        <w:t>ré</w:t>
      </w:r>
      <w:r>
        <w:rPr>
          <w:rFonts w:ascii="Arial" w:hAnsi="Arial"/>
          <w:b/>
          <w:bCs/>
        </w:rPr>
        <w:tab/>
        <w:t>mi</w:t>
      </w:r>
      <w:r>
        <w:rPr>
          <w:rFonts w:ascii="Arial" w:hAnsi="Arial"/>
        </w:rPr>
        <w:tab/>
      </w:r>
      <w:r>
        <w:rPr>
          <w:rFonts w:ascii="Arial" w:hAnsi="Arial"/>
          <w:i/>
          <w:iCs/>
        </w:rPr>
        <w:t>fa</w:t>
      </w: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tierce</w:t>
      </w:r>
      <w:r>
        <w:rPr>
          <w:rFonts w:ascii="Arial" w:hAnsi="Arial"/>
        </w:rPr>
        <w:tab/>
      </w:r>
      <w:r w:rsidR="00E44A02">
        <w:rPr>
          <w:rFonts w:ascii="Arial" w:hAnsi="Arial"/>
        </w:rPr>
        <w:tab/>
      </w:r>
      <w:r>
        <w:rPr>
          <w:rFonts w:ascii="Arial" w:hAnsi="Arial"/>
          <w:b/>
          <w:bCs/>
          <w:color w:val="auto"/>
        </w:rPr>
        <w:t>mi</w:t>
      </w:r>
      <w:r>
        <w:rPr>
          <w:rFonts w:ascii="Arial" w:hAnsi="Arial"/>
        </w:rPr>
        <w:tab/>
        <w:t>fa</w:t>
      </w:r>
      <w:r>
        <w:rPr>
          <w:rFonts w:ascii="Arial" w:hAnsi="Arial"/>
        </w:rPr>
        <w:tab/>
        <w:t>sol</w:t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la</w:t>
      </w:r>
      <w:r>
        <w:rPr>
          <w:rFonts w:ascii="Arial" w:hAnsi="Arial"/>
          <w:b/>
          <w:bCs/>
        </w:rPr>
        <w:tab/>
        <w:t>si</w:t>
      </w:r>
      <w:r>
        <w:rPr>
          <w:rFonts w:ascii="Arial" w:hAnsi="Arial"/>
        </w:rPr>
        <w:tab/>
        <w:t>do</w:t>
      </w:r>
      <w:r>
        <w:rPr>
          <w:rFonts w:ascii="Arial" w:hAnsi="Arial"/>
        </w:rPr>
        <w:tab/>
        <w:t>ré</w:t>
      </w: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  <w:i/>
          <w:iCs/>
        </w:rPr>
        <w:t>fondam</w:t>
      </w:r>
      <w:r>
        <w:rPr>
          <w:rFonts w:ascii="Arial" w:hAnsi="Arial"/>
        </w:rPr>
        <w:t>.</w:t>
      </w:r>
      <w:r>
        <w:rPr>
          <w:rFonts w:ascii="Arial" w:hAnsi="Arial"/>
        </w:rPr>
        <w:tab/>
      </w:r>
      <w:r>
        <w:rPr>
          <w:rFonts w:ascii="Arial" w:hAnsi="Arial"/>
          <w:b/>
          <w:bCs/>
          <w:color w:val="FF0000"/>
        </w:rPr>
        <w:t>do</w:t>
      </w:r>
      <w:r>
        <w:rPr>
          <w:rFonts w:ascii="Arial" w:hAnsi="Arial"/>
          <w:b/>
          <w:bCs/>
        </w:rPr>
        <w:tab/>
        <w:t>ré</w:t>
      </w:r>
      <w:r>
        <w:rPr>
          <w:rFonts w:ascii="Arial" w:hAnsi="Arial"/>
          <w:b/>
          <w:bCs/>
        </w:rPr>
        <w:tab/>
        <w:t>mi</w:t>
      </w:r>
      <w:r>
        <w:rPr>
          <w:rFonts w:ascii="Arial" w:hAnsi="Arial"/>
          <w:b/>
          <w:bCs/>
        </w:rPr>
        <w:tab/>
        <w:t>fa</w:t>
      </w:r>
      <w:r>
        <w:rPr>
          <w:rFonts w:ascii="Arial" w:hAnsi="Arial"/>
          <w:b/>
          <w:bCs/>
        </w:rPr>
        <w:tab/>
        <w:t>sol</w:t>
      </w:r>
      <w:r>
        <w:rPr>
          <w:rFonts w:ascii="Arial" w:hAnsi="Arial"/>
          <w:b/>
          <w:bCs/>
        </w:rPr>
        <w:tab/>
        <w:t>la</w:t>
      </w:r>
      <w:r>
        <w:rPr>
          <w:rFonts w:ascii="Arial" w:hAnsi="Arial"/>
          <w:b/>
          <w:bCs/>
        </w:rPr>
        <w:tab/>
        <w:t>si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  <w:r w:rsidRPr="008F21D4">
        <w:rPr>
          <w:rFonts w:ascii="Arial" w:hAnsi="Arial"/>
        </w:rPr>
        <w:pict>
          <v:line id="_x0000_s1027" style="position:absolute;left:0;text-align:left;z-index:251659264;visibility:visible;v-text-anchor:middle-center" from="44.65pt,4.1pt" to="429.4pt,4.1pt" strokeweight="1pt">
            <v:textbox style="mso-rotate-with-shape:t" inset="0,0,0,0">
              <w:txbxContent>
                <w:p w:rsidR="008F21D4" w:rsidRDefault="008F21D4"/>
              </w:txbxContent>
            </v:textbox>
          </v:line>
        </w:pict>
      </w:r>
    </w:p>
    <w:p w:rsidR="008F21D4" w:rsidRPr="00E44A02" w:rsidRDefault="00ED7FBD" w:rsidP="00100592">
      <w:pPr>
        <w:pStyle w:val="Standard"/>
        <w:jc w:val="both"/>
        <w:rPr>
          <w:rFonts w:ascii="Arial" w:hAnsi="Arial"/>
          <w:lang w:val="en-US"/>
        </w:rPr>
      </w:pPr>
      <w:r>
        <w:rPr>
          <w:rFonts w:ascii="Arial" w:hAnsi="Arial"/>
        </w:rPr>
        <w:tab/>
      </w:r>
      <w:r w:rsidR="00E44A02">
        <w:rPr>
          <w:rFonts w:ascii="Arial" w:hAnsi="Arial"/>
        </w:rPr>
        <w:tab/>
      </w:r>
      <w:r w:rsidRPr="00E44A02">
        <w:rPr>
          <w:rFonts w:ascii="Arial" w:hAnsi="Arial"/>
          <w:b/>
          <w:bCs/>
          <w:color w:val="FF0000"/>
          <w:lang w:val="en-US"/>
        </w:rPr>
        <w:t>C</w:t>
      </w:r>
      <w:r w:rsidRPr="00E44A02">
        <w:rPr>
          <w:rFonts w:ascii="Arial" w:hAnsi="Arial"/>
          <w:b/>
          <w:bCs/>
          <w:lang w:val="en-US"/>
        </w:rPr>
        <w:tab/>
        <w:t>D</w:t>
      </w:r>
      <w:r w:rsidRPr="00E44A02">
        <w:rPr>
          <w:rFonts w:ascii="Arial" w:hAnsi="Arial"/>
          <w:b/>
          <w:bCs/>
          <w:sz w:val="22"/>
          <w:szCs w:val="22"/>
          <w:lang w:val="en-US"/>
        </w:rPr>
        <w:t>m</w:t>
      </w:r>
      <w:r w:rsidRPr="00E44A02">
        <w:rPr>
          <w:rFonts w:ascii="Arial" w:hAnsi="Arial"/>
          <w:b/>
          <w:bCs/>
          <w:lang w:val="en-US"/>
        </w:rPr>
        <w:tab/>
        <w:t>E</w:t>
      </w:r>
      <w:r w:rsidRPr="00E44A02">
        <w:rPr>
          <w:rFonts w:ascii="Arial" w:hAnsi="Arial"/>
          <w:b/>
          <w:bCs/>
          <w:sz w:val="22"/>
          <w:szCs w:val="22"/>
          <w:lang w:val="en-US"/>
        </w:rPr>
        <w:t>m</w:t>
      </w:r>
      <w:r w:rsidRPr="00E44A02">
        <w:rPr>
          <w:rFonts w:ascii="Arial" w:hAnsi="Arial"/>
          <w:b/>
          <w:bCs/>
          <w:lang w:val="en-US"/>
        </w:rPr>
        <w:tab/>
        <w:t>F</w:t>
      </w:r>
      <w:r w:rsidRPr="00E44A02">
        <w:rPr>
          <w:rFonts w:ascii="Arial" w:hAnsi="Arial"/>
          <w:b/>
          <w:bCs/>
          <w:lang w:val="en-US"/>
        </w:rPr>
        <w:tab/>
        <w:t>G</w:t>
      </w:r>
      <w:r w:rsidRPr="00E44A02">
        <w:rPr>
          <w:rFonts w:ascii="Arial" w:hAnsi="Arial"/>
          <w:b/>
          <w:bCs/>
          <w:lang w:val="en-US"/>
        </w:rPr>
        <w:tab/>
        <w:t>A</w:t>
      </w:r>
      <w:r w:rsidRPr="00E44A02">
        <w:rPr>
          <w:rFonts w:ascii="Arial" w:hAnsi="Arial"/>
          <w:b/>
          <w:bCs/>
          <w:sz w:val="22"/>
          <w:szCs w:val="22"/>
          <w:lang w:val="en-US"/>
        </w:rPr>
        <w:t>m</w:t>
      </w:r>
      <w:r w:rsidRPr="00E44A02">
        <w:rPr>
          <w:rFonts w:ascii="Arial" w:hAnsi="Arial"/>
          <w:b/>
          <w:bCs/>
          <w:lang w:val="en-US"/>
        </w:rPr>
        <w:tab/>
        <w:t>B</w:t>
      </w:r>
      <w:r w:rsidRPr="00E44A02">
        <w:rPr>
          <w:rFonts w:ascii="Arial" w:hAnsi="Arial"/>
          <w:b/>
          <w:bCs/>
          <w:sz w:val="22"/>
          <w:szCs w:val="22"/>
          <w:lang w:val="en-US"/>
        </w:rPr>
        <w:t>mb5</w:t>
      </w:r>
    </w:p>
    <w:p w:rsidR="008F21D4" w:rsidRPr="00E44A02" w:rsidRDefault="008F21D4" w:rsidP="00100592">
      <w:pPr>
        <w:pStyle w:val="Standard"/>
        <w:jc w:val="both"/>
        <w:rPr>
          <w:rFonts w:ascii="Arial" w:hAnsi="Arial"/>
          <w:b/>
          <w:bCs/>
          <w:lang w:val="en-US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La nature des accords trouvés est </w:t>
      </w:r>
      <w:r>
        <w:rPr>
          <w:rFonts w:ascii="Arial" w:hAnsi="Arial"/>
        </w:rPr>
        <w:t>invariable suivant la tonalité choisie. En effet, les intervalles entre les notes sont définis par le canevas invariable du mode majeur (1 1 ½ 1 1 1 ½). On retrouvera donc une tierce majeure entre la 1</w:t>
      </w:r>
      <w:r w:rsidR="00E44A02" w:rsidRPr="00E44A02">
        <w:rPr>
          <w:rFonts w:ascii="Arial" w:hAnsi="Arial"/>
          <w:vertAlign w:val="superscript"/>
        </w:rPr>
        <w:t>e</w:t>
      </w:r>
      <w:r w:rsidR="00E44A02">
        <w:rPr>
          <w:rFonts w:ascii="Arial" w:hAnsi="Arial"/>
        </w:rPr>
        <w:t xml:space="preserve"> </w:t>
      </w:r>
      <w:r>
        <w:rPr>
          <w:rFonts w:ascii="Arial" w:hAnsi="Arial"/>
        </w:rPr>
        <w:t>et la 3</w:t>
      </w:r>
      <w:r w:rsidR="00E44A02" w:rsidRPr="00E44A02">
        <w:rPr>
          <w:rFonts w:ascii="Arial" w:hAnsi="Arial"/>
          <w:vertAlign w:val="superscript"/>
        </w:rPr>
        <w:t>e</w:t>
      </w:r>
      <w:r w:rsidR="00E44A02">
        <w:rPr>
          <w:rFonts w:ascii="Arial" w:hAnsi="Arial"/>
        </w:rPr>
        <w:t xml:space="preserve"> </w:t>
      </w:r>
      <w:r>
        <w:rPr>
          <w:rFonts w:ascii="Arial" w:hAnsi="Arial"/>
        </w:rPr>
        <w:t>note de n'importe quelle tonalité en mode ma</w:t>
      </w:r>
      <w:r>
        <w:rPr>
          <w:rFonts w:ascii="Arial" w:hAnsi="Arial"/>
        </w:rPr>
        <w:t>jeur.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On peut donc écrire le chiffrage suivant pour désigner l'harmonisation d'un mode majeur en accords à 3 sons 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100592" w:rsidRDefault="00ED7FBD" w:rsidP="00F37336">
      <w:pPr>
        <w:pStyle w:val="Standard"/>
        <w:pBdr>
          <w:top w:val="single" w:sz="2" w:space="5" w:color="000000" w:shadow="1"/>
          <w:left w:val="single" w:sz="2" w:space="0" w:color="000000" w:shadow="1"/>
          <w:bottom w:val="single" w:sz="2" w:space="5" w:color="000000" w:shadow="1"/>
          <w:right w:val="single" w:sz="2" w:space="0" w:color="000000" w:shadow="1"/>
        </w:pBdr>
        <w:ind w:left="567" w:right="567" w:firstLine="1557"/>
        <w:jc w:val="both"/>
        <w:rPr>
          <w:rFonts w:ascii="Arial" w:hAnsi="Arial"/>
          <w:lang w:val="en-US"/>
        </w:rPr>
      </w:pPr>
      <w:r w:rsidRPr="00E44A02">
        <w:rPr>
          <w:rFonts w:ascii="Arial" w:hAnsi="Arial"/>
          <w:b/>
          <w:bCs/>
          <w:color w:val="FF0000"/>
          <w:lang w:val="en-US"/>
        </w:rPr>
        <w:t>I</w:t>
      </w:r>
      <w:r w:rsidR="00E44A02">
        <w:rPr>
          <w:rFonts w:ascii="Arial" w:hAnsi="Arial"/>
          <w:b/>
          <w:bCs/>
          <w:lang w:val="en-US"/>
        </w:rPr>
        <w:tab/>
      </w:r>
      <w:r w:rsidRPr="00100592">
        <w:rPr>
          <w:rFonts w:ascii="Arial" w:hAnsi="Arial"/>
          <w:b/>
          <w:bCs/>
          <w:lang w:val="en-US"/>
        </w:rPr>
        <w:t>II</w:t>
      </w:r>
      <w:r w:rsidRPr="00100592">
        <w:rPr>
          <w:rFonts w:ascii="Arial" w:hAnsi="Arial"/>
          <w:b/>
          <w:bCs/>
          <w:sz w:val="22"/>
          <w:szCs w:val="22"/>
          <w:lang w:val="en-US"/>
        </w:rPr>
        <w:t>m</w:t>
      </w:r>
      <w:r w:rsidRPr="00100592">
        <w:rPr>
          <w:rFonts w:ascii="Arial" w:hAnsi="Arial"/>
          <w:b/>
          <w:bCs/>
          <w:lang w:val="en-US"/>
        </w:rPr>
        <w:tab/>
        <w:t>III</w:t>
      </w:r>
      <w:r w:rsidRPr="00100592">
        <w:rPr>
          <w:rFonts w:ascii="Arial" w:hAnsi="Arial"/>
          <w:b/>
          <w:bCs/>
          <w:sz w:val="22"/>
          <w:szCs w:val="22"/>
          <w:lang w:val="en-US"/>
        </w:rPr>
        <w:t>m</w:t>
      </w:r>
      <w:r w:rsidR="00E44A02" w:rsidRPr="00100592">
        <w:rPr>
          <w:rFonts w:ascii="Arial" w:hAnsi="Arial"/>
          <w:b/>
          <w:bCs/>
          <w:sz w:val="22"/>
          <w:szCs w:val="22"/>
          <w:lang w:val="en-US"/>
        </w:rPr>
        <w:tab/>
      </w:r>
      <w:r w:rsidRPr="00100592">
        <w:rPr>
          <w:rFonts w:ascii="Arial" w:hAnsi="Arial"/>
          <w:b/>
          <w:bCs/>
          <w:lang w:val="en-US"/>
        </w:rPr>
        <w:t>IV</w:t>
      </w:r>
      <w:r w:rsidRPr="00100592">
        <w:rPr>
          <w:rFonts w:ascii="Arial" w:hAnsi="Arial"/>
          <w:b/>
          <w:bCs/>
          <w:lang w:val="en-US"/>
        </w:rPr>
        <w:tab/>
        <w:t>V</w:t>
      </w:r>
      <w:r w:rsidRPr="00100592">
        <w:rPr>
          <w:rFonts w:ascii="Arial" w:hAnsi="Arial"/>
          <w:b/>
          <w:bCs/>
          <w:lang w:val="en-US"/>
        </w:rPr>
        <w:tab/>
        <w:t>VI</w:t>
      </w:r>
      <w:r w:rsidRPr="00100592">
        <w:rPr>
          <w:rFonts w:ascii="Arial" w:hAnsi="Arial"/>
          <w:b/>
          <w:bCs/>
          <w:sz w:val="22"/>
          <w:szCs w:val="22"/>
          <w:lang w:val="en-US"/>
        </w:rPr>
        <w:t>m</w:t>
      </w:r>
      <w:r w:rsidRPr="00100592">
        <w:rPr>
          <w:rFonts w:ascii="Arial" w:hAnsi="Arial"/>
          <w:b/>
          <w:bCs/>
          <w:lang w:val="en-US"/>
        </w:rPr>
        <w:tab/>
        <w:t>VII</w:t>
      </w:r>
      <w:r w:rsidRPr="00100592">
        <w:rPr>
          <w:rFonts w:ascii="Arial" w:hAnsi="Arial"/>
          <w:b/>
          <w:bCs/>
          <w:sz w:val="22"/>
          <w:szCs w:val="22"/>
          <w:lang w:val="en-US"/>
        </w:rPr>
        <w:t>mb5</w:t>
      </w:r>
    </w:p>
    <w:p w:rsidR="008F21D4" w:rsidRPr="00E44A02" w:rsidRDefault="00ED7FBD" w:rsidP="00100592">
      <w:pPr>
        <w:pStyle w:val="Standard"/>
        <w:pageBreakBefore/>
        <w:jc w:val="both"/>
        <w:rPr>
          <w:rFonts w:ascii="Arial" w:hAnsi="Arial"/>
          <w:b/>
          <w:bCs/>
          <w:u w:val="single"/>
        </w:rPr>
      </w:pPr>
      <w:r w:rsidRPr="00E44A02">
        <w:rPr>
          <w:rFonts w:ascii="Arial" w:hAnsi="Arial"/>
          <w:b/>
          <w:bCs/>
          <w:u w:val="single"/>
        </w:rPr>
        <w:lastRenderedPageBreak/>
        <w:t>Plusieurs remarques.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On constate qu'en mode majeur, </w:t>
      </w:r>
      <w:r>
        <w:rPr>
          <w:rFonts w:ascii="Arial" w:hAnsi="Arial"/>
          <w:b/>
          <w:bCs/>
        </w:rPr>
        <w:t>l'accord de tonique</w:t>
      </w:r>
      <w:r>
        <w:rPr>
          <w:rFonts w:ascii="Arial" w:hAnsi="Arial"/>
        </w:rPr>
        <w:t xml:space="preserve"> (celui construit sur la note qui donne la tonalité, </w:t>
      </w:r>
      <w:r>
        <w:rPr>
          <w:rFonts w:ascii="Arial" w:hAnsi="Arial"/>
          <w:i/>
          <w:iCs/>
        </w:rPr>
        <w:t>do</w:t>
      </w:r>
      <w:r>
        <w:rPr>
          <w:rFonts w:ascii="Arial" w:hAnsi="Arial"/>
        </w:rPr>
        <w:t xml:space="preserve"> dans l'exemple) </w:t>
      </w:r>
      <w:r>
        <w:rPr>
          <w:rFonts w:ascii="Arial" w:hAnsi="Arial"/>
          <w:b/>
          <w:bCs/>
        </w:rPr>
        <w:t>est majeur</w:t>
      </w:r>
      <w:r>
        <w:rPr>
          <w:rFonts w:ascii="Arial" w:hAnsi="Arial"/>
        </w:rPr>
        <w:t>. C'est une caractéristique que l'on retrouvera dans les autres modes majeurs.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On constate que </w:t>
      </w:r>
      <w:r>
        <w:rPr>
          <w:rFonts w:ascii="Arial" w:hAnsi="Arial"/>
          <w:b/>
          <w:bCs/>
        </w:rPr>
        <w:t>seuls 2 autres accords sont majeurs, le IV et le V</w:t>
      </w:r>
      <w:r>
        <w:rPr>
          <w:rFonts w:ascii="Arial" w:hAnsi="Arial"/>
        </w:rPr>
        <w:t>. Cela nous aidera entre aut</w:t>
      </w:r>
      <w:r>
        <w:rPr>
          <w:rFonts w:ascii="Arial" w:hAnsi="Arial"/>
        </w:rPr>
        <w:t>res à déterminer la tonalité des morceaux transcrits (</w:t>
      </w:r>
      <w:r w:rsidR="00AE0B44">
        <w:rPr>
          <w:rFonts w:ascii="Arial" w:hAnsi="Arial"/>
        </w:rPr>
        <w:t>cf.</w:t>
      </w:r>
      <w:r>
        <w:rPr>
          <w:rFonts w:ascii="Arial" w:hAnsi="Arial"/>
        </w:rPr>
        <w:t xml:space="preserve"> Exemple).</w:t>
      </w: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Cela explique sans doute aussi l'appellation « majeure » ou « mineure » pour les tierces ; en effet, dans ce mode majeur, on trouve 3 tierces majeures pour 4 tierces mineures. Elles sont pr</w:t>
      </w:r>
      <w:r>
        <w:rPr>
          <w:rFonts w:ascii="Arial" w:hAnsi="Arial"/>
        </w:rPr>
        <w:t xml:space="preserve">esque à égalité, il </w:t>
      </w:r>
      <w:r w:rsidR="00E44A02">
        <w:rPr>
          <w:rFonts w:ascii="Arial" w:hAnsi="Arial"/>
        </w:rPr>
        <w:t>semblerait</w:t>
      </w:r>
      <w:r>
        <w:rPr>
          <w:rFonts w:ascii="Arial" w:hAnsi="Arial"/>
        </w:rPr>
        <w:t xml:space="preserve"> que la meilleure manière de les distinguer fût d'employer un terme désignant la taille de l'intervalle.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D'ailleurs, on constate qu'</w:t>
      </w:r>
      <w:r>
        <w:rPr>
          <w:rFonts w:ascii="Arial" w:hAnsi="Arial"/>
          <w:b/>
          <w:bCs/>
        </w:rPr>
        <w:t>un seul accord contient une quinte diminuée</w:t>
      </w:r>
      <w:r>
        <w:rPr>
          <w:rFonts w:ascii="Arial" w:hAnsi="Arial"/>
        </w:rPr>
        <w:t xml:space="preserve"> (le VII</w:t>
      </w:r>
      <w:r>
        <w:rPr>
          <w:rFonts w:ascii="Arial" w:hAnsi="Arial"/>
          <w:sz w:val="22"/>
          <w:szCs w:val="22"/>
        </w:rPr>
        <w:t>mb5</w:t>
      </w:r>
      <w:r>
        <w:rPr>
          <w:rFonts w:ascii="Arial" w:hAnsi="Arial"/>
        </w:rPr>
        <w:t xml:space="preserve">, toutes les autres sont justes) et par </w:t>
      </w:r>
      <w:r>
        <w:rPr>
          <w:rFonts w:ascii="Arial" w:hAnsi="Arial"/>
        </w:rPr>
        <w:t xml:space="preserve">là même, nous avons aussi une piste pour le choix de cette dénomination. A six contre une, il fût sans doute décidé de nommer les quintes les plus nombreuses </w:t>
      </w:r>
      <w:r>
        <w:rPr>
          <w:rFonts w:ascii="Arial" w:hAnsi="Arial"/>
          <w:i/>
          <w:iCs/>
        </w:rPr>
        <w:t>justes</w:t>
      </w:r>
      <w:r>
        <w:rPr>
          <w:rFonts w:ascii="Arial" w:hAnsi="Arial"/>
        </w:rPr>
        <w:t xml:space="preserve"> et le « mouton noir » </w:t>
      </w:r>
      <w:r>
        <w:rPr>
          <w:rFonts w:ascii="Arial" w:hAnsi="Arial"/>
          <w:i/>
          <w:iCs/>
        </w:rPr>
        <w:t>diminué</w:t>
      </w:r>
      <w:r>
        <w:rPr>
          <w:rFonts w:ascii="Arial" w:hAnsi="Arial"/>
        </w:rPr>
        <w:t xml:space="preserve"> (son intervalle de 3 tons est plus petit que celui de la quin</w:t>
      </w:r>
      <w:r>
        <w:rPr>
          <w:rFonts w:ascii="Arial" w:hAnsi="Arial"/>
        </w:rPr>
        <w:t>te juste qui est de 3 tons ½, il est diminué).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Cours-Encadr"/>
      </w:pPr>
      <w:r>
        <w:t xml:space="preserve">En fait, les raisons de cette appellation sont encore plus nombreuses. Dans les différents </w:t>
      </w:r>
      <w:r>
        <w:rPr>
          <w:i/>
          <w:iCs/>
        </w:rPr>
        <w:t>sons</w:t>
      </w:r>
      <w:r>
        <w:t xml:space="preserve"> générés par une note jouée, on retrouve la quinte juste de cette note dès la 3e harmonique. De plus, culturellem</w:t>
      </w:r>
      <w:r>
        <w:t xml:space="preserve">ent, cet intervalle de 3 tons, divisant donc l'octave en 2 parties parfaitement égales, a été frappé d'interdiction au moyen-âge par l'église car la perfection ne pouvait être qu'une manifestation du </w:t>
      </w:r>
      <w:r>
        <w:rPr>
          <w:i/>
          <w:iCs/>
        </w:rPr>
        <w:t>malin</w:t>
      </w:r>
      <w:r>
        <w:t>. L'intervalle de quinte diminuée écopait à l'époqu</w:t>
      </w:r>
      <w:r>
        <w:t>e du sympathique nom « Diabolus in musica » et il fallait être inconscient pour l'utiliser dans quelque composition que ce soit.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Utilisation pour déterminer la tonalité d'un morceau en mode majeur.</w:t>
      </w:r>
    </w:p>
    <w:p w:rsidR="008F21D4" w:rsidRDefault="008F21D4" w:rsidP="00100592">
      <w:pPr>
        <w:pStyle w:val="Standard"/>
        <w:jc w:val="both"/>
        <w:rPr>
          <w:rFonts w:ascii="Arial" w:hAnsi="Arial"/>
          <w:b/>
          <w:bCs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Un morceau construit dans une tonalité et à l'aide du mo</w:t>
      </w:r>
      <w:r>
        <w:rPr>
          <w:rFonts w:ascii="Arial" w:hAnsi="Arial"/>
        </w:rPr>
        <w:t>de majeur aura tendance à</w:t>
      </w:r>
      <w:r w:rsidR="00AE0B44">
        <w:rPr>
          <w:rFonts w:ascii="Arial" w:hAnsi="Arial"/>
        </w:rPr>
        <w:t> :</w:t>
      </w:r>
    </w:p>
    <w:p w:rsidR="008F21D4" w:rsidRDefault="00ED7FBD" w:rsidP="00AE0B44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commencer et/ou finir par l'accord de tonique (le I, C en DO Majeur)</w:t>
      </w:r>
    </w:p>
    <w:p w:rsidR="008F21D4" w:rsidRDefault="00ED7FBD" w:rsidP="00AE0B44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à la mélodie, commencer et/ou finir par la tonique (do en DO Majeur)</w:t>
      </w:r>
    </w:p>
    <w:p w:rsidR="008F21D4" w:rsidRDefault="00ED7FBD" w:rsidP="00AE0B44">
      <w:pPr>
        <w:pStyle w:val="Standard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ne contenir que 3 accords majeurs (les I, IV et V)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Cours-Encadr"/>
      </w:pPr>
      <w:r>
        <w:t xml:space="preserve">Notons que les deux premiers points </w:t>
      </w:r>
      <w:r>
        <w:t>sont aussi valables pour les autres modes (mineur par exemple) et qu'ils sont donc utiles pour trouver la tonalité d'un morceau en général.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Ces informations vont être précieuses pour déterminer la tonalité de morceaux construits sur le mode majeur. Il fau</w:t>
      </w:r>
      <w:r>
        <w:rPr>
          <w:rFonts w:ascii="Arial" w:hAnsi="Arial"/>
        </w:rPr>
        <w:t xml:space="preserve">t ajouter que les accords IV et V sont distants d'un ton (leurs fondamentales sont distantes d'un ton). Donc en trouvant deux accords majeurs distants d'un ton dans un morceau, il y a de forte chance pour que ce soient les IV et V de la tonalité en mode </w:t>
      </w:r>
      <w:r>
        <w:rPr>
          <w:rFonts w:ascii="Arial" w:hAnsi="Arial"/>
        </w:rPr>
        <w:t>majeur recherchée. Il suffit alors de déduire le I et de vérifier qu'il est présent dans le reste du morceau ; si c'est le cas, il y a de forte chance pour que la tonalité soit celle donnée par la fondamentale de cet accord (qui est donc l'accord de ton</w:t>
      </w:r>
      <w:r>
        <w:rPr>
          <w:rFonts w:ascii="Arial" w:hAnsi="Arial"/>
        </w:rPr>
        <w:t>ique).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8F21D4" w:rsidP="00100592">
      <w:pPr>
        <w:pStyle w:val="Standard"/>
        <w:jc w:val="both"/>
        <w:rPr>
          <w:rFonts w:ascii="Arial" w:hAnsi="Arial"/>
          <w:b/>
          <w:bCs/>
        </w:rPr>
      </w:pPr>
    </w:p>
    <w:p w:rsidR="008F21D4" w:rsidRDefault="00ED7FBD" w:rsidP="00100592">
      <w:pPr>
        <w:pStyle w:val="Standard"/>
        <w:pageBreakBefore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  <w:i/>
          <w:iCs/>
        </w:rPr>
        <w:t>Exemple</w:t>
      </w:r>
      <w:r w:rsidR="00AE0B44">
        <w:rPr>
          <w:rFonts w:ascii="Arial" w:hAnsi="Arial"/>
          <w:b/>
          <w:bCs/>
          <w:i/>
          <w:iCs/>
        </w:rPr>
        <w:t> </w:t>
      </w:r>
      <w:r w:rsidR="00AE0B44">
        <w:rPr>
          <w:rFonts w:ascii="Arial" w:hAnsi="Arial"/>
          <w:b/>
          <w:bCs/>
        </w:rPr>
        <w:t>: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tbl>
      <w:tblPr>
        <w:tblW w:w="9614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409"/>
        <w:gridCol w:w="2409"/>
        <w:gridCol w:w="2409"/>
        <w:gridCol w:w="2387"/>
      </w:tblGrid>
      <w:tr w:rsidR="008F21D4" w:rsidTr="008F21D4">
        <w:tblPrEx>
          <w:tblCellMar>
            <w:top w:w="0" w:type="dxa"/>
            <w:bottom w:w="0" w:type="dxa"/>
          </w:tblCellMar>
        </w:tblPrEx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1D4" w:rsidRDefault="00ED7FBD" w:rsidP="00100592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1D4" w:rsidRDefault="00ED7FBD" w:rsidP="00100592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1D4" w:rsidRDefault="00ED7FBD" w:rsidP="00100592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21D4" w:rsidRDefault="00ED7FBD" w:rsidP="00100592">
            <w:pPr>
              <w:pStyle w:val="TableContents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</w:tr>
    </w:tbl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AE0B44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Indice 1 :</w:t>
      </w:r>
      <w:r w:rsidR="00ED7FBD">
        <w:rPr>
          <w:rFonts w:ascii="Arial" w:hAnsi="Arial"/>
        </w:rPr>
        <w:t xml:space="preserve"> le C de fin de morceau suggère une tonalité de DO en mode Majeur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AE0B44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Indice 2 :</w:t>
      </w:r>
      <w:r w:rsidR="00ED7FBD">
        <w:rPr>
          <w:rFonts w:ascii="Arial" w:hAnsi="Arial"/>
        </w:rPr>
        <w:t xml:space="preserve"> F et G sont deux accords majeurs distants d'un ton (fa-sol = 1 ton), ils sont donc candidats pour les postes de IV et V de quelle </w:t>
      </w:r>
      <w:r w:rsidR="00ED7FBD">
        <w:rPr>
          <w:rFonts w:ascii="Arial" w:hAnsi="Arial"/>
        </w:rPr>
        <w:t>tonalité ?</w:t>
      </w: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>Si G est le V, comptons à rebourds et trouvons le I correspondant : 5 = sol, 4 = fa, 3 = mi, 2 = ré, 1 = do. G est le V de la tonalité de DO en mode majeur. Cela confirme l'indice 1 et l'on peut sans trop se tromper avancer que l'on est en DO Ma</w:t>
      </w:r>
      <w:r>
        <w:rPr>
          <w:rFonts w:ascii="Arial" w:hAnsi="Arial"/>
        </w:rPr>
        <w:t>jeur.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Default="00ED7FBD" w:rsidP="00100592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Reste à vérifier que Am fait bien parti de DO Majeur. En DO Majeur, </w:t>
      </w:r>
      <w:r w:rsidR="00AE0B44">
        <w:rPr>
          <w:rFonts w:ascii="Arial" w:hAnsi="Arial"/>
        </w:rPr>
        <w:t>« </w:t>
      </w:r>
      <w:r>
        <w:rPr>
          <w:rFonts w:ascii="Arial" w:hAnsi="Arial"/>
        </w:rPr>
        <w:t>la</w:t>
      </w:r>
      <w:r w:rsidR="00AE0B44">
        <w:rPr>
          <w:rFonts w:ascii="Arial" w:hAnsi="Arial"/>
        </w:rPr>
        <w:t> »</w:t>
      </w:r>
      <w:r>
        <w:rPr>
          <w:rFonts w:ascii="Arial" w:hAnsi="Arial"/>
        </w:rPr>
        <w:t xml:space="preserve"> est bien à son état naturel, sans altération. C'est la sixième note en partant de do, la tonique. On a déterminé plus haut que l'accord construit sur la sixième note est mineur (</w:t>
      </w:r>
      <w:r>
        <w:rPr>
          <w:rFonts w:ascii="Arial" w:hAnsi="Arial"/>
        </w:rPr>
        <w:t>VI</w:t>
      </w:r>
      <w:r>
        <w:rPr>
          <w:rFonts w:ascii="Arial" w:hAnsi="Arial"/>
          <w:sz w:val="22"/>
          <w:szCs w:val="22"/>
        </w:rPr>
        <w:t>m</w:t>
      </w:r>
      <w:r>
        <w:rPr>
          <w:rFonts w:ascii="Arial" w:hAnsi="Arial"/>
        </w:rPr>
        <w:t>). On devrait donc trouver A</w:t>
      </w:r>
      <w:r>
        <w:rPr>
          <w:rFonts w:ascii="Arial" w:hAnsi="Arial"/>
          <w:sz w:val="22"/>
          <w:szCs w:val="22"/>
        </w:rPr>
        <w:t>m</w:t>
      </w:r>
      <w:r>
        <w:rPr>
          <w:rFonts w:ascii="Arial" w:hAnsi="Arial"/>
        </w:rPr>
        <w:t xml:space="preserve"> ici et c'est le cas.</w:t>
      </w:r>
    </w:p>
    <w:p w:rsidR="008F21D4" w:rsidRDefault="008F21D4" w:rsidP="00100592">
      <w:pPr>
        <w:pStyle w:val="Standard"/>
        <w:jc w:val="both"/>
        <w:rPr>
          <w:rFonts w:ascii="Arial" w:hAnsi="Arial"/>
        </w:rPr>
      </w:pPr>
    </w:p>
    <w:p w:rsidR="008F21D4" w:rsidRPr="00AE0B44" w:rsidRDefault="00ED7FBD" w:rsidP="00100592">
      <w:pPr>
        <w:pStyle w:val="Standard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Conclusion, </w:t>
      </w:r>
      <w:r>
        <w:rPr>
          <w:rFonts w:ascii="Arial" w:hAnsi="Arial"/>
          <w:b/>
          <w:bCs/>
          <w:u w:val="single"/>
        </w:rPr>
        <w:t>il y a de fortes chances</w:t>
      </w:r>
      <w:r>
        <w:rPr>
          <w:rFonts w:ascii="Arial" w:hAnsi="Arial"/>
          <w:b/>
          <w:bCs/>
        </w:rPr>
        <w:t xml:space="preserve"> pour que l'on se trouve en DO Majeur.</w:t>
      </w:r>
    </w:p>
    <w:sectPr w:rsidR="008F21D4" w:rsidRPr="00AE0B44" w:rsidSect="00E44A02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FBD" w:rsidRDefault="00ED7FBD" w:rsidP="008F21D4">
      <w:r>
        <w:separator/>
      </w:r>
    </w:p>
  </w:endnote>
  <w:endnote w:type="continuationSeparator" w:id="0">
    <w:p w:rsidR="00ED7FBD" w:rsidRDefault="00ED7FBD" w:rsidP="008F21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tarSymbol"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FBD" w:rsidRDefault="00ED7FBD" w:rsidP="008F21D4">
      <w:r w:rsidRPr="008F21D4">
        <w:separator/>
      </w:r>
    </w:p>
  </w:footnote>
  <w:footnote w:type="continuationSeparator" w:id="0">
    <w:p w:rsidR="00ED7FBD" w:rsidRDefault="00ED7FBD" w:rsidP="008F21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74925"/>
    <w:multiLevelType w:val="multilevel"/>
    <w:tmpl w:val="C7548B4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">
    <w:nsid w:val="44B93BBA"/>
    <w:multiLevelType w:val="hybridMultilevel"/>
    <w:tmpl w:val="334E8DDE"/>
    <w:lvl w:ilvl="0" w:tplc="5BD214CC">
      <w:start w:val="1"/>
      <w:numFmt w:val="bullet"/>
      <w:lvlText w:val="-"/>
      <w:lvlJc w:val="left"/>
      <w:pPr>
        <w:ind w:left="720" w:hanging="360"/>
      </w:pPr>
      <w:rPr>
        <w:rFonts w:ascii="Arial" w:eastAsia="Lucida Sans Unicode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F21D4"/>
    <w:rsid w:val="00100592"/>
    <w:rsid w:val="008F21D4"/>
    <w:rsid w:val="00AE0B44"/>
    <w:rsid w:val="00E44A02"/>
    <w:rsid w:val="00ED7FBD"/>
    <w:rsid w:val="00F37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fr-FR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rsid w:val="008F21D4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8F21D4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8F21D4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F21D4"/>
  </w:style>
  <w:style w:type="paragraph" w:customStyle="1" w:styleId="Textbody">
    <w:name w:val="Text body"/>
    <w:basedOn w:val="Standard"/>
    <w:rsid w:val="008F21D4"/>
    <w:pPr>
      <w:spacing w:after="120"/>
    </w:pPr>
  </w:style>
  <w:style w:type="paragraph" w:customStyle="1" w:styleId="Heading">
    <w:name w:val="Heading"/>
    <w:basedOn w:val="Standard"/>
    <w:next w:val="Textbody"/>
    <w:rsid w:val="008F21D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ableContents">
    <w:name w:val="Table Contents"/>
    <w:basedOn w:val="Standard"/>
    <w:rsid w:val="008F21D4"/>
    <w:pPr>
      <w:suppressLineNumbers/>
    </w:pPr>
  </w:style>
  <w:style w:type="paragraph" w:customStyle="1" w:styleId="Cours-Encadr">
    <w:name w:val="Cours - Encadré"/>
    <w:basedOn w:val="Standard"/>
    <w:rsid w:val="008F21D4"/>
    <w:pPr>
      <w:pBdr>
        <w:top w:val="single" w:sz="2" w:space="0" w:color="000000" w:shadow="1"/>
        <w:left w:val="single" w:sz="2" w:space="0" w:color="000000" w:shadow="1"/>
        <w:bottom w:val="single" w:sz="2" w:space="0" w:color="000000" w:shadow="1"/>
        <w:right w:val="single" w:sz="2" w:space="0" w:color="000000" w:shadow="1"/>
      </w:pBdr>
      <w:shd w:val="clear" w:color="auto" w:fill="E6E6E6"/>
      <w:ind w:left="850" w:right="850"/>
      <w:jc w:val="both"/>
    </w:pPr>
    <w:rPr>
      <w:rFonts w:ascii="Arial" w:hAnsi="Arial"/>
    </w:rPr>
  </w:style>
  <w:style w:type="character" w:customStyle="1" w:styleId="BulletSymbols">
    <w:name w:val="Bullet Symbols"/>
    <w:rsid w:val="008F21D4"/>
    <w:rPr>
      <w:rFonts w:ascii="StarSymbol" w:eastAsia="StarSymbol" w:hAnsi="StarSymbol" w:cs="StarSymbol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4</cp:revision>
  <dcterms:created xsi:type="dcterms:W3CDTF">2009-06-01T10:11:00Z</dcterms:created>
  <dcterms:modified xsi:type="dcterms:W3CDTF">2009-06-01T10:18:00Z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