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hase-2.6-macro-regime-segmentation"/>
    <w:p>
      <w:pPr>
        <w:pStyle w:val="Heading1"/>
      </w:pPr>
      <w:r>
        <w:t xml:space="preserve">Phase 2.6 — Macro Regime Segmentation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Evaluate whether H-01 is stable across macro market regimes.</w:t>
      </w:r>
    </w:p>
    <w:bookmarkEnd w:id="20"/>
    <w:bookmarkStart w:id="21" w:name="macro-regime-definition"/>
    <w:p>
      <w:pPr>
        <w:pStyle w:val="Heading2"/>
      </w:pPr>
      <w:r>
        <w:t xml:space="preserve">Macro Regime Definition</w:t>
      </w:r>
    </w:p>
    <w:p>
      <w:pPr>
        <w:pStyle w:val="FirstParagraph"/>
      </w:pPr>
      <w:r>
        <w:t xml:space="preserve">Bull market:</w:t>
      </w:r>
      <w:r>
        <w:t xml:space="preserve"> </w:t>
      </w:r>
      <w:r>
        <w:t xml:space="preserve">Daily Close &gt; Daily MA200</w:t>
      </w:r>
    </w:p>
    <w:p>
      <w:pPr>
        <w:pStyle w:val="BodyText"/>
      </w:pPr>
      <w:r>
        <w:t xml:space="preserve">Bear market:</w:t>
      </w:r>
      <w:r>
        <w:t xml:space="preserve"> </w:t>
      </w:r>
      <w:r>
        <w:t xml:space="preserve">Daily Close ≤ Daily MA200</w:t>
      </w:r>
    </w:p>
    <w:bookmarkEnd w:id="21"/>
    <w:bookmarkStart w:id="22" w:name="h-01-definition"/>
    <w:p>
      <w:pPr>
        <w:pStyle w:val="Heading2"/>
      </w:pPr>
      <w:r>
        <w:t xml:space="preserve">H-01 Definition</w:t>
      </w:r>
    </w:p>
    <w:p>
      <w:pPr>
        <w:pStyle w:val="FirstParagraph"/>
      </w:pPr>
      <w:r>
        <w:t xml:space="preserve">Extreme Negative Shock (bottom 1% of returns)</w:t>
      </w:r>
    </w:p>
    <w:p>
      <w:pPr>
        <w:pStyle w:val="FirstParagraph"/>
      </w:pPr>
      <w:r>
        <w:t xml:space="preserve">Highest Volatility Regime (regime = 2)</w:t>
      </w:r>
    </w:p>
    <w:p>
      <w:pPr>
        <w:pStyle w:val="BodyText"/>
      </w:pPr>
      <w:r>
        <w:t xml:space="preserve">Prediction horizon:</w:t>
      </w:r>
    </w:p>
    <w:p>
      <w:pPr>
        <w:pStyle w:val="BodyText"/>
      </w:pPr>
      <w:r>
        <w:t xml:space="preserve">FWD6 (≈30 minutes)</w:t>
      </w:r>
    </w:p>
    <w:bookmarkEnd w:id="22"/>
    <w:bookmarkStart w:id="23" w:name="sample-size"/>
    <w:p>
      <w:pPr>
        <w:pStyle w:val="Heading2"/>
      </w:pPr>
      <w:r>
        <w:t xml:space="preserve">Sample Size</w:t>
      </w:r>
    </w:p>
    <w:p>
      <w:pPr>
        <w:pStyle w:val="FirstParagraph"/>
      </w:pPr>
      <w:r>
        <w:t xml:space="preserve">Total H-01 observations: 5364</w:t>
      </w:r>
    </w:p>
    <w:p>
      <w:pPr>
        <w:pStyle w:val="BodyText"/>
      </w:pPr>
      <w:r>
        <w:t xml:space="preserve">Bull market observations: 2415</w:t>
      </w:r>
    </w:p>
    <w:p>
      <w:pPr>
        <w:pStyle w:val="BodyText"/>
      </w:pPr>
      <w:r>
        <w:t xml:space="preserve">Bear market observations: 2949</w:t>
      </w:r>
    </w:p>
    <w:bookmarkEnd w:id="23"/>
    <w:bookmarkStart w:id="26" w:name="results"/>
    <w:p>
      <w:pPr>
        <w:pStyle w:val="Heading2"/>
      </w:pPr>
      <w:r>
        <w:t xml:space="preserve">Results</w:t>
      </w:r>
    </w:p>
    <w:bookmarkStart w:id="24" w:name="bull-market"/>
    <w:p>
      <w:pPr>
        <w:pStyle w:val="Heading3"/>
      </w:pPr>
      <w:r>
        <w:t xml:space="preserve">Bull Market</w:t>
      </w:r>
    </w:p>
    <w:p>
      <w:pPr>
        <w:pStyle w:val="FirstParagraph"/>
      </w:pPr>
      <w:r>
        <w:t xml:space="preserve">Mean FWD6 = +0.2005%</w:t>
      </w:r>
    </w:p>
    <w:p>
      <w:pPr>
        <w:pStyle w:val="BodyText"/>
      </w:pPr>
      <w:r>
        <w:t xml:space="preserve">Median FWD6 = +0.2544%</w:t>
      </w:r>
    </w:p>
    <w:p>
      <w:pPr>
        <w:pStyle w:val="BodyText"/>
      </w:pPr>
      <w:r>
        <w:t xml:space="preserve">Hit Rate = 59.5%</w:t>
      </w:r>
    </w:p>
    <w:p>
      <w:pPr>
        <w:pStyle w:val="BodyText"/>
      </w:pPr>
      <w:r>
        <w:t xml:space="preserve">t-stat = 7.15</w:t>
      </w:r>
    </w:p>
    <w:p>
      <w:pPr>
        <w:pStyle w:val="BodyText"/>
      </w:pPr>
      <w:r>
        <w:t xml:space="preserve">p-value = 1.14×10⁻¹²</w:t>
      </w:r>
    </w:p>
    <w:bookmarkEnd w:id="24"/>
    <w:bookmarkStart w:id="25" w:name="bear-market"/>
    <w:p>
      <w:pPr>
        <w:pStyle w:val="Heading3"/>
      </w:pPr>
      <w:r>
        <w:t xml:space="preserve">Bear Market</w:t>
      </w:r>
    </w:p>
    <w:p>
      <w:pPr>
        <w:pStyle w:val="FirstParagraph"/>
      </w:pPr>
      <w:r>
        <w:t xml:space="preserve">Mean FWD6 = +0.1183%</w:t>
      </w:r>
    </w:p>
    <w:p>
      <w:pPr>
        <w:pStyle w:val="BodyText"/>
      </w:pPr>
      <w:r>
        <w:t xml:space="preserve">Median FWD6 = +0.1476%</w:t>
      </w:r>
    </w:p>
    <w:p>
      <w:pPr>
        <w:pStyle w:val="BodyText"/>
      </w:pPr>
      <w:r>
        <w:t xml:space="preserve">Hit Rate = 56.1%</w:t>
      </w:r>
    </w:p>
    <w:p>
      <w:pPr>
        <w:pStyle w:val="BodyText"/>
      </w:pPr>
      <w:r>
        <w:t xml:space="preserve">t-stat = 3.47</w:t>
      </w:r>
    </w:p>
    <w:p>
      <w:pPr>
        <w:pStyle w:val="BodyText"/>
      </w:pPr>
      <w:r>
        <w:t xml:space="preserve">p-value = 5.36×10⁻⁴</w:t>
      </w:r>
    </w:p>
    <w:bookmarkEnd w:id="25"/>
    <w:bookmarkEnd w:id="26"/>
    <w:bookmarkStart w:id="27" w:name="direct-comparison"/>
    <w:p>
      <w:pPr>
        <w:pStyle w:val="Heading2"/>
      </w:pPr>
      <w:r>
        <w:t xml:space="preserve">Direct Comparison</w:t>
      </w:r>
    </w:p>
    <w:p>
      <w:pPr>
        <w:pStyle w:val="FirstParagraph"/>
      </w:pPr>
      <w:r>
        <w:t xml:space="preserve">Difference in mean FWD6:</w:t>
      </w:r>
    </w:p>
    <w:p>
      <w:pPr>
        <w:pStyle w:val="BodyText"/>
      </w:pPr>
      <w:r>
        <w:t xml:space="preserve">0.0822%</w:t>
      </w:r>
    </w:p>
    <w:p>
      <w:pPr>
        <w:pStyle w:val="BodyText"/>
      </w:pPr>
      <w:r>
        <w:t xml:space="preserve">Welch t-stat:</w:t>
      </w:r>
    </w:p>
    <w:p>
      <w:pPr>
        <w:pStyle w:val="BodyText"/>
      </w:pPr>
      <w:r>
        <w:t xml:space="preserve">1.86</w:t>
      </w:r>
    </w:p>
    <w:p>
      <w:pPr>
        <w:pStyle w:val="BodyText"/>
      </w:pPr>
      <w:r>
        <w:t xml:space="preserve">Welch p-value:</w:t>
      </w:r>
    </w:p>
    <w:p>
      <w:pPr>
        <w:pStyle w:val="BodyText"/>
      </w:pPr>
      <w:r>
        <w:t xml:space="preserve">0.063</w:t>
      </w:r>
    </w:p>
    <w:bookmarkEnd w:id="27"/>
    <w:bookmarkStart w:id="28" w:name="conclusions"/>
    <w:p>
      <w:pPr>
        <w:pStyle w:val="Heading2"/>
      </w:pPr>
      <w:r>
        <w:t xml:space="preserve">Conclusions</w:t>
      </w:r>
    </w:p>
    <w:p>
      <w:pPr>
        <w:pStyle w:val="Compact"/>
        <w:numPr>
          <w:ilvl w:val="0"/>
          <w:numId w:val="1002"/>
        </w:numPr>
      </w:pPr>
      <w:r>
        <w:t xml:space="preserve">H-01 exists in both Bull and Bear markets.</w:t>
      </w:r>
    </w:p>
    <w:p>
      <w:pPr>
        <w:pStyle w:val="Compact"/>
        <w:numPr>
          <w:ilvl w:val="0"/>
          <w:numId w:val="1002"/>
        </w:numPr>
      </w:pPr>
      <w:r>
        <w:t xml:space="preserve">Positive mean reversion remains statistically significant in both regimes.</w:t>
      </w:r>
    </w:p>
    <w:p>
      <w:pPr>
        <w:pStyle w:val="Compact"/>
        <w:numPr>
          <w:ilvl w:val="0"/>
          <w:numId w:val="1002"/>
        </w:numPr>
      </w:pPr>
      <w:r>
        <w:t xml:space="preserve">The effect appears stronger during Bull markets.</w:t>
      </w:r>
    </w:p>
    <w:p>
      <w:pPr>
        <w:pStyle w:val="Compact"/>
        <w:numPr>
          <w:ilvl w:val="0"/>
          <w:numId w:val="1002"/>
        </w:numPr>
      </w:pPr>
      <w:r>
        <w:t xml:space="preserve">However, the difference between Bull and Bear regimes is not statistically significant at the 5% level.</w:t>
      </w:r>
    </w:p>
    <w:p>
      <w:pPr>
        <w:pStyle w:val="Compact"/>
        <w:numPr>
          <w:ilvl w:val="0"/>
          <w:numId w:val="1002"/>
        </w:numPr>
      </w:pPr>
      <w:r>
        <w:t xml:space="preserve">Therefore, current evidence suggests that H-01 is likely a structural feature of BTC market behavior rather than a phenomenon specific to one market cycle.</w:t>
      </w:r>
    </w:p>
    <w:bookmarkEnd w:id="28"/>
    <w:bookmarkStart w:id="29" w:name="updated-hypothesis"/>
    <w:p>
      <w:pPr>
        <w:pStyle w:val="Heading2"/>
      </w:pPr>
      <w:r>
        <w:t xml:space="preserve">Updated Hypothesis</w:t>
      </w:r>
    </w:p>
    <w:p>
      <w:pPr>
        <w:pStyle w:val="FirstParagraph"/>
      </w:pPr>
      <w:r>
        <w:t xml:space="preserve">H-01:</w:t>
      </w:r>
    </w:p>
    <w:p>
      <w:pPr>
        <w:pStyle w:val="BodyText"/>
      </w:pPr>
      <w:r>
        <w:t xml:space="preserve">Extreme negative shocks occurring during the highest volatility regime are followed by statistically significant positive mean reversion over the next approximately 30 minutes.</w:t>
      </w:r>
    </w:p>
    <w:p>
      <w:pPr>
        <w:pStyle w:val="BodyText"/>
      </w:pPr>
      <w:r>
        <w:t xml:space="preserve">This effect is observed in both Bull and Bear markets and appears to be structurally persistent.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2026-06-24T11:05:27Z</dcterms:created>
  <dcterms:modified xsi:type="dcterms:W3CDTF">2026-06-24T11:05:27Z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