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hase-2.7-temporal-robustness-analysis"/>
    <w:p>
      <w:pPr>
        <w:pStyle w:val="Heading1"/>
      </w:pPr>
      <w:r>
        <w:t xml:space="preserve">Phase 2.7 — Temporal Robustness Analysis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Evaluate whether H-01 is stable across different temporal dimensions and determine whether the observed edge represents a structural characteristic of Bitcoin market behavior or merely a historical artifact.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h-01-definition"/>
    <w:p>
      <w:pPr>
        <w:pStyle w:val="Heading1"/>
      </w:pPr>
      <w:r>
        <w:t xml:space="preserve">H-01 Definition</w:t>
      </w:r>
    </w:p>
    <w:p>
      <w:pPr>
        <w:pStyle w:val="FirstParagraph"/>
      </w:pPr>
      <w:r>
        <w:t xml:space="preserve">Extreme Negative Shock (bottom 1% of returns)</w:t>
      </w:r>
    </w:p>
    <w:p>
      <w:pPr>
        <w:pStyle w:val="FirstParagraph"/>
      </w:pPr>
      <w:r>
        <w:t xml:space="preserve">Highest Volatility Regime (regime = 2)</w:t>
      </w:r>
    </w:p>
    <w:p>
      <w:pPr>
        <w:pStyle w:val="BodyText"/>
      </w:pPr>
      <w:r>
        <w:t xml:space="preserve">Prediction Horizon:</w:t>
      </w:r>
    </w:p>
    <w:p>
      <w:pPr>
        <w:pStyle w:val="BodyText"/>
      </w:pPr>
      <w:r>
        <w:t xml:space="preserve">FWD6 (≈30 minutes)</w:t>
      </w:r>
    </w:p>
    <w:p>
      <w:r>
        <w:pict>
          <v:rect style="width:0;height:1.5pt" o:hralign="center" o:hrstd="t" o:hr="t"/>
        </w:pict>
      </w:r>
    </w:p>
    <w:bookmarkEnd w:id="22"/>
    <w:bookmarkStart w:id="29" w:name="phase-2.7a-intraday-session-stability"/>
    <w:p>
      <w:pPr>
        <w:pStyle w:val="Heading1"/>
      </w:pPr>
      <w:r>
        <w:t xml:space="preserve">Phase 2.7a — Intraday Session Stability</w:t>
      </w:r>
    </w:p>
    <w:bookmarkStart w:id="23" w:name="session-definitions"/>
    <w:p>
      <w:pPr>
        <w:pStyle w:val="Heading2"/>
      </w:pPr>
      <w:r>
        <w:t xml:space="preserve">Session Definitions</w:t>
      </w:r>
    </w:p>
    <w:p>
      <w:pPr>
        <w:pStyle w:val="Compact"/>
        <w:numPr>
          <w:ilvl w:val="0"/>
          <w:numId w:val="1002"/>
        </w:numPr>
      </w:pPr>
      <w:r>
        <w:t xml:space="preserve">Asia: 00:00–08:00 UTC</w:t>
      </w:r>
    </w:p>
    <w:p>
      <w:pPr>
        <w:pStyle w:val="Compact"/>
        <w:numPr>
          <w:ilvl w:val="0"/>
          <w:numId w:val="1002"/>
        </w:numPr>
      </w:pPr>
      <w:r>
        <w:t xml:space="preserve">Europe: 08:00–16:00 UTC</w:t>
      </w:r>
    </w:p>
    <w:p>
      <w:pPr>
        <w:pStyle w:val="Compact"/>
        <w:numPr>
          <w:ilvl w:val="0"/>
          <w:numId w:val="1002"/>
        </w:numPr>
      </w:pPr>
      <w:r>
        <w:t xml:space="preserve">US: 16:00–24:00 UTC</w:t>
      </w:r>
    </w:p>
    <w:bookmarkEnd w:id="23"/>
    <w:bookmarkStart w:id="28" w:name="results"/>
    <w:p>
      <w:pPr>
        <w:pStyle w:val="Heading2"/>
      </w:pPr>
      <w:r>
        <w:t xml:space="preserve">Results</w:t>
      </w:r>
    </w:p>
    <w:bookmarkStart w:id="24" w:name="asia"/>
    <w:p>
      <w:pPr>
        <w:pStyle w:val="Heading3"/>
      </w:pPr>
      <w:r>
        <w:t xml:space="preserve">Asia</w:t>
      </w:r>
    </w:p>
    <w:p>
      <w:pPr>
        <w:pStyle w:val="FirstParagraph"/>
      </w:pPr>
      <w:r>
        <w:t xml:space="preserve">n = 1389</w:t>
      </w:r>
    </w:p>
    <w:p>
      <w:pPr>
        <w:pStyle w:val="BodyText"/>
      </w:pPr>
      <w:r>
        <w:t xml:space="preserve">Mean FWD6 = +0.1521%</w:t>
      </w:r>
    </w:p>
    <w:p>
      <w:pPr>
        <w:pStyle w:val="BodyText"/>
      </w:pPr>
      <w:r>
        <w:t xml:space="preserve">Hit Rate = 56.4%</w:t>
      </w:r>
    </w:p>
    <w:p>
      <w:pPr>
        <w:pStyle w:val="BodyText"/>
      </w:pPr>
      <w:r>
        <w:t xml:space="preserve">p-value = 0.0032</w:t>
      </w:r>
    </w:p>
    <w:bookmarkEnd w:id="24"/>
    <w:bookmarkStart w:id="25" w:name="europe"/>
    <w:p>
      <w:pPr>
        <w:pStyle w:val="Heading3"/>
      </w:pPr>
      <w:r>
        <w:t xml:space="preserve">Europe</w:t>
      </w:r>
    </w:p>
    <w:p>
      <w:pPr>
        <w:pStyle w:val="FirstParagraph"/>
      </w:pPr>
      <w:r>
        <w:t xml:space="preserve">n = 1882</w:t>
      </w:r>
    </w:p>
    <w:p>
      <w:pPr>
        <w:pStyle w:val="BodyText"/>
      </w:pPr>
      <w:r>
        <w:t xml:space="preserve">Mean FWD6 = +0.1684%</w:t>
      </w:r>
    </w:p>
    <w:p>
      <w:pPr>
        <w:pStyle w:val="BodyText"/>
      </w:pPr>
      <w:r>
        <w:t xml:space="preserve">Hit Rate = 57.2%</w:t>
      </w:r>
    </w:p>
    <w:p>
      <w:pPr>
        <w:pStyle w:val="BodyText"/>
      </w:pPr>
      <w:r>
        <w:t xml:space="preserve">p-value = 4.70×10⁻⁶</w:t>
      </w:r>
    </w:p>
    <w:bookmarkEnd w:id="25"/>
    <w:bookmarkStart w:id="26" w:name="us"/>
    <w:p>
      <w:pPr>
        <w:pStyle w:val="Heading3"/>
      </w:pPr>
      <w:r>
        <w:t xml:space="preserve">US</w:t>
      </w:r>
    </w:p>
    <w:p>
      <w:pPr>
        <w:pStyle w:val="FirstParagraph"/>
      </w:pPr>
      <w:r>
        <w:t xml:space="preserve">n = 2093</w:t>
      </w:r>
    </w:p>
    <w:p>
      <w:pPr>
        <w:pStyle w:val="BodyText"/>
      </w:pPr>
      <w:r>
        <w:t xml:space="preserve">Mean FWD6 = +0.1457%</w:t>
      </w:r>
    </w:p>
    <w:p>
      <w:pPr>
        <w:pStyle w:val="BodyText"/>
      </w:pPr>
      <w:r>
        <w:t xml:space="preserve">Hit Rate = 58.7%</w:t>
      </w:r>
    </w:p>
    <w:p>
      <w:pPr>
        <w:pStyle w:val="BodyText"/>
      </w:pPr>
      <w:r>
        <w:t xml:space="preserve">p-value = 1.26×10⁻⁵</w:t>
      </w:r>
    </w:p>
    <w:p>
      <w:pPr>
        <w:pStyle w:val="BodyText"/>
      </w:pPr>
      <w:r>
        <w:t xml:space="preserve">ANOVA:</w:t>
      </w:r>
    </w:p>
    <w:p>
      <w:pPr>
        <w:pStyle w:val="BodyText"/>
      </w:pPr>
      <w:r>
        <w:t xml:space="preserve">p-value = 0.908</w:t>
      </w:r>
    </w:p>
    <w:bookmarkEnd w:id="26"/>
    <w:bookmarkStart w:id="27" w:name="conclusion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No statistically significant differences were observed among major trading sessions.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1" w:name="phase-2.7b-yearly-stability"/>
    <w:p>
      <w:pPr>
        <w:pStyle w:val="Heading1"/>
      </w:pPr>
      <w:r>
        <w:t xml:space="preserve">Phase 2.7b — Yearly Stability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FWD6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+0.052%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+0.079%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+0.268%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+0.064%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+0.159%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59.9%</w:t>
            </w:r>
          </w:p>
        </w:tc>
      </w:tr>
    </w:tbl>
    <w:p>
      <w:pPr>
        <w:pStyle w:val="BodyText"/>
      </w:pPr>
      <w:r>
        <w:t xml:space="preserve">ANOVA:</w:t>
      </w:r>
    </w:p>
    <w:p>
      <w:pPr>
        <w:pStyle w:val="BodyText"/>
      </w:pPr>
      <w:r>
        <w:t xml:space="preserve">p-value = 0.0029</w:t>
      </w:r>
    </w:p>
    <w:bookmarkStart w:id="30" w:name="conclusion-1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The strength of H-01 varied across years.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hase-2.7c-macro-cycle-stability"/>
    <w:p>
      <w:pPr>
        <w:pStyle w:val="Heading1"/>
      </w:pPr>
      <w:r>
        <w:t xml:space="preserve">Phase 2.7c — Macro Cycle Stability</w:t>
      </w:r>
    </w:p>
    <w:bookmarkStart w:id="33" w:name="cycle-definitions"/>
    <w:p>
      <w:pPr>
        <w:pStyle w:val="Heading2"/>
      </w:pPr>
      <w:r>
        <w:t xml:space="preserve">Cycle Definitions</w:t>
      </w:r>
    </w:p>
    <w:p>
      <w:pPr>
        <w:pStyle w:val="Compact"/>
        <w:numPr>
          <w:ilvl w:val="0"/>
          <w:numId w:val="1003"/>
        </w:numPr>
      </w:pPr>
      <w:r>
        <w:t xml:space="preserve">Pre-Covid</w:t>
      </w:r>
    </w:p>
    <w:p>
      <w:pPr>
        <w:pStyle w:val="Compact"/>
        <w:numPr>
          <w:ilvl w:val="0"/>
          <w:numId w:val="1003"/>
        </w:numPr>
      </w:pPr>
      <w:r>
        <w:t xml:space="preserve">Covid Bull</w:t>
      </w:r>
    </w:p>
    <w:p>
      <w:pPr>
        <w:pStyle w:val="Compact"/>
        <w:numPr>
          <w:ilvl w:val="0"/>
          <w:numId w:val="1003"/>
        </w:numPr>
      </w:pPr>
      <w:r>
        <w:t xml:space="preserve">Bear Market</w:t>
      </w:r>
    </w:p>
    <w:p>
      <w:pPr>
        <w:pStyle w:val="Compact"/>
        <w:numPr>
          <w:ilvl w:val="0"/>
          <w:numId w:val="1003"/>
        </w:numPr>
      </w:pPr>
      <w:r>
        <w:t xml:space="preserve">ETF Era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Cycle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FWD6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Pre-Covid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+0.053%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Covid Bull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+0.217%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 Market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+0.062%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 Era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60.1%</w:t>
            </w:r>
          </w:p>
        </w:tc>
      </w:tr>
    </w:tbl>
    <w:p>
      <w:pPr>
        <w:pStyle w:val="BodyText"/>
      </w:pPr>
      <w:r>
        <w:t xml:space="preserve">ANOVA:</w:t>
      </w:r>
    </w:p>
    <w:p>
      <w:pPr>
        <w:pStyle w:val="BodyText"/>
      </w:pPr>
      <w:r>
        <w:t xml:space="preserve">p-value = 0.0147</w:t>
      </w:r>
    </w:p>
    <w:bookmarkStart w:id="32" w:name="conclusion-2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H-01 is regime dependent and exhibits different strengths across macro market cycles.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6" w:name="phase-2.7d-rolling-stability"/>
    <w:p>
      <w:pPr>
        <w:pStyle w:val="Heading1"/>
      </w:pPr>
      <w:r>
        <w:t xml:space="preserve">Phase 2.7d — Rolling Stability</w:t>
      </w:r>
    </w:p>
    <w:p>
      <w:pPr>
        <w:pStyle w:val="FirstParagraph"/>
      </w:pPr>
      <w:r>
        <w:t xml:space="preserve">12-month rolling window with 3-month step.</w:t>
      </w:r>
    </w:p>
    <w:bookmarkStart w:id="35" w:name="findings"/>
    <w:p>
      <w:pPr>
        <w:pStyle w:val="Heading2"/>
      </w:pPr>
      <w:r>
        <w:t xml:space="preserve">Findings</w:t>
      </w:r>
    </w:p>
    <w:p>
      <w:pPr>
        <w:pStyle w:val="Compact"/>
        <w:numPr>
          <w:ilvl w:val="0"/>
          <w:numId w:val="1004"/>
        </w:numPr>
      </w:pPr>
      <w:r>
        <w:t xml:space="preserve">Weak edge during 2019–early 2020.</w:t>
      </w:r>
    </w:p>
    <w:p>
      <w:pPr>
        <w:pStyle w:val="Compact"/>
        <w:numPr>
          <w:ilvl w:val="0"/>
          <w:numId w:val="1004"/>
        </w:numPr>
      </w:pPr>
      <w:r>
        <w:t xml:space="preserve">Strong plateau during 2020–2021.</w:t>
      </w:r>
    </w:p>
    <w:p>
      <w:pPr>
        <w:pStyle w:val="Compact"/>
        <w:numPr>
          <w:ilvl w:val="0"/>
          <w:numId w:val="1004"/>
        </w:numPr>
      </w:pPr>
      <w:r>
        <w:t xml:space="preserve">Gradual weakening throughout 2022.</w:t>
      </w:r>
    </w:p>
    <w:p>
      <w:pPr>
        <w:pStyle w:val="Compact"/>
        <w:numPr>
          <w:ilvl w:val="0"/>
          <w:numId w:val="1004"/>
        </w:numPr>
      </w:pPr>
      <w:r>
        <w:t xml:space="preserve">Partial recovery during 2023–2024.</w:t>
      </w:r>
    </w:p>
    <w:p>
      <w:pPr>
        <w:pStyle w:val="FirstParagraph"/>
      </w:pPr>
      <w:r>
        <w:t xml:space="preserve">The changes were continuous rather than abrupt, indicating that regime effects are not artifacts of arbitrary calendar boundaries.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f58990f819c2f79016d54aa7046ad02f8d79586"/>
    <w:p>
      <w:pPr>
        <w:pStyle w:val="Heading1"/>
      </w:pPr>
      <w:r>
        <w:t xml:space="preserve">Phase 2.7e — Volatility-Normalized Analysis</w:t>
      </w:r>
    </w:p>
    <w:p>
      <w:pPr>
        <w:pStyle w:val="FirstParagraph"/>
      </w:pPr>
      <w:r>
        <w:t xml:space="preserve">Normalized Return:</w:t>
      </w:r>
    </w:p>
    <w:p>
      <w:pPr>
        <w:pStyle w:val="BodyText"/>
      </w:pPr>
      <w:r>
        <w:t xml:space="preserve">norm_fwd_6 = fwd_6 / rolling_vol</w:t>
      </w:r>
    </w:p>
    <w:bookmarkStart w:id="38" w:name="findings-1"/>
    <w:p>
      <w:pPr>
        <w:pStyle w:val="Heading2"/>
      </w:pPr>
      <w:r>
        <w:t xml:space="preserve">Findings</w:t>
      </w:r>
    </w:p>
    <w:p>
      <w:pPr>
        <w:pStyle w:val="FirstParagraph"/>
      </w:pPr>
      <w:r>
        <w:t xml:space="preserve">The temporal pattern observed in raw returns remained largely unchanged after volatility normalization.</w:t>
      </w:r>
    </w:p>
    <w:bookmarkStart w:id="37" w:name="conclusion-3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Changes in H-01 strength cannot be explained solely by changes in market volatility.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3" w:name="Xf26796f297c91badcb2c15384c7e9bb3dfc00b4"/>
    <w:p>
      <w:pPr>
        <w:pStyle w:val="Heading1"/>
      </w:pPr>
      <w:r>
        <w:t xml:space="preserve">Phase 2.7f — Chronological Out-of-Sample Test</w:t>
      </w:r>
    </w:p>
    <w:bookmarkStart w:id="40" w:name="train-set"/>
    <w:p>
      <w:pPr>
        <w:pStyle w:val="Heading2"/>
      </w:pPr>
      <w:r>
        <w:t xml:space="preserve">Train Set</w:t>
      </w:r>
    </w:p>
    <w:p>
      <w:pPr>
        <w:pStyle w:val="FirstParagraph"/>
      </w:pPr>
      <w:r>
        <w:t xml:space="preserve">2019–2022</w:t>
      </w:r>
    </w:p>
    <w:p>
      <w:pPr>
        <w:pStyle w:val="BodyText"/>
      </w:pPr>
      <w:r>
        <w:t xml:space="preserve">n = 3751</w:t>
      </w:r>
    </w:p>
    <w:p>
      <w:pPr>
        <w:pStyle w:val="BodyText"/>
      </w:pPr>
      <w:r>
        <w:t xml:space="preserve">Mean FWD6 = +0.163%</w:t>
      </w:r>
    </w:p>
    <w:p>
      <w:pPr>
        <w:pStyle w:val="BodyText"/>
      </w:pPr>
      <w:r>
        <w:t xml:space="preserve">Hit Rate = 57.0%</w:t>
      </w:r>
    </w:p>
    <w:p>
      <w:pPr>
        <w:pStyle w:val="BodyText"/>
      </w:pPr>
      <w:r>
        <w:t xml:space="preserve">p-value = 6.86×10⁻⁸</w:t>
      </w:r>
    </w:p>
    <w:bookmarkEnd w:id="40"/>
    <w:bookmarkStart w:id="42" w:name="test-set"/>
    <w:p>
      <w:pPr>
        <w:pStyle w:val="Heading2"/>
      </w:pPr>
      <w:r>
        <w:t xml:space="preserve">Test Set</w:t>
      </w:r>
    </w:p>
    <w:p>
      <w:pPr>
        <w:pStyle w:val="FirstParagraph"/>
      </w:pPr>
      <w:r>
        <w:t xml:space="preserve">2023–2024</w:t>
      </w:r>
    </w:p>
    <w:p>
      <w:pPr>
        <w:pStyle w:val="BodyText"/>
      </w:pPr>
      <w:r>
        <w:t xml:space="preserve">n = 415</w:t>
      </w:r>
    </w:p>
    <w:p>
      <w:pPr>
        <w:pStyle w:val="BodyText"/>
      </w:pPr>
      <w:r>
        <w:t xml:space="preserve">Mean FWD6 = +0.128%</w:t>
      </w:r>
    </w:p>
    <w:p>
      <w:pPr>
        <w:pStyle w:val="BodyText"/>
      </w:pPr>
      <w:r>
        <w:t xml:space="preserve">Hit Rate = 59.3%</w:t>
      </w:r>
    </w:p>
    <w:p>
      <w:pPr>
        <w:pStyle w:val="BodyText"/>
      </w:pPr>
      <w:r>
        <w:t xml:space="preserve">p-value = 0.028</w:t>
      </w:r>
    </w:p>
    <w:p>
      <w:pPr>
        <w:pStyle w:val="BodyText"/>
      </w:pPr>
      <w:r>
        <w:t xml:space="preserve">Shock threshold learned from Train:</w:t>
      </w:r>
    </w:p>
    <w:p>
      <w:pPr>
        <w:pStyle w:val="BodyText"/>
      </w:pPr>
      <w:r>
        <w:t xml:space="preserve">-0.6525%</w:t>
      </w:r>
    </w:p>
    <w:bookmarkStart w:id="41" w:name="conclusion-4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H-01 remained statistically significant out-of-sample without parameter adjustment.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4" w:name="overall-conclusions"/>
    <w:p>
      <w:pPr>
        <w:pStyle w:val="Heading1"/>
      </w:pPr>
      <w:r>
        <w:t xml:space="preserve">Overall Conclusions</w:t>
      </w:r>
    </w:p>
    <w:p>
      <w:pPr>
        <w:numPr>
          <w:ilvl w:val="0"/>
          <w:numId w:val="1005"/>
        </w:numPr>
      </w:pPr>
      <w:r>
        <w:t xml:space="preserve">H-01 is stable across major trading sessions.</w:t>
      </w:r>
    </w:p>
    <w:p>
      <w:pPr>
        <w:numPr>
          <w:ilvl w:val="0"/>
          <w:numId w:val="1005"/>
        </w:numPr>
      </w:pPr>
      <w:r>
        <w:t xml:space="preserve">The strength of H-01 varies over time and across macro market regimes.</w:t>
      </w:r>
    </w:p>
    <w:p>
      <w:pPr>
        <w:numPr>
          <w:ilvl w:val="0"/>
          <w:numId w:val="1005"/>
        </w:numPr>
      </w:pPr>
      <w:r>
        <w:t xml:space="preserve">Temporal differences are not solely explained by changes in volatility.</w:t>
      </w:r>
    </w:p>
    <w:p>
      <w:pPr>
        <w:numPr>
          <w:ilvl w:val="0"/>
          <w:numId w:val="1005"/>
        </w:numPr>
      </w:pPr>
      <w:r>
        <w:t xml:space="preserve">Rolling-window analysis suggests gradual regime-dependent variations rather than abrupt structural breaks.</w:t>
      </w:r>
    </w:p>
    <w:p>
      <w:pPr>
        <w:numPr>
          <w:ilvl w:val="0"/>
          <w:numId w:val="1005"/>
        </w:numPr>
      </w:pPr>
      <w:r>
        <w:t xml:space="preserve">Out-of-sample testing confirms that H-01 is not merely a historical artifact.</w:t>
      </w:r>
    </w:p>
    <w:p>
      <w:r>
        <w:pict>
          <v:rect style="width:0;height:1.5pt" o:hralign="center" o:hrstd="t" o:hr="t"/>
        </w:pict>
      </w:r>
    </w:p>
    <w:bookmarkEnd w:id="44"/>
    <w:bookmarkStart w:id="45" w:name="updated-hypothesis"/>
    <w:p>
      <w:pPr>
        <w:pStyle w:val="Heading1"/>
      </w:pPr>
      <w:r>
        <w:t xml:space="preserve">Updated Hypothesis</w:t>
      </w:r>
    </w:p>
    <w:p>
      <w:pPr>
        <w:pStyle w:val="FirstParagraph"/>
      </w:pPr>
      <w:r>
        <w:t xml:space="preserve">Extreme negative shocks occurring during the highest volatility regime are followed by statistically significant positive mean reversion over approximately the next 30 minutes.</w:t>
      </w:r>
    </w:p>
    <w:p>
      <w:pPr>
        <w:pStyle w:val="BodyText"/>
      </w:pPr>
      <w:r>
        <w:t xml:space="preserve">The strength of this effect varies across market regimes, but the phenomenon persists out-of-sample and therefore appears to represent a genuine and potentially exploitable statistical feature of Bitcoin market behavior.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2026-06-24T11:34:59Z</dcterms:created>
  <dcterms:modified xsi:type="dcterms:W3CDTF">2026-06-24T11:34:59Z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