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2.5-conditional-structure-analysis"/>
    <w:p>
      <w:pPr>
        <w:pStyle w:val="Heading1"/>
      </w:pPr>
      <w:r>
        <w:t xml:space="preserve">Phase 2.5 — Conditional Structure Analysis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Investigate whether statistical structure in BTCUSDT 5-minute returns is regime-dependent and identify potential conditional edges.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hase-2.5.1-acf-by-volatility-regime"/>
    <w:p>
      <w:pPr>
        <w:pStyle w:val="Heading1"/>
      </w:pPr>
      <w:r>
        <w:t xml:space="preserve">Phase 2.5.1 — ACF by Volatility Regime</w:t>
      </w:r>
    </w:p>
    <w:bookmarkStart w:id="22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Return autocorrelation is slightly negative in all volatility regimes.</w:t>
      </w:r>
    </w:p>
    <w:p>
      <w:pPr>
        <w:pStyle w:val="BodyText"/>
      </w:pPr>
      <w:r>
        <w:t xml:space="preserve">Lag-1 autocorrelation:</w:t>
      </w:r>
    </w:p>
    <w:p>
      <w:pPr>
        <w:pStyle w:val="Compact"/>
        <w:numPr>
          <w:ilvl w:val="0"/>
          <w:numId w:val="1001"/>
        </w:numPr>
      </w:pPr>
      <w:r>
        <w:t xml:space="preserve">Low Vol: -0.0297</w:t>
      </w:r>
    </w:p>
    <w:p>
      <w:pPr>
        <w:pStyle w:val="Compact"/>
        <w:numPr>
          <w:ilvl w:val="0"/>
          <w:numId w:val="1001"/>
        </w:numPr>
      </w:pPr>
      <w:r>
        <w:t xml:space="preserve">Mid Vol: -0.0201</w:t>
      </w:r>
    </w:p>
    <w:p>
      <w:pPr>
        <w:pStyle w:val="Compact"/>
        <w:numPr>
          <w:ilvl w:val="0"/>
          <w:numId w:val="1001"/>
        </w:numPr>
      </w:pPr>
      <w:r>
        <w:t xml:space="preserve">High Vol: -0.0375</w:t>
      </w:r>
    </w:p>
    <w:p>
      <w:pPr>
        <w:pStyle w:val="FirstParagraph"/>
      </w:pPr>
      <w:r>
        <w:t xml:space="preserve">The strongest anti-persistence appears in High Vol regimes.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.5.2-multi-lag-mean-reversion"/>
    <w:p>
      <w:pPr>
        <w:pStyle w:val="Heading1"/>
      </w:pPr>
      <w:r>
        <w:t xml:space="preserve">Phase 2.5.2 — Multi-Lag Mean Reversion</w:t>
      </w:r>
    </w:p>
    <w:p>
      <w:pPr>
        <w:pStyle w:val="FirstParagraph"/>
      </w:pPr>
      <w:r>
        <w:t xml:space="preserve">Sign reversal probabilities:</w:t>
      </w:r>
    </w:p>
    <w:bookmarkStart w:id="24" w:name="low-vol"/>
    <w:p>
      <w:pPr>
        <w:pStyle w:val="Heading3"/>
      </w:pPr>
      <w:r>
        <w:t xml:space="preserve">Low Vol</w:t>
      </w:r>
    </w:p>
    <w:p>
      <w:pPr>
        <w:pStyle w:val="Compact"/>
        <w:numPr>
          <w:ilvl w:val="0"/>
          <w:numId w:val="1002"/>
        </w:numPr>
      </w:pPr>
      <w:r>
        <w:t xml:space="preserve">Lag1: 51.7%</w:t>
      </w:r>
    </w:p>
    <w:p>
      <w:pPr>
        <w:pStyle w:val="Compact"/>
        <w:numPr>
          <w:ilvl w:val="0"/>
          <w:numId w:val="1002"/>
        </w:numPr>
      </w:pPr>
      <w:r>
        <w:t xml:space="preserve">Lag2: 51.3%</w:t>
      </w:r>
    </w:p>
    <w:p>
      <w:pPr>
        <w:pStyle w:val="Compact"/>
        <w:numPr>
          <w:ilvl w:val="0"/>
          <w:numId w:val="1002"/>
        </w:numPr>
      </w:pPr>
      <w:r>
        <w:t xml:space="preserve">Lag3: 50.8%</w:t>
      </w:r>
    </w:p>
    <w:bookmarkEnd w:id="24"/>
    <w:bookmarkStart w:id="25" w:name="mid-vol"/>
    <w:p>
      <w:pPr>
        <w:pStyle w:val="Heading3"/>
      </w:pPr>
      <w:r>
        <w:t xml:space="preserve">Mid Vol</w:t>
      </w:r>
    </w:p>
    <w:p>
      <w:pPr>
        <w:pStyle w:val="Compact"/>
        <w:numPr>
          <w:ilvl w:val="0"/>
          <w:numId w:val="1003"/>
        </w:numPr>
      </w:pPr>
      <w:r>
        <w:t xml:space="preserve">Lag1: 52.2%</w:t>
      </w:r>
    </w:p>
    <w:p>
      <w:pPr>
        <w:pStyle w:val="Compact"/>
        <w:numPr>
          <w:ilvl w:val="0"/>
          <w:numId w:val="1003"/>
        </w:numPr>
      </w:pPr>
      <w:r>
        <w:t xml:space="preserve">Lag2: 51.4%</w:t>
      </w:r>
    </w:p>
    <w:p>
      <w:pPr>
        <w:pStyle w:val="Compact"/>
        <w:numPr>
          <w:ilvl w:val="0"/>
          <w:numId w:val="1003"/>
        </w:numPr>
      </w:pPr>
      <w:r>
        <w:t xml:space="preserve">Lag3: 50.7%</w:t>
      </w:r>
    </w:p>
    <w:bookmarkEnd w:id="25"/>
    <w:bookmarkStart w:id="26" w:name="high-vol"/>
    <w:p>
      <w:pPr>
        <w:pStyle w:val="Heading3"/>
      </w:pPr>
      <w:r>
        <w:t xml:space="preserve">High Vol</w:t>
      </w:r>
    </w:p>
    <w:p>
      <w:pPr>
        <w:pStyle w:val="Compact"/>
        <w:numPr>
          <w:ilvl w:val="0"/>
          <w:numId w:val="1004"/>
        </w:numPr>
      </w:pPr>
      <w:r>
        <w:t xml:space="preserve">Lag1: 52.3%</w:t>
      </w:r>
    </w:p>
    <w:p>
      <w:pPr>
        <w:pStyle w:val="Compact"/>
        <w:numPr>
          <w:ilvl w:val="0"/>
          <w:numId w:val="1004"/>
        </w:numPr>
      </w:pPr>
      <w:r>
        <w:t xml:space="preserve">Lag2: 51.7%</w:t>
      </w:r>
    </w:p>
    <w:p>
      <w:pPr>
        <w:pStyle w:val="Compact"/>
        <w:numPr>
          <w:ilvl w:val="0"/>
          <w:numId w:val="1004"/>
        </w:numPr>
      </w:pPr>
      <w:r>
        <w:t xml:space="preserve">Lag3: 50.6%</w:t>
      </w:r>
    </w:p>
    <w:p>
      <w:pPr>
        <w:pStyle w:val="FirstParagraph"/>
      </w:pPr>
      <w:r>
        <w:t xml:space="preserve">Mean reversion persists beyond Lag1 but decays rapidly.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hase-2.5.32.5.4-transition-analysis"/>
    <w:p>
      <w:pPr>
        <w:pStyle w:val="Heading1"/>
      </w:pPr>
      <w:r>
        <w:t xml:space="preserve">Phase 2.5.3–2.5.4 — Transition Analysis</w:t>
      </w:r>
    </w:p>
    <w:p>
      <w:pPr>
        <w:pStyle w:val="FirstParagraph"/>
      </w:pPr>
      <w:r>
        <w:t xml:space="preserve">Transitions between volatility regimes show little evidence of persistent directional edge.</w:t>
      </w:r>
    </w:p>
    <w:p>
      <w:pPr>
        <w:pStyle w:val="BodyText"/>
      </w:pPr>
      <w:r>
        <w:t xml:space="preserve">Some weak effects were observed during volatility expansion, but most disappeared at longer horizons.</w:t>
      </w:r>
    </w:p>
    <w:p>
      <w:pPr>
        <w:pStyle w:val="BodyText"/>
      </w:pPr>
      <w:r>
        <w:t xml:space="preserve">Conclusion:</w:t>
      </w:r>
    </w:p>
    <w:p>
      <w:pPr>
        <w:pStyle w:val="BodyText"/>
      </w:pPr>
      <w:r>
        <w:t xml:space="preserve">No robust transition-based edge was detected.</w:t>
      </w:r>
    </w:p>
    <w:p>
      <w:r>
        <w:pict>
          <v:rect style="width:0;height:1.5pt" o:hralign="center" o:hrstd="t" o:hr="t"/>
        </w:pict>
      </w:r>
    </w:p>
    <w:bookmarkEnd w:id="28"/>
    <w:bookmarkStart w:id="29" w:name="phase-2.5.5-asymmetry-analysis"/>
    <w:p>
      <w:pPr>
        <w:pStyle w:val="Heading1"/>
      </w:pPr>
      <w:r>
        <w:t xml:space="preserve">Phase 2.5.5 — Asymmetry Analysis</w:t>
      </w:r>
    </w:p>
    <w:p>
      <w:pPr>
        <w:pStyle w:val="FirstParagraph"/>
      </w:pPr>
      <w:r>
        <w:t xml:space="preserve">Large negative returns are followed by positive future returns.</w:t>
      </w:r>
    </w:p>
    <w:p>
      <w:pPr>
        <w:pStyle w:val="BodyText"/>
      </w:pPr>
      <w:r>
        <w:t xml:space="preserve">Large positive returns are followed by mild negative future returns.</w:t>
      </w:r>
    </w:p>
    <w:p>
      <w:pPr>
        <w:pStyle w:val="BodyText"/>
      </w:pPr>
      <w:r>
        <w:t xml:space="preserve">Mean reversion exists and persists up to 6 bars.</w:t>
      </w:r>
    </w:p>
    <w:p>
      <w:r>
        <w:pict>
          <v:rect style="width:0;height:1.5pt" o:hralign="center" o:hrstd="t" o:hr="t"/>
        </w:pict>
      </w:r>
    </w:p>
    <w:bookmarkEnd w:id="29"/>
    <w:bookmarkStart w:id="30" w:name="phase-2.5.6-magnitude-dependence"/>
    <w:p>
      <w:pPr>
        <w:pStyle w:val="Heading1"/>
      </w:pPr>
      <w:r>
        <w:t xml:space="preserve">Phase 2.5.6 — Magnitude Dependence</w:t>
      </w:r>
    </w:p>
    <w:p>
      <w:pPr>
        <w:pStyle w:val="FirstParagraph"/>
      </w:pPr>
      <w:r>
        <w:t xml:space="preserve">Larger shocks tend to produce stronger subsequent reversals.</w:t>
      </w:r>
    </w:p>
    <w:p>
      <w:pPr>
        <w:pStyle w:val="BodyText"/>
      </w:pPr>
      <w:r>
        <w:t xml:space="preserve">The strongest effects are concentrated in the largest return observations.</w:t>
      </w:r>
    </w:p>
    <w:p>
      <w:r>
        <w:pict>
          <v:rect style="width:0;height:1.5pt" o:hralign="center" o:hrstd="t" o:hr="t"/>
        </w:pict>
      </w:r>
    </w:p>
    <w:bookmarkEnd w:id="30"/>
    <w:bookmarkStart w:id="31" w:name="X5c10d666356ef7c9106fc0d7e54717226723d1d"/>
    <w:p>
      <w:pPr>
        <w:pStyle w:val="Heading1"/>
      </w:pPr>
      <w:r>
        <w:t xml:space="preserve">Phase 2.5.7 — Extreme Positive vs Extreme Negative Shocks</w:t>
      </w:r>
    </w:p>
    <w:p>
      <w:pPr>
        <w:pStyle w:val="FirstParagraph"/>
      </w:pPr>
      <w:r>
        <w:t xml:space="preserve">Extreme positive shocks showed little evidence of predictable reversal.</w:t>
      </w:r>
    </w:p>
    <w:p>
      <w:pPr>
        <w:pStyle w:val="BodyText"/>
      </w:pPr>
      <w:r>
        <w:t xml:space="preserve">Extreme negative shocks displayed statistically significant positive mean reversion.</w:t>
      </w:r>
    </w:p>
    <w:p>
      <w:pPr>
        <w:pStyle w:val="BodyText"/>
      </w:pPr>
      <w:r>
        <w:t xml:space="preserve">This revealed clear asymmetry.</w:t>
      </w:r>
    </w:p>
    <w:p>
      <w:r>
        <w:pict>
          <v:rect style="width:0;height:1.5pt" o:hralign="center" o:hrstd="t" o:hr="t"/>
        </w:pict>
      </w:r>
    </w:p>
    <w:bookmarkEnd w:id="31"/>
    <w:bookmarkStart w:id="32" w:name="X4d3d72792276a58ed19568b4ed7aece2b3a1f26"/>
    <w:p>
      <w:pPr>
        <w:pStyle w:val="Heading1"/>
      </w:pPr>
      <w:r>
        <w:t xml:space="preserve">Phase 2.5.8 — Regime-conditioned Extreme Negative Shocks</w:t>
      </w:r>
    </w:p>
    <w:p>
      <w:pPr>
        <w:pStyle w:val="FirstParagraph"/>
      </w:pPr>
      <w:r>
        <w:t xml:space="preserve">Among 6313 extreme negative shocks:</w:t>
      </w:r>
    </w:p>
    <w:p>
      <w:pPr>
        <w:pStyle w:val="Compact"/>
        <w:numPr>
          <w:ilvl w:val="0"/>
          <w:numId w:val="1005"/>
        </w:numPr>
      </w:pPr>
      <w:r>
        <w:t xml:space="preserve">Low Vol: 126</w:t>
      </w:r>
    </w:p>
    <w:p>
      <w:pPr>
        <w:pStyle w:val="Compact"/>
        <w:numPr>
          <w:ilvl w:val="0"/>
          <w:numId w:val="1005"/>
        </w:numPr>
      </w:pPr>
      <w:r>
        <w:t xml:space="preserve">Mid Vol: 823</w:t>
      </w:r>
    </w:p>
    <w:p>
      <w:pPr>
        <w:pStyle w:val="Compact"/>
        <w:numPr>
          <w:ilvl w:val="0"/>
          <w:numId w:val="1005"/>
        </w:numPr>
      </w:pPr>
      <w:r>
        <w:t xml:space="preserve">High Vol: 5364</w:t>
      </w:r>
    </w:p>
    <w:p>
      <w:pPr>
        <w:pStyle w:val="FirstParagraph"/>
      </w:pPr>
      <w:r>
        <w:t xml:space="preserve">Strong positive mean reversion was almost entirely concentrated in High Vol regimes.</w:t>
      </w:r>
    </w:p>
    <w:p>
      <w:pPr>
        <w:pStyle w:val="BodyText"/>
      </w:pPr>
      <w:r>
        <w:t xml:space="preserve">High Vol + Extreme Negative Shock:</w:t>
      </w:r>
    </w:p>
    <w:p>
      <w:pPr>
        <w:pStyle w:val="BodyText"/>
      </w:pPr>
      <w:r>
        <w:t xml:space="preserve">FWD6 ≈ +0.155%</w:t>
      </w:r>
    </w:p>
    <w:p>
      <w:r>
        <w:pict>
          <v:rect style="width:0;height:1.5pt" o:hralign="center" o:hrstd="t" o:hr="t"/>
        </w:pict>
      </w:r>
    </w:p>
    <w:bookmarkEnd w:id="32"/>
    <w:bookmarkStart w:id="33" w:name="phase-2.5.9-distribution-robustness"/>
    <w:p>
      <w:pPr>
        <w:pStyle w:val="Heading1"/>
      </w:pPr>
      <w:r>
        <w:t xml:space="preserve">Phase 2.5.9 — Distribution Robustness</w:t>
      </w:r>
    </w:p>
    <w:p>
      <w:pPr>
        <w:pStyle w:val="FirstParagraph"/>
      </w:pPr>
      <w:r>
        <w:t xml:space="preserve">Subset:</w:t>
      </w:r>
    </w:p>
    <w:p>
      <w:pPr>
        <w:pStyle w:val="BodyText"/>
      </w:pPr>
      <w:r>
        <w:t xml:space="preserve">Extreme Negative Shock (1%)</w:t>
      </w:r>
    </w:p>
    <w:p>
      <w:pPr>
        <w:pStyle w:val="Compact"/>
        <w:numPr>
          <w:ilvl w:val="0"/>
          <w:numId w:val="1006"/>
        </w:numPr>
      </w:pPr>
      <w:r>
        <w:t xml:space="preserve">High Vol Regime</w:t>
      </w:r>
    </w:p>
    <w:p>
      <w:pPr>
        <w:pStyle w:val="FirstParagraph"/>
      </w:pPr>
      <w:r>
        <w:t xml:space="preserve">Sample size:</w:t>
      </w:r>
    </w:p>
    <w:p>
      <w:pPr>
        <w:pStyle w:val="BodyText"/>
      </w:pPr>
      <w:r>
        <w:t xml:space="preserve">5364 observations</w:t>
      </w:r>
    </w:p>
    <w:p>
      <w:pPr>
        <w:pStyle w:val="BodyText"/>
      </w:pPr>
      <w:r>
        <w:t xml:space="preserve">Results:</w:t>
      </w:r>
    </w:p>
    <w:p>
      <w:pPr>
        <w:pStyle w:val="Compact"/>
        <w:numPr>
          <w:ilvl w:val="0"/>
          <w:numId w:val="1007"/>
        </w:numPr>
      </w:pPr>
      <w:r>
        <w:t xml:space="preserve">Mean FWD6 = +0.155%</w:t>
      </w:r>
    </w:p>
    <w:p>
      <w:pPr>
        <w:pStyle w:val="Compact"/>
        <w:numPr>
          <w:ilvl w:val="0"/>
          <w:numId w:val="1007"/>
        </w:numPr>
      </w:pPr>
      <w:r>
        <w:t xml:space="preserve">Median FWD6 = +0.193%</w:t>
      </w:r>
    </w:p>
    <w:p>
      <w:pPr>
        <w:pStyle w:val="Compact"/>
        <w:numPr>
          <w:ilvl w:val="0"/>
          <w:numId w:val="1007"/>
        </w:numPr>
      </w:pPr>
      <w:r>
        <w:t xml:space="preserve">Hit Rate = 57.6%</w:t>
      </w:r>
    </w:p>
    <w:p>
      <w:pPr>
        <w:pStyle w:val="Compact"/>
        <w:numPr>
          <w:ilvl w:val="0"/>
          <w:numId w:val="1007"/>
        </w:numPr>
      </w:pPr>
      <w:r>
        <w:t xml:space="preserve">t-stat = 6.87</w:t>
      </w:r>
    </w:p>
    <w:p>
      <w:pPr>
        <w:pStyle w:val="FirstParagraph"/>
      </w:pPr>
      <w:r>
        <w:t xml:space="preserve">Median exceeded mean, indicating that the effect is not driven by a few outliers.</w:t>
      </w:r>
    </w:p>
    <w:p>
      <w:r>
        <w:pict>
          <v:rect style="width:0;height:1.5pt" o:hralign="center" o:hrstd="t" o:hr="t"/>
        </w:pict>
      </w:r>
    </w:p>
    <w:bookmarkEnd w:id="33"/>
    <w:bookmarkStart w:id="34" w:name="main-conclusions"/>
    <w:p>
      <w:pPr>
        <w:pStyle w:val="Heading1"/>
      </w:pPr>
      <w:r>
        <w:t xml:space="preserve">Main Conclusions</w:t>
      </w:r>
    </w:p>
    <w:p>
      <w:pPr>
        <w:pStyle w:val="FirstParagraph"/>
      </w:pPr>
      <w:r>
        <w:t xml:space="preserve">BTCUSDT 5-minute returns are not perfectly memoryless.</w:t>
      </w:r>
    </w:p>
    <w:p>
      <w:pPr>
        <w:pStyle w:val="BodyText"/>
      </w:pPr>
      <w:r>
        <w:t xml:space="preserve">Volatility clustering is strong.</w:t>
      </w:r>
    </w:p>
    <w:p>
      <w:pPr>
        <w:pStyle w:val="BodyText"/>
      </w:pPr>
      <w:r>
        <w:t xml:space="preserve">Short-term mean reversion exists.</w:t>
      </w:r>
    </w:p>
    <w:p>
      <w:pPr>
        <w:pStyle w:val="BodyText"/>
      </w:pPr>
      <w:r>
        <w:t xml:space="preserve">Mean reversion is asymmetric.</w:t>
      </w:r>
    </w:p>
    <w:p>
      <w:pPr>
        <w:pStyle w:val="BodyText"/>
      </w:pPr>
      <w:r>
        <w:t xml:space="preserve">The strongest reversals occur after extreme negative shocks.</w:t>
      </w:r>
    </w:p>
    <w:p>
      <w:pPr>
        <w:pStyle w:val="BodyText"/>
      </w:pPr>
      <w:r>
        <w:t xml:space="preserve">These reversals are concentrated in high-volatility regimes.</w:t>
      </w:r>
    </w:p>
    <w:p>
      <w:r>
        <w:pict>
          <v:rect style="width:0;height:1.5pt" o:hralign="center" o:hrstd="t" o:hr="t"/>
        </w:pict>
      </w:r>
    </w:p>
    <w:bookmarkEnd w:id="34"/>
    <w:bookmarkStart w:id="35" w:name="hypothesis-h-01"/>
    <w:p>
      <w:pPr>
        <w:pStyle w:val="Heading1"/>
      </w:pPr>
      <w:r>
        <w:t xml:space="preserve">Hypothesis H-01</w:t>
      </w:r>
    </w:p>
    <w:p>
      <w:pPr>
        <w:pStyle w:val="FirstParagraph"/>
      </w:pPr>
      <w:r>
        <w:t xml:space="preserve">In BTCUSDT 5-minute data, extreme negative shocks occurring during high-volatility regimes are followed by statistically significant positive mean reversion over the next ~30 minutes.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8"/>
        </w:numPr>
      </w:pPr>
      <w:r>
        <w:t xml:space="preserve">~5364 observations</w:t>
      </w:r>
    </w:p>
    <w:p>
      <w:pPr>
        <w:pStyle w:val="Compact"/>
        <w:numPr>
          <w:ilvl w:val="0"/>
          <w:numId w:val="1008"/>
        </w:numPr>
      </w:pPr>
      <w:r>
        <w:t xml:space="preserve">Mean FWD6 ≈ +0.155%</w:t>
      </w:r>
    </w:p>
    <w:p>
      <w:pPr>
        <w:pStyle w:val="Compact"/>
        <w:numPr>
          <w:ilvl w:val="0"/>
          <w:numId w:val="1008"/>
        </w:numPr>
      </w:pPr>
      <w:r>
        <w:t xml:space="preserve">Median FWD6 ≈ +0.193%</w:t>
      </w:r>
    </w:p>
    <w:p>
      <w:pPr>
        <w:pStyle w:val="Compact"/>
        <w:numPr>
          <w:ilvl w:val="0"/>
          <w:numId w:val="1008"/>
        </w:numPr>
      </w:pPr>
      <w:r>
        <w:t xml:space="preserve">Hit Rate ≈ 57.6%</w:t>
      </w:r>
    </w:p>
    <w:p>
      <w:pPr>
        <w:pStyle w:val="Compact"/>
        <w:numPr>
          <w:ilvl w:val="0"/>
          <w:numId w:val="1008"/>
        </w:numPr>
      </w:pPr>
      <w:r>
        <w:t xml:space="preserve">t-stat ≈ 6.87</w:t>
      </w:r>
    </w:p>
    <w:p>
      <w:pPr>
        <w:pStyle w:val="FirstParagraph"/>
      </w:pPr>
      <w:r>
        <w:t xml:space="preserve">H-01 is the first statistically robust conditional hypothesis identified by the BTC Research Lab.</w:t>
      </w:r>
    </w:p>
    <w:p>
      <w:pPr>
        <w:pStyle w:val="BodyText"/>
      </w:pPr>
      <w:r>
        <w:t xml:space="preserve">Future validation:</w:t>
      </w:r>
    </w:p>
    <w:p>
      <w:pPr>
        <w:pStyle w:val="Compact"/>
        <w:numPr>
          <w:ilvl w:val="0"/>
          <w:numId w:val="1009"/>
        </w:numPr>
      </w:pPr>
      <w:r>
        <w:t xml:space="preserve">Macro regime segmentation (Bull / Bear / Sideways)</w:t>
      </w:r>
    </w:p>
    <w:p>
      <w:pPr>
        <w:pStyle w:val="Compact"/>
        <w:numPr>
          <w:ilvl w:val="0"/>
          <w:numId w:val="1009"/>
        </w:numPr>
      </w:pPr>
      <w:r>
        <w:t xml:space="preserve">Time stability analysis</w:t>
      </w:r>
    </w:p>
    <w:p>
      <w:pPr>
        <w:pStyle w:val="Compact"/>
        <w:numPr>
          <w:ilvl w:val="0"/>
          <w:numId w:val="1009"/>
        </w:numPr>
      </w:pPr>
      <w:r>
        <w:t xml:space="preserve">Out-of-sample testing</w:t>
      </w:r>
    </w:p>
    <w:p>
      <w:pPr>
        <w:pStyle w:val="Compact"/>
        <w:numPr>
          <w:ilvl w:val="0"/>
          <w:numId w:val="1009"/>
        </w:numPr>
      </w:pPr>
      <w:r>
        <w:t xml:space="preserve">Transaction cost analysis</w:t>
      </w:r>
    </w:p>
    <w:p>
      <w:pPr>
        <w:pStyle w:val="Compact"/>
        <w:numPr>
          <w:ilvl w:val="0"/>
          <w:numId w:val="1009"/>
        </w:numPr>
      </w:pPr>
      <w:r>
        <w:t xml:space="preserve">Walk-forward validation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2026-06-24T10:23:07Z</dcterms:created>
  <dcterms:modified xsi:type="dcterms:W3CDTF">2026-06-24T10:23:07Z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