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header1.xml.rels" ContentType="application/vnd.openxmlformats-package.relationships+xml"/>
  <Override PartName="/word/_rels/header2.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header2.xml" ContentType="application/vnd.openxmlformats-officedocument.wordprocessingml.header+xml"/>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spacing w:lineRule="auto" w:line="240" w:before="0" w:after="200"/>
        <w:rPr>
          <w:sz w:val="32"/>
          <w:szCs w:val="32"/>
        </w:rPr>
      </w:pPr>
      <w:r>
        <w:rPr/>
      </w:r>
    </w:p>
    <w:p>
      <w:pPr>
        <w:pStyle w:val="Title"/>
        <w:ind w:left="0" w:hanging="0"/>
        <w:jc w:val="center"/>
        <w:rPr>
          <w:b/>
          <w:b/>
        </w:rPr>
      </w:pPr>
      <w:r>
        <w:rPr>
          <w:b/>
        </w:rPr>
      </w:r>
      <w:bookmarkStart w:id="0" w:name="_6uso9x2vula7"/>
      <w:bookmarkStart w:id="1" w:name="_6uso9x2vula7"/>
      <w:bookmarkEnd w:id="1"/>
    </w:p>
    <w:p>
      <w:pPr>
        <w:pStyle w:val="Title"/>
        <w:ind w:left="0" w:hanging="0"/>
        <w:jc w:val="center"/>
        <w:rPr>
          <w:b/>
          <w:b/>
        </w:rPr>
      </w:pPr>
      <w:r>
        <w:rPr>
          <w:b/>
        </w:rPr>
      </w:r>
      <w:bookmarkStart w:id="2" w:name="_uqbrced3uabq"/>
      <w:bookmarkStart w:id="3" w:name="_uqbrced3uabq"/>
      <w:bookmarkEnd w:id="3"/>
    </w:p>
    <w:p>
      <w:pPr>
        <w:pStyle w:val="Title"/>
        <w:ind w:left="0" w:hanging="0"/>
        <w:jc w:val="center"/>
        <w:rPr>
          <w:b/>
          <w:b/>
        </w:rPr>
      </w:pPr>
      <w:r>
        <w:rPr>
          <w:b/>
        </w:rPr>
      </w:r>
      <w:bookmarkStart w:id="4" w:name="_8mxcmjrjxwzr"/>
      <w:bookmarkStart w:id="5" w:name="_8mxcmjrjxwzr"/>
      <w:bookmarkEnd w:id="5"/>
    </w:p>
    <w:p>
      <w:pPr>
        <w:pStyle w:val="Title"/>
        <w:ind w:left="0" w:hanging="0"/>
        <w:jc w:val="center"/>
        <w:rPr>
          <w:b/>
          <w:b/>
        </w:rPr>
      </w:pPr>
      <w:r>
        <w:rPr>
          <w:b/>
        </w:rPr>
      </w:r>
      <w:bookmarkStart w:id="6" w:name="_m25u0r56f9xd"/>
      <w:bookmarkStart w:id="7" w:name="_m25u0r56f9xd"/>
      <w:bookmarkEnd w:id="7"/>
    </w:p>
    <w:p>
      <w:pPr>
        <w:pStyle w:val="Title"/>
        <w:ind w:left="0" w:hanging="0"/>
        <w:jc w:val="center"/>
        <w:rPr>
          <w:b/>
          <w:b/>
        </w:rPr>
      </w:pPr>
      <w:r>
        <w:rPr>
          <w:b/>
        </w:rPr>
      </w:r>
      <w:bookmarkStart w:id="8" w:name="_g9n2yw220p5p"/>
      <w:bookmarkStart w:id="9" w:name="_g9n2yw220p5p"/>
      <w:bookmarkEnd w:id="9"/>
    </w:p>
    <w:p>
      <w:pPr>
        <w:pStyle w:val="Title"/>
        <w:ind w:left="0" w:hanging="0"/>
        <w:jc w:val="center"/>
        <w:rPr>
          <w:b/>
          <w:b/>
        </w:rPr>
      </w:pPr>
      <w:r>
        <w:rPr>
          <w:b/>
        </w:rPr>
      </w:r>
      <w:bookmarkStart w:id="10" w:name="_sm1d0xgo9qr1"/>
      <w:bookmarkStart w:id="11" w:name="_sm1d0xgo9qr1"/>
      <w:bookmarkEnd w:id="11"/>
    </w:p>
    <w:p>
      <w:pPr>
        <w:pStyle w:val="Title"/>
        <w:ind w:left="0" w:hanging="0"/>
        <w:jc w:val="center"/>
        <w:rPr>
          <w:b/>
          <w:b/>
          <w:i/>
          <w:i/>
          <w:highlight w:val="yellow"/>
        </w:rPr>
      </w:pPr>
      <w:bookmarkStart w:id="12" w:name="_sack9n9chsci"/>
      <w:bookmarkEnd w:id="12"/>
      <w:r>
        <w:rPr>
          <w:b/>
        </w:rPr>
        <w:t xml:space="preserve">&lt;Your </w:t>
      </w:r>
      <w:r>
        <w:rPr>
          <w:b/>
          <w:highlight w:val="yellow"/>
        </w:rPr>
        <w:t>Company Logo</w:t>
      </w:r>
      <w:r>
        <w:rPr>
          <w:b/>
        </w:rPr>
        <w:t>&gt;</w:t>
      </w:r>
    </w:p>
    <w:p>
      <w:pPr>
        <w:pStyle w:val="Title"/>
        <w:spacing w:lineRule="auto" w:line="276"/>
        <w:ind w:left="0" w:hanging="0"/>
        <w:jc w:val="center"/>
        <w:rPr>
          <w:b/>
          <w:b/>
        </w:rPr>
      </w:pPr>
      <w:bookmarkStart w:id="13" w:name="_3dy6vkm"/>
      <w:bookmarkEnd w:id="13"/>
      <w:r>
        <w:rPr>
          <w:b/>
          <w:color w:val="FF9900"/>
        </w:rPr>
        <w:t>Encryption Policy</w:t>
      </w:r>
      <w:r>
        <w:br w:type="page"/>
      </w:r>
    </w:p>
    <w:p>
      <w:pPr>
        <w:pStyle w:val="Heading1"/>
        <w:spacing w:lineRule="auto" w:line="276" w:before="0" w:after="200"/>
        <w:jc w:val="both"/>
        <w:rPr>
          <w:b/>
          <w:b/>
          <w:color w:val="4A86E8"/>
        </w:rPr>
      </w:pPr>
      <w:bookmarkStart w:id="14" w:name="_arxqdy8knprl"/>
      <w:bookmarkEnd w:id="14"/>
      <w:r>
        <w:rPr>
          <w:b/>
          <w:i/>
          <w:color w:val="4A86E8"/>
        </w:rPr>
        <w:t>Version Control Table</w:t>
      </w:r>
    </w:p>
    <w:tbl>
      <w:tblPr>
        <w:tblStyle w:val="Table2"/>
        <w:tblW w:w="9375" w:type="dxa"/>
        <w:jc w:val="left"/>
        <w:tblInd w:w="0" w:type="dxa"/>
        <w:tblLayout w:type="fixed"/>
        <w:tblCellMar>
          <w:top w:w="100" w:type="dxa"/>
          <w:left w:w="100" w:type="dxa"/>
          <w:bottom w:w="100" w:type="dxa"/>
          <w:right w:w="100" w:type="dxa"/>
        </w:tblCellMar>
        <w:tblLook w:val="0600"/>
      </w:tblPr>
      <w:tblGrid>
        <w:gridCol w:w="990"/>
        <w:gridCol w:w="2400"/>
        <w:gridCol w:w="2820"/>
        <w:gridCol w:w="3164"/>
      </w:tblGrid>
      <w:tr>
        <w:trPr/>
        <w:tc>
          <w:tcPr>
            <w:tcW w:w="99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Version</w:t>
            </w:r>
          </w:p>
        </w:tc>
        <w:tc>
          <w:tcPr>
            <w:tcW w:w="240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Date</w:t>
            </w:r>
          </w:p>
        </w:tc>
        <w:tc>
          <w:tcPr>
            <w:tcW w:w="2820"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Author</w:t>
            </w:r>
          </w:p>
        </w:tc>
        <w:tc>
          <w:tcPr>
            <w:tcW w:w="3164" w:type="dxa"/>
            <w:tcBorders>
              <w:top w:val="single" w:sz="8" w:space="0" w:color="000000"/>
              <w:left w:val="single" w:sz="8" w:space="0" w:color="000000"/>
              <w:bottom w:val="single" w:sz="8" w:space="0" w:color="000000"/>
              <w:right w:val="single" w:sz="8" w:space="0" w:color="000000"/>
            </w:tcBorders>
            <w:shd w:fill="000000" w:val="clear"/>
          </w:tcPr>
          <w:p>
            <w:pPr>
              <w:pStyle w:val="Normal1"/>
              <w:widowControl w:val="false"/>
              <w:spacing w:lineRule="auto" w:line="240"/>
              <w:rPr>
                <w:color w:val="FFFFFF"/>
                <w:highlight w:val="black"/>
              </w:rPr>
            </w:pPr>
            <w:r>
              <w:rPr>
                <w:color w:val="FFFFFF"/>
                <w:highlight w:val="black"/>
              </w:rPr>
              <w:t>Description</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Issued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Reviewed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pPr>
            <w:r>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pPr>
            <w:r>
              <w:rPr/>
              <w:t>Approved</w:t>
            </w:r>
          </w:p>
        </w:tc>
      </w:tr>
      <w:tr>
        <w:trPr/>
        <w:tc>
          <w:tcPr>
            <w:tcW w:w="990" w:type="dxa"/>
            <w:tcBorders>
              <w:top w:val="single" w:sz="8" w:space="0" w:color="000000"/>
              <w:left w:val="single" w:sz="8" w:space="0" w:color="000000"/>
              <w:bottom w:val="single" w:sz="8" w:space="0" w:color="000000"/>
              <w:right w:val="single" w:sz="8" w:space="0" w:color="000000"/>
            </w:tcBorders>
            <w:shd w:fill="FF8800" w:val="clear"/>
          </w:tcPr>
          <w:p>
            <w:pPr>
              <w:pStyle w:val="Normal1"/>
              <w:widowControl w:val="false"/>
              <w:spacing w:lineRule="auto" w:line="240"/>
              <w:rPr>
                <w:b/>
                <w:b/>
              </w:rPr>
            </w:pPr>
            <w:r>
              <w:rPr>
                <w:b/>
              </w:rPr>
              <w:t>1.0</w:t>
            </w:r>
          </w:p>
        </w:tc>
        <w:tc>
          <w:tcPr>
            <w:tcW w:w="240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&lt;Date&gt;</w:t>
            </w:r>
          </w:p>
        </w:tc>
        <w:tc>
          <w:tcPr>
            <w:tcW w:w="282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highlight w:val="yellow"/>
              </w:rPr>
            </w:pPr>
            <w:r>
              <w:rPr>
                <w:highlight w:val="yellow"/>
              </w:rPr>
              <w:t>&lt;Author&gt;</w:t>
            </w:r>
          </w:p>
        </w:tc>
        <w:tc>
          <w:tcPr>
            <w:tcW w:w="3164"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Granted “FINAL” status</w:t>
            </w:r>
          </w:p>
        </w:tc>
      </w:tr>
    </w:tbl>
    <w:p>
      <w:pPr>
        <w:pStyle w:val="Normal1"/>
        <w:spacing w:lineRule="auto" w:line="276"/>
        <w:rPr/>
      </w:pPr>
      <w:r>
        <w:rPr/>
      </w:r>
    </w:p>
    <w:tbl>
      <w:tblPr>
        <w:tblStyle w:val="Table3"/>
        <w:tblW w:w="9360" w:type="dxa"/>
        <w:jc w:val="left"/>
        <w:tblInd w:w="0" w:type="dxa"/>
        <w:tblLayout w:type="fixed"/>
        <w:tblCellMar>
          <w:top w:w="100" w:type="dxa"/>
          <w:left w:w="100" w:type="dxa"/>
          <w:bottom w:w="100" w:type="dxa"/>
          <w:right w:w="100" w:type="dxa"/>
        </w:tblCellMar>
        <w:tblLook w:val="0600"/>
      </w:tblPr>
      <w:tblGrid>
        <w:gridCol w:w="4680"/>
        <w:gridCol w:w="4679"/>
      </w:tblGrid>
      <w:tr>
        <w:trPr/>
        <w:tc>
          <w:tcPr>
            <w:tcW w:w="4680"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rPr>
            </w:pPr>
            <w:r>
              <w:rPr>
                <w:b/>
              </w:rPr>
              <w:t>Date of Next Revision</w:t>
            </w:r>
          </w:p>
        </w:tc>
        <w:tc>
          <w:tcPr>
            <w:tcW w:w="4679" w:type="dxa"/>
            <w:tcBorders>
              <w:top w:val="single" w:sz="8" w:space="0" w:color="000000"/>
              <w:left w:val="single" w:sz="8" w:space="0" w:color="000000"/>
              <w:bottom w:val="single" w:sz="8" w:space="0" w:color="000000"/>
              <w:right w:val="single" w:sz="8" w:space="0" w:color="000000"/>
            </w:tcBorders>
            <w:shd w:fill="auto" w:val="clear"/>
          </w:tcPr>
          <w:p>
            <w:pPr>
              <w:pStyle w:val="Normal1"/>
              <w:widowControl w:val="false"/>
              <w:spacing w:lineRule="auto" w:line="240"/>
              <w:rPr>
                <w:b/>
                <w:b/>
                <w:color w:val="CC0000"/>
              </w:rPr>
            </w:pPr>
            <w:r>
              <w:rPr>
                <w:b/>
                <w:color w:val="CC0000"/>
              </w:rPr>
              <w:t>&lt;</w:t>
            </w:r>
            <w:r>
              <w:rPr>
                <w:b/>
                <w:color w:val="CC0000"/>
                <w:highlight w:val="yellow"/>
              </w:rPr>
              <w:t>date</w:t>
            </w:r>
            <w:r>
              <w:rPr>
                <w:b/>
                <w:color w:val="CC0000"/>
              </w:rPr>
              <w:t>&gt;</w:t>
            </w:r>
          </w:p>
        </w:tc>
      </w:tr>
    </w:tbl>
    <w:p>
      <w:pPr>
        <w:pStyle w:val="Normal1"/>
        <w:spacing w:lineRule="auto" w:line="276"/>
        <w:rPr/>
      </w:pPr>
      <w:r>
        <w:rPr/>
      </w:r>
    </w:p>
    <w:p>
      <w:pPr>
        <w:pStyle w:val="Normal1"/>
        <w:spacing w:lineRule="auto" w:line="276"/>
        <w:rPr/>
      </w:pPr>
      <w:r>
        <w:rPr/>
        <w:t>This policy will be reviewed for continued completeness, relevance, and accuracy within 1 year of being granted “final” status and at yearly intervals after that.</w:t>
      </w:r>
    </w:p>
    <w:p>
      <w:pPr>
        <w:pStyle w:val="Normal1"/>
        <w:spacing w:lineRule="auto" w:line="276"/>
        <w:rPr/>
      </w:pPr>
      <w:r>
        <w:rPr/>
      </w:r>
    </w:p>
    <w:p>
      <w:pPr>
        <w:pStyle w:val="Normal1"/>
        <w:spacing w:lineRule="auto" w:line="276"/>
        <w:rPr/>
      </w:pPr>
      <w:r>
        <w:rPr/>
        <w:t>The version control table will show the published update date and provide a thumbnail of the significant change. CAUTION: the thumbnail is not intended to summarize the difference and is not a substitute for reading the full text.</w:t>
      </w:r>
    </w:p>
    <w:p>
      <w:pPr>
        <w:pStyle w:val="Normal1"/>
        <w:spacing w:lineRule="auto" w:line="276"/>
        <w:rPr/>
      </w:pPr>
      <w:r>
        <w:rPr/>
      </w:r>
    </w:p>
    <w:p>
      <w:pPr>
        <w:pStyle w:val="Heading1"/>
        <w:spacing w:lineRule="auto" w:line="276"/>
        <w:rPr>
          <w:sz w:val="34"/>
          <w:szCs w:val="34"/>
        </w:rPr>
      </w:pPr>
      <w:bookmarkStart w:id="15" w:name="_4d34og8"/>
      <w:bookmarkEnd w:id="15"/>
      <w:r>
        <w:rPr>
          <w:sz w:val="34"/>
          <w:szCs w:val="34"/>
        </w:rPr>
        <w:br/>
        <w:br/>
      </w:r>
      <w:r>
        <w:br w:type="page"/>
      </w:r>
    </w:p>
    <w:p>
      <w:pPr>
        <w:pStyle w:val="Heading1"/>
        <w:spacing w:lineRule="auto" w:line="276"/>
        <w:rPr>
          <w:color w:val="4A86E8"/>
        </w:rPr>
      </w:pPr>
      <w:bookmarkStart w:id="16" w:name="_2s8eyo1"/>
      <w:bookmarkEnd w:id="16"/>
      <w:r>
        <w:rPr>
          <w:b/>
          <w:i/>
          <w:color w:val="4A86E8"/>
        </w:rPr>
        <w:t>Table of Contents</w:t>
      </w:r>
    </w:p>
    <w:sdt>
      <w:sdtPr>
        <w:docPartObj>
          <w:docPartGallery w:val="Table of Contents"/>
          <w:docPartUnique w:val="true"/>
        </w:docPartObj>
      </w:sdtPr>
      <w:sdtContent>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r>
            <w:fldChar w:fldCharType="begin"/>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instrText xml:space="preserve"> TOC \z \o "1-9" \u \t "Heading 1,1,Heading 2,2,Heading 3,3,Heading 4,4,Heading 5,5,Heading 6,6" \h</w:instrText>
          </w:r>
          <w:r>
            <w:rPr>
              <w:webHidden/>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separate"/>
          </w:r>
          <w:hyperlink w:anchor="_htrkie77tuh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The Path to Compliance</w:t>
              <w:tab/>
              <w:t>1</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bor2nqthjwhg">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We'll guide you through, ensuring a smooth path to compliance:</w:t>
              <w:tab/>
              <w:t>1</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j1ad4z2lk78s">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Need Expert Assistance?</w:t>
              <w:tab/>
              <w:t>1</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arxqdy8knprl">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Version Control Table</w:t>
              <w:tab/>
              <w:t>3</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s8eyo1">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Table of Contents</w:t>
              <w:tab/>
              <w:t>4</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ksv4uv">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Purpose</w:t>
              <w:tab/>
              <w:t>5</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44sinio">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Scope</w:t>
              <w:tab/>
              <w:t>5</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jxsxqh">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Policy</w:t>
              <w:tab/>
              <w:t>5</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z337ya">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Encryption Strategy</w:t>
              <w:tab/>
              <w:t>5</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3j2qqm3">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Encryption of Data at Rest</w:t>
              <w:tab/>
              <w:t>5</w:t>
            </w:r>
          </w:hyperlink>
        </w:p>
        <w:p>
          <w:pPr>
            <w:pStyle w:val="Normal1"/>
            <w:widowControl w:val="false"/>
            <w:tabs>
              <w:tab w:val="clear" w:pos="720"/>
              <w:tab w:val="right" w:pos="12000" w:leader="none"/>
            </w:tabs>
            <w:spacing w:lineRule="auto" w:line="240" w:before="200" w:after="0"/>
            <w:ind w:left="360" w:hanging="0"/>
            <w:rPr>
              <w:rFonts w:ascii="Arial" w:hAnsi="Arial" w:eastAsia="Arial" w:cs="Arial"/>
              <w:b w:val="false"/>
              <w:b w:val="false"/>
              <w:i w:val="false"/>
              <w:i w:val="false"/>
              <w:caps w:val="false"/>
              <w:smallCaps w:val="false"/>
              <w:strike w:val="false"/>
              <w:dstrike w:val="false"/>
              <w:color w:val="000000"/>
              <w:position w:val="0"/>
              <w:sz w:val="22"/>
              <w:sz w:val="22"/>
              <w:szCs w:val="22"/>
              <w:u w:val="none"/>
              <w:shd w:fill="auto" w:val="clear"/>
              <w:vertAlign w:val="baseline"/>
            </w:rPr>
          </w:pPr>
          <w:hyperlink w:anchor="_1y810tw">
            <w:r>
              <w:rPr>
                <w:webHidden/>
                <w:rStyle w:val="IndexLink"/>
                <w:rFonts w:eastAsia="Arial" w:cs="Arial"/>
                <w:b w:val="false"/>
                <w:i w:val="false"/>
                <w:caps w:val="false"/>
                <w:smallCaps w:val="false"/>
                <w:strike w:val="false"/>
                <w:dstrike w:val="false"/>
                <w:color w:val="000000"/>
                <w:position w:val="0"/>
                <w:sz w:val="22"/>
                <w:sz w:val="22"/>
                <w:szCs w:val="22"/>
                <w:u w:val="none"/>
                <w:shd w:fill="auto" w:val="clear"/>
                <w:vertAlign w:val="baseline"/>
              </w:rPr>
              <w:t>Encryption Key Management</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4i7ojhp">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Disciplinary actions</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xcytpi">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Change, Review, and Update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1ci93xb">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Responsibility</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3whwml4">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Reference</w:t>
              <w:tab/>
              <w:t>6</w:t>
            </w:r>
          </w:hyperlink>
        </w:p>
        <w:p>
          <w:pPr>
            <w:pStyle w:val="Normal1"/>
            <w:widowControl w:val="false"/>
            <w:tabs>
              <w:tab w:val="clear" w:pos="720"/>
              <w:tab w:val="right" w:pos="12000" w:leader="none"/>
            </w:tabs>
            <w:spacing w:lineRule="auto" w:line="240" w:before="200" w:after="0"/>
            <w:rPr>
              <w:rFonts w:ascii="Arial" w:hAnsi="Arial" w:eastAsia="Arial" w:cs="Arial"/>
              <w:b/>
              <w:b/>
              <w:i w:val="false"/>
              <w:i w:val="false"/>
              <w:caps w:val="false"/>
              <w:smallCaps w:val="false"/>
              <w:strike w:val="false"/>
              <w:dstrike w:val="false"/>
              <w:color w:val="000000"/>
              <w:position w:val="0"/>
              <w:sz w:val="22"/>
              <w:sz w:val="22"/>
              <w:szCs w:val="22"/>
              <w:u w:val="none"/>
              <w:shd w:fill="auto" w:val="clear"/>
              <w:vertAlign w:val="baseline"/>
            </w:rPr>
          </w:pPr>
          <w:hyperlink w:anchor="_2bn6wsx">
            <w:r>
              <w:rPr>
                <w:webHidden/>
                <w:rStyle w:val="IndexLink"/>
                <w:rFonts w:eastAsia="Arial" w:cs="Arial"/>
                <w:b/>
                <w:i w:val="false"/>
                <w:caps w:val="false"/>
                <w:smallCaps w:val="false"/>
                <w:strike w:val="false"/>
                <w:dstrike w:val="false"/>
                <w:color w:val="000000"/>
                <w:position w:val="0"/>
                <w:sz w:val="22"/>
                <w:sz w:val="22"/>
                <w:szCs w:val="22"/>
                <w:u w:val="none"/>
                <w:shd w:fill="auto" w:val="clear"/>
                <w:vertAlign w:val="baseline"/>
              </w:rPr>
              <w:t>Related Documents</w:t>
              <w:tab/>
              <w:t>6</w:t>
            </w:r>
          </w:hyperlink>
          <w:r>
            <w:rPr>
              <w:rStyle w:val="IndexLink"/>
              <w:smallCaps w:val="false"/>
              <w:caps w:val="false"/>
              <w:dstrike w:val="false"/>
              <w:strike w:val="false"/>
              <w:vertAlign w:val="baseline"/>
              <w:position w:val="0"/>
              <w:sz w:val="22"/>
              <w:sz w:val="22"/>
              <w:i w:val="false"/>
              <w:u w:val="none"/>
              <w:b/>
              <w:shd w:fill="auto" w:val="clear"/>
              <w:szCs w:val="22"/>
              <w:rFonts w:eastAsia="Arial" w:cs="Arial"/>
              <w:color w:val="000000"/>
            </w:rPr>
            <w:fldChar w:fldCharType="end"/>
          </w:r>
        </w:p>
      </w:sdtContent>
    </w:sdt>
    <w:p>
      <w:pPr>
        <w:pStyle w:val="Heading1"/>
        <w:spacing w:lineRule="auto" w:line="276" w:before="0" w:after="200"/>
        <w:jc w:val="both"/>
        <w:rPr>
          <w:b/>
          <w:b/>
        </w:rPr>
      </w:pPr>
      <w:r>
        <w:rPr>
          <w:b/>
        </w:rPr>
      </w:r>
      <w:bookmarkStart w:id="17" w:name="_q6jzu1mht0lr"/>
      <w:bookmarkStart w:id="18" w:name="_q6jzu1mht0lr"/>
      <w:bookmarkEnd w:id="18"/>
      <w:r>
        <w:br w:type="page"/>
      </w:r>
    </w:p>
    <w:p>
      <w:pPr>
        <w:pStyle w:val="Heading1"/>
        <w:spacing w:lineRule="auto" w:line="276" w:before="0" w:after="200"/>
        <w:jc w:val="both"/>
        <w:rPr>
          <w:color w:val="4A86E8"/>
        </w:rPr>
      </w:pPr>
      <w:bookmarkStart w:id="19" w:name="_1ksv4uv"/>
      <w:bookmarkEnd w:id="19"/>
      <w:r>
        <w:rPr>
          <w:color w:val="4A86E8"/>
        </w:rPr>
        <w:t>Purpose</w:t>
      </w:r>
    </w:p>
    <w:p>
      <w:pPr>
        <w:pStyle w:val="Normal1"/>
        <w:spacing w:lineRule="auto" w:line="276" w:before="0" w:after="200"/>
        <w:jc w:val="both"/>
        <w:rPr/>
      </w:pPr>
      <w:r>
        <w:rPr/>
        <w:t>The purpose of this policy is to outline the &lt;</w:t>
      </w:r>
      <w:r>
        <w:rPr>
          <w:highlight w:val="yellow"/>
        </w:rPr>
        <w:t>Company</w:t>
      </w:r>
      <w:r>
        <w:rPr/>
        <w:t xml:space="preserve">&gt; standards for the use of encryption technology so that it is used securely and managed appropriately. </w:t>
      </w:r>
    </w:p>
    <w:p>
      <w:pPr>
        <w:pStyle w:val="Heading1"/>
        <w:spacing w:lineRule="auto" w:line="276" w:before="0" w:after="200"/>
        <w:jc w:val="both"/>
        <w:rPr>
          <w:color w:val="4A86E8"/>
        </w:rPr>
      </w:pPr>
      <w:bookmarkStart w:id="20" w:name="_44sinio"/>
      <w:bookmarkEnd w:id="20"/>
      <w:r>
        <w:rPr>
          <w:color w:val="4A86E8"/>
        </w:rPr>
        <w:t xml:space="preserve">Scope </w:t>
      </w:r>
    </w:p>
    <w:p>
      <w:pPr>
        <w:pStyle w:val="Normal1"/>
        <w:spacing w:lineRule="auto" w:line="276" w:before="0" w:after="200"/>
        <w:jc w:val="both"/>
        <w:rPr/>
      </w:pPr>
      <w:r>
        <w:rPr/>
        <w:t xml:space="preserve">This policy covers all data stored on or transmitted across corporate systems. </w:t>
      </w:r>
    </w:p>
    <w:p>
      <w:pPr>
        <w:pStyle w:val="Heading1"/>
        <w:spacing w:lineRule="auto" w:line="276" w:before="0" w:after="200"/>
        <w:jc w:val="both"/>
        <w:rPr>
          <w:color w:val="4A86E8"/>
        </w:rPr>
      </w:pPr>
      <w:bookmarkStart w:id="21" w:name="_2jxsxqh"/>
      <w:bookmarkEnd w:id="21"/>
      <w:r>
        <w:rPr>
          <w:color w:val="4A86E8"/>
        </w:rPr>
        <w:t xml:space="preserve">Policy </w:t>
      </w:r>
    </w:p>
    <w:p>
      <w:pPr>
        <w:pStyle w:val="Heading2"/>
        <w:spacing w:lineRule="auto" w:line="276" w:before="0" w:after="200"/>
        <w:jc w:val="both"/>
        <w:rPr/>
      </w:pPr>
      <w:bookmarkStart w:id="22" w:name="_z337ya"/>
      <w:bookmarkEnd w:id="22"/>
      <w:r>
        <w:rPr/>
        <w:t xml:space="preserve">Encryption Strategy </w:t>
      </w:r>
    </w:p>
    <w:p>
      <w:pPr>
        <w:pStyle w:val="Normal1"/>
        <w:spacing w:lineRule="auto" w:line="276" w:before="0" w:after="200"/>
        <w:jc w:val="both"/>
        <w:rPr/>
      </w:pPr>
      <w:r>
        <w:rPr/>
        <w:t>The following represents the &lt;</w:t>
      </w:r>
      <w:r>
        <w:rPr>
          <w:highlight w:val="yellow"/>
        </w:rPr>
        <w:t>Company</w:t>
      </w:r>
      <w:r>
        <w:rPr/>
        <w:t>&gt; encryption strategy:</w:t>
      </w:r>
    </w:p>
    <w:p>
      <w:pPr>
        <w:pStyle w:val="Normal1"/>
        <w:numPr>
          <w:ilvl w:val="0"/>
          <w:numId w:val="3"/>
        </w:numPr>
        <w:spacing w:lineRule="auto" w:line="276"/>
        <w:ind w:left="720" w:hanging="360"/>
        <w:jc w:val="both"/>
        <w:rPr>
          <w:sz w:val="22"/>
          <w:szCs w:val="22"/>
        </w:rPr>
      </w:pPr>
      <w:r>
        <w:rPr/>
        <w:t xml:space="preserve">If disk encryption is used, logical access should be managed independently of native operating system access control mechanisms. </w:t>
      </w:r>
    </w:p>
    <w:p>
      <w:pPr>
        <w:pStyle w:val="Normal1"/>
        <w:numPr>
          <w:ilvl w:val="0"/>
          <w:numId w:val="3"/>
        </w:numPr>
        <w:spacing w:lineRule="auto" w:line="276"/>
        <w:ind w:left="720" w:hanging="360"/>
        <w:jc w:val="both"/>
        <w:rPr>
          <w:sz w:val="22"/>
          <w:szCs w:val="22"/>
        </w:rPr>
      </w:pPr>
      <w:r>
        <w:rPr/>
        <w:t>All information must be encrypted by communication protocols such as HTTPS/TLS1.2 (or higher) when transmitted outside of our company.</w:t>
      </w:r>
    </w:p>
    <w:p>
      <w:pPr>
        <w:pStyle w:val="Normal1"/>
        <w:numPr>
          <w:ilvl w:val="0"/>
          <w:numId w:val="3"/>
        </w:numPr>
        <w:spacing w:lineRule="auto" w:line="276"/>
        <w:ind w:left="720" w:hanging="360"/>
        <w:jc w:val="both"/>
        <w:rPr>
          <w:sz w:val="22"/>
          <w:szCs w:val="22"/>
        </w:rPr>
      </w:pPr>
      <w:r>
        <w:rPr/>
        <w:t>Using only laptops and desktops that have encrypted hard drives.</w:t>
      </w:r>
    </w:p>
    <w:p>
      <w:pPr>
        <w:pStyle w:val="Normal1"/>
        <w:numPr>
          <w:ilvl w:val="0"/>
          <w:numId w:val="3"/>
        </w:numPr>
        <w:spacing w:lineRule="auto" w:line="276"/>
        <w:ind w:left="720" w:hanging="360"/>
        <w:jc w:val="both"/>
        <w:rPr>
          <w:sz w:val="22"/>
          <w:szCs w:val="22"/>
        </w:rPr>
      </w:pPr>
      <w:r>
        <w:rPr/>
        <w:t xml:space="preserve">Decryption keys should not be tied to user accounts. </w:t>
      </w:r>
    </w:p>
    <w:p>
      <w:pPr>
        <w:pStyle w:val="Normal1"/>
        <w:numPr>
          <w:ilvl w:val="0"/>
          <w:numId w:val="3"/>
        </w:numPr>
        <w:spacing w:lineRule="auto" w:line="276"/>
        <w:ind w:left="720" w:hanging="360"/>
        <w:jc w:val="both"/>
        <w:rPr>
          <w:sz w:val="22"/>
          <w:szCs w:val="22"/>
        </w:rPr>
      </w:pPr>
      <w:r>
        <w:rPr/>
        <w:t xml:space="preserve">Protect cryptographic keys used for encryption of confidential data against disclosure and misuse. </w:t>
      </w:r>
    </w:p>
    <w:p>
      <w:pPr>
        <w:pStyle w:val="Normal1"/>
        <w:numPr>
          <w:ilvl w:val="0"/>
          <w:numId w:val="3"/>
        </w:numPr>
        <w:spacing w:lineRule="auto" w:line="276"/>
        <w:ind w:left="720" w:hanging="360"/>
        <w:jc w:val="both"/>
        <w:rPr>
          <w:sz w:val="22"/>
          <w:szCs w:val="22"/>
        </w:rPr>
      </w:pPr>
      <w:r>
        <w:rPr/>
        <w:t xml:space="preserve">Restrict access to cryptographic keys to the fewest number of custodians necessary. </w:t>
      </w:r>
    </w:p>
    <w:p>
      <w:pPr>
        <w:pStyle w:val="Normal1"/>
        <w:numPr>
          <w:ilvl w:val="0"/>
          <w:numId w:val="3"/>
        </w:numPr>
        <w:spacing w:lineRule="auto" w:line="276"/>
        <w:ind w:left="720" w:hanging="360"/>
        <w:jc w:val="both"/>
        <w:rPr>
          <w:sz w:val="22"/>
          <w:szCs w:val="22"/>
        </w:rPr>
      </w:pPr>
      <w:r>
        <w:rPr/>
        <w:t xml:space="preserve">Store cryptographic keys securely in the fewest possible locations and forms. </w:t>
      </w:r>
    </w:p>
    <w:p>
      <w:pPr>
        <w:pStyle w:val="Normal1"/>
        <w:numPr>
          <w:ilvl w:val="0"/>
          <w:numId w:val="3"/>
        </w:numPr>
        <w:spacing w:lineRule="auto" w:line="276"/>
        <w:ind w:left="720" w:hanging="360"/>
        <w:jc w:val="both"/>
        <w:rPr>
          <w:sz w:val="22"/>
          <w:szCs w:val="22"/>
        </w:rPr>
      </w:pPr>
      <w:r>
        <w:rPr/>
        <w:t xml:space="preserve">Generate strong cryptographic keys to protect confidential data. </w:t>
      </w:r>
    </w:p>
    <w:p>
      <w:pPr>
        <w:pStyle w:val="Normal1"/>
        <w:numPr>
          <w:ilvl w:val="0"/>
          <w:numId w:val="3"/>
        </w:numPr>
        <w:spacing w:lineRule="auto" w:line="276"/>
        <w:ind w:left="720" w:hanging="360"/>
        <w:jc w:val="both"/>
        <w:rPr>
          <w:sz w:val="22"/>
          <w:szCs w:val="22"/>
        </w:rPr>
      </w:pPr>
      <w:r>
        <w:rPr/>
        <w:t xml:space="preserve">Secure cryptographic key distribution. </w:t>
      </w:r>
    </w:p>
    <w:p>
      <w:pPr>
        <w:pStyle w:val="Normal1"/>
        <w:numPr>
          <w:ilvl w:val="0"/>
          <w:numId w:val="3"/>
        </w:numPr>
        <w:spacing w:lineRule="auto" w:line="276"/>
        <w:ind w:left="720" w:hanging="360"/>
        <w:jc w:val="both"/>
        <w:rPr>
          <w:sz w:val="22"/>
          <w:szCs w:val="22"/>
        </w:rPr>
      </w:pPr>
      <w:r>
        <w:rPr/>
        <w:t xml:space="preserve">Secure cryptographic key storage. </w:t>
      </w:r>
    </w:p>
    <w:p>
      <w:pPr>
        <w:pStyle w:val="Normal1"/>
        <w:numPr>
          <w:ilvl w:val="0"/>
          <w:numId w:val="3"/>
        </w:numPr>
        <w:spacing w:lineRule="auto" w:line="276" w:before="0" w:after="200"/>
        <w:ind w:left="720" w:hanging="360"/>
        <w:jc w:val="both"/>
        <w:rPr>
          <w:sz w:val="22"/>
          <w:szCs w:val="22"/>
        </w:rPr>
      </w:pPr>
      <w:r>
        <w:rPr/>
        <w:t xml:space="preserve">Perform cryptographic key rotation periodically. </w:t>
      </w:r>
    </w:p>
    <w:p>
      <w:pPr>
        <w:pStyle w:val="Heading2"/>
        <w:spacing w:lineRule="auto" w:line="276" w:before="0" w:after="200"/>
        <w:jc w:val="both"/>
        <w:rPr/>
      </w:pPr>
      <w:bookmarkStart w:id="23" w:name="_3j2qqm3"/>
      <w:bookmarkEnd w:id="23"/>
      <w:r>
        <w:rPr/>
        <w:t xml:space="preserve">Encryption of Data at Rest </w:t>
      </w:r>
    </w:p>
    <w:p>
      <w:pPr>
        <w:pStyle w:val="Normal1"/>
        <w:spacing w:lineRule="auto" w:line="276" w:before="0" w:after="200"/>
        <w:jc w:val="both"/>
        <w:rPr/>
      </w:pPr>
      <w:r>
        <w:rPr/>
        <w:t xml:space="preserve">Encryption of data at rest is required to store confidential data, such as any data located on company-owned or company-provided systems, devices, media, etc. This includes the following options for stored data: </w:t>
      </w:r>
    </w:p>
    <w:p>
      <w:pPr>
        <w:pStyle w:val="Normal1"/>
        <w:numPr>
          <w:ilvl w:val="0"/>
          <w:numId w:val="1"/>
        </w:numPr>
        <w:spacing w:lineRule="auto" w:line="276"/>
        <w:ind w:left="720" w:hanging="360"/>
        <w:jc w:val="both"/>
        <w:rPr>
          <w:sz w:val="22"/>
          <w:szCs w:val="22"/>
        </w:rPr>
      </w:pPr>
      <w:r>
        <w:rPr/>
        <w:t xml:space="preserve">Whole disk encryption </w:t>
      </w:r>
    </w:p>
    <w:p>
      <w:pPr>
        <w:pStyle w:val="Normal1"/>
        <w:numPr>
          <w:ilvl w:val="0"/>
          <w:numId w:val="1"/>
        </w:numPr>
        <w:spacing w:lineRule="auto" w:line="276"/>
        <w:ind w:left="720" w:hanging="360"/>
        <w:jc w:val="both"/>
        <w:rPr>
          <w:sz w:val="22"/>
          <w:szCs w:val="22"/>
        </w:rPr>
      </w:pPr>
      <w:r>
        <w:rPr/>
        <w:t xml:space="preserve">Encryption of partitions/files </w:t>
      </w:r>
    </w:p>
    <w:p>
      <w:pPr>
        <w:pStyle w:val="Normal1"/>
        <w:numPr>
          <w:ilvl w:val="0"/>
          <w:numId w:val="1"/>
        </w:numPr>
        <w:spacing w:lineRule="auto" w:line="276"/>
        <w:ind w:left="720" w:hanging="360"/>
        <w:jc w:val="both"/>
        <w:rPr>
          <w:sz w:val="22"/>
          <w:szCs w:val="22"/>
        </w:rPr>
      </w:pPr>
      <w:r>
        <w:rPr/>
        <w:t xml:space="preserve">Encryption of disk drives </w:t>
      </w:r>
    </w:p>
    <w:p>
      <w:pPr>
        <w:pStyle w:val="Normal1"/>
        <w:numPr>
          <w:ilvl w:val="0"/>
          <w:numId w:val="1"/>
        </w:numPr>
        <w:spacing w:lineRule="auto" w:line="276"/>
        <w:ind w:left="720" w:hanging="360"/>
        <w:jc w:val="both"/>
        <w:rPr>
          <w:sz w:val="22"/>
          <w:szCs w:val="22"/>
        </w:rPr>
      </w:pPr>
      <w:r>
        <w:rPr/>
        <w:t xml:space="preserve">Encryption of backups </w:t>
      </w:r>
    </w:p>
    <w:p>
      <w:pPr>
        <w:pStyle w:val="Normal1"/>
        <w:numPr>
          <w:ilvl w:val="0"/>
          <w:numId w:val="1"/>
        </w:numPr>
        <w:spacing w:lineRule="auto" w:line="276" w:before="0" w:after="200"/>
        <w:ind w:left="720" w:hanging="360"/>
        <w:jc w:val="both"/>
        <w:rPr>
          <w:sz w:val="22"/>
          <w:szCs w:val="22"/>
        </w:rPr>
      </w:pPr>
      <w:r>
        <w:rPr/>
        <w:t xml:space="preserve">Database encryption </w:t>
      </w:r>
    </w:p>
    <w:p>
      <w:pPr>
        <w:pStyle w:val="Heading2"/>
        <w:spacing w:lineRule="auto" w:line="276" w:before="0" w:after="200"/>
        <w:jc w:val="both"/>
        <w:rPr/>
      </w:pPr>
      <w:bookmarkStart w:id="24" w:name="_1y810tw"/>
      <w:bookmarkEnd w:id="24"/>
      <w:r>
        <w:rPr/>
        <w:t>Encryption Key Management</w:t>
      </w:r>
    </w:p>
    <w:p>
      <w:pPr>
        <w:pStyle w:val="Normal1"/>
        <w:spacing w:lineRule="auto" w:line="276" w:before="0" w:after="200"/>
        <w:jc w:val="both"/>
        <w:rPr/>
      </w:pPr>
      <w:r>
        <w:rPr/>
        <w:t>The following recommendations apply to the Company private SSH keys.</w:t>
      </w:r>
    </w:p>
    <w:p>
      <w:pPr>
        <w:pStyle w:val="Normal1"/>
        <w:numPr>
          <w:ilvl w:val="0"/>
          <w:numId w:val="2"/>
        </w:numPr>
        <w:spacing w:lineRule="auto" w:line="276"/>
        <w:ind w:left="720" w:hanging="360"/>
        <w:jc w:val="both"/>
        <w:rPr>
          <w:sz w:val="22"/>
          <w:szCs w:val="22"/>
        </w:rPr>
      </w:pPr>
      <w:r>
        <w:rPr/>
        <w:t>Management of keys must ensure that data is available for decryption when needed.</w:t>
      </w:r>
    </w:p>
    <w:p>
      <w:pPr>
        <w:pStyle w:val="Normal1"/>
        <w:numPr>
          <w:ilvl w:val="0"/>
          <w:numId w:val="2"/>
        </w:numPr>
        <w:spacing w:lineRule="auto" w:line="276"/>
        <w:ind w:left="720" w:hanging="360"/>
        <w:jc w:val="both"/>
        <w:rPr>
          <w:sz w:val="22"/>
          <w:szCs w:val="22"/>
        </w:rPr>
      </w:pPr>
      <w:r>
        <w:rPr/>
        <w:t>Keys must be backed up.</w:t>
      </w:r>
    </w:p>
    <w:p>
      <w:pPr>
        <w:pStyle w:val="Normal1"/>
        <w:numPr>
          <w:ilvl w:val="0"/>
          <w:numId w:val="4"/>
        </w:numPr>
        <w:spacing w:lineRule="auto" w:line="276"/>
        <w:ind w:left="720" w:hanging="360"/>
        <w:jc w:val="both"/>
        <w:rPr>
          <w:sz w:val="22"/>
          <w:szCs w:val="22"/>
        </w:rPr>
      </w:pPr>
      <w:r>
        <w:rPr/>
        <w:t>Keys must be securely stored.</w:t>
      </w:r>
    </w:p>
    <w:p>
      <w:pPr>
        <w:pStyle w:val="Normal1"/>
        <w:numPr>
          <w:ilvl w:val="0"/>
          <w:numId w:val="4"/>
        </w:numPr>
        <w:spacing w:lineRule="auto" w:line="276"/>
        <w:ind w:left="720" w:hanging="360"/>
        <w:jc w:val="both"/>
        <w:rPr>
          <w:sz w:val="22"/>
          <w:szCs w:val="22"/>
        </w:rPr>
      </w:pPr>
      <w:r>
        <w:rPr/>
        <w:t>Keys must be protected through their whole life cycle against modification, loss, unauthorized access/use or disclosure.</w:t>
      </w:r>
    </w:p>
    <w:p>
      <w:pPr>
        <w:pStyle w:val="Normal1"/>
        <w:numPr>
          <w:ilvl w:val="0"/>
          <w:numId w:val="4"/>
        </w:numPr>
        <w:spacing w:lineRule="auto" w:line="276"/>
        <w:ind w:left="720" w:hanging="360"/>
        <w:jc w:val="both"/>
        <w:rPr>
          <w:sz w:val="22"/>
          <w:szCs w:val="22"/>
        </w:rPr>
      </w:pPr>
      <w:r>
        <w:rPr/>
        <w:t>Keys must never be transmitted in cleartext.</w:t>
      </w:r>
    </w:p>
    <w:p>
      <w:pPr>
        <w:pStyle w:val="Normal1"/>
        <w:numPr>
          <w:ilvl w:val="0"/>
          <w:numId w:val="4"/>
        </w:numPr>
        <w:spacing w:lineRule="auto" w:line="276"/>
        <w:ind w:left="720" w:hanging="360"/>
        <w:jc w:val="both"/>
        <w:rPr>
          <w:sz w:val="22"/>
          <w:szCs w:val="22"/>
        </w:rPr>
      </w:pPr>
      <w:r>
        <w:rPr/>
        <w:t>Keys are to be treated as confidential data.</w:t>
      </w:r>
    </w:p>
    <w:p>
      <w:pPr>
        <w:pStyle w:val="Normal1"/>
        <w:numPr>
          <w:ilvl w:val="0"/>
          <w:numId w:val="4"/>
        </w:numPr>
        <w:spacing w:lineRule="auto" w:line="276"/>
        <w:ind w:left="720" w:hanging="360"/>
        <w:jc w:val="both"/>
        <w:rPr>
          <w:sz w:val="22"/>
          <w:szCs w:val="22"/>
        </w:rPr>
      </w:pPr>
      <w:r>
        <w:rPr/>
        <w:t>Keys must not be shared.</w:t>
      </w:r>
    </w:p>
    <w:p>
      <w:pPr>
        <w:pStyle w:val="Normal1"/>
        <w:numPr>
          <w:ilvl w:val="0"/>
          <w:numId w:val="4"/>
        </w:numPr>
        <w:spacing w:lineRule="auto" w:line="276" w:before="0" w:after="200"/>
        <w:ind w:left="720" w:hanging="360"/>
        <w:jc w:val="both"/>
        <w:rPr>
          <w:sz w:val="22"/>
          <w:szCs w:val="22"/>
        </w:rPr>
      </w:pPr>
      <w:r>
        <w:rPr/>
        <w:t>Keys must be used and changed at a minimum annually.</w:t>
      </w:r>
    </w:p>
    <w:p>
      <w:pPr>
        <w:pStyle w:val="Heading1"/>
        <w:spacing w:lineRule="auto" w:line="276" w:before="0" w:after="200"/>
        <w:jc w:val="both"/>
        <w:rPr>
          <w:color w:val="4A86E8"/>
        </w:rPr>
      </w:pPr>
      <w:bookmarkStart w:id="25" w:name="_4i7ojhp"/>
      <w:bookmarkEnd w:id="25"/>
      <w:r>
        <w:rPr>
          <w:color w:val="4A86E8"/>
        </w:rPr>
        <w:t>Disciplinary actions</w:t>
      </w:r>
    </w:p>
    <w:p>
      <w:pPr>
        <w:pStyle w:val="Normal1"/>
        <w:spacing w:lineRule="auto" w:line="276" w:before="0" w:after="200"/>
        <w:jc w:val="both"/>
        <w:rPr>
          <w:sz w:val="38"/>
          <w:szCs w:val="38"/>
        </w:rPr>
      </w:pPr>
      <w:r>
        <w:rPr/>
        <w:t>Employees who violate this policy may face disciplinary consequences in proportion to their violation. Management will determine how severe an employee’s offense is and take the appropriate action.</w:t>
      </w:r>
    </w:p>
    <w:p>
      <w:pPr>
        <w:pStyle w:val="Heading1"/>
        <w:spacing w:lineRule="auto" w:line="276" w:before="0" w:after="200"/>
        <w:jc w:val="both"/>
        <w:rPr>
          <w:color w:val="4A86E8"/>
        </w:rPr>
      </w:pPr>
      <w:bookmarkStart w:id="26" w:name="_2xcytpi"/>
      <w:bookmarkEnd w:id="26"/>
      <w:r>
        <w:rPr>
          <w:color w:val="4A86E8"/>
        </w:rPr>
        <w:t>Change, Review, and Update</w:t>
      </w:r>
    </w:p>
    <w:p>
      <w:pPr>
        <w:pStyle w:val="Normal1"/>
        <w:spacing w:lineRule="auto" w:line="276" w:before="0" w:after="200"/>
        <w:jc w:val="both"/>
        <w:rPr/>
      </w:pPr>
      <w:r>
        <w:rPr/>
        <w:t xml:space="preserve">This policy shall be reviewed once every year unless the owner considers an earlier review necessary to ensure that the policy remains current. Changes to this policy shall be exclusively performed by the ISMS Manager and approved by the ISMS Committee. </w:t>
      </w:r>
    </w:p>
    <w:p>
      <w:pPr>
        <w:pStyle w:val="Heading1"/>
        <w:spacing w:lineRule="auto" w:line="276" w:before="0" w:after="200"/>
        <w:jc w:val="both"/>
        <w:rPr>
          <w:color w:val="4A86E8"/>
        </w:rPr>
      </w:pPr>
      <w:bookmarkStart w:id="27" w:name="_1ci93xb"/>
      <w:bookmarkEnd w:id="27"/>
      <w:r>
        <w:rPr>
          <w:color w:val="4A86E8"/>
        </w:rPr>
        <w:t>Responsibility</w:t>
      </w:r>
    </w:p>
    <w:p>
      <w:pPr>
        <w:pStyle w:val="Normal1"/>
        <w:spacing w:lineRule="auto" w:line="276" w:before="0" w:after="200"/>
        <w:jc w:val="both"/>
        <w:rPr/>
      </w:pPr>
      <w:r>
        <w:rPr/>
        <w:t>This is the responsibility of the ISMS Manager to maintain and make sure everyone is aware of this policy.</w:t>
      </w:r>
    </w:p>
    <w:p>
      <w:pPr>
        <w:pStyle w:val="Heading1"/>
        <w:spacing w:lineRule="auto" w:line="276" w:before="0" w:after="200"/>
        <w:jc w:val="both"/>
        <w:rPr>
          <w:color w:val="4A86E8"/>
        </w:rPr>
      </w:pPr>
      <w:bookmarkStart w:id="28" w:name="_3whwml4"/>
      <w:bookmarkEnd w:id="28"/>
      <w:r>
        <w:rPr>
          <w:color w:val="4A86E8"/>
        </w:rPr>
        <w:t>Reference</w:t>
      </w:r>
    </w:p>
    <w:p>
      <w:pPr>
        <w:pStyle w:val="Normal1"/>
        <w:numPr>
          <w:ilvl w:val="0"/>
          <w:numId w:val="5"/>
        </w:numPr>
        <w:ind w:left="720" w:hanging="360"/>
        <w:jc w:val="both"/>
        <w:rPr/>
      </w:pPr>
      <w:r>
        <w:rPr/>
        <w:t>ISO 27001 A.10.1.1 Policy on the Use of Cryptographic Controls</w:t>
      </w:r>
    </w:p>
    <w:p>
      <w:pPr>
        <w:pStyle w:val="Normal1"/>
        <w:numPr>
          <w:ilvl w:val="0"/>
          <w:numId w:val="5"/>
        </w:numPr>
        <w:spacing w:lineRule="auto" w:line="240" w:before="0" w:after="200"/>
        <w:ind w:left="720" w:hanging="360"/>
        <w:jc w:val="both"/>
        <w:rPr/>
      </w:pPr>
      <w:r>
        <w:rPr/>
        <w:t>ISO 27001 A.10.1.2 Key Management</w:t>
      </w:r>
    </w:p>
    <w:p>
      <w:pPr>
        <w:pStyle w:val="Heading1"/>
        <w:spacing w:lineRule="auto" w:line="276" w:before="200" w:after="200"/>
        <w:jc w:val="both"/>
        <w:rPr>
          <w:color w:val="4A86E8"/>
        </w:rPr>
      </w:pPr>
      <w:bookmarkStart w:id="29" w:name="_2bn6wsx"/>
      <w:bookmarkEnd w:id="29"/>
      <w:r>
        <w:rPr>
          <w:color w:val="4A86E8"/>
        </w:rPr>
        <w:t>Related Documents</w:t>
      </w:r>
    </w:p>
    <w:p>
      <w:pPr>
        <w:pStyle w:val="Normal1"/>
        <w:numPr>
          <w:ilvl w:val="0"/>
          <w:numId w:val="5"/>
        </w:numPr>
        <w:spacing w:lineRule="auto" w:line="240" w:before="0" w:after="200"/>
        <w:ind w:left="720" w:hanging="360"/>
        <w:jc w:val="both"/>
        <w:rPr/>
      </w:pPr>
      <w:r>
        <w:rPr/>
      </w:r>
    </w:p>
    <w:sectPr>
      <w:headerReference w:type="default" r:id="rId2"/>
      <w:headerReference w:type="first" r:id="rId3"/>
      <w:footerReference w:type="default" r:id="rId4"/>
      <w:footerReference w:type="first" r:id="rId5"/>
      <w:type w:val="nextPage"/>
      <w:pgSz w:w="12240" w:h="15840"/>
      <w:pgMar w:left="1440" w:right="1440" w:gutter="0" w:header="720" w:top="1440" w:footer="720" w:bottom="1440"/>
      <w:pgNumType w:start="0" w:fmt="decimal"/>
      <w:formProt w:val="false"/>
      <w:titlePg/>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swiss"/>
    <w:pitch w:val="variable"/>
  </w:font>
  <w:font w:name="Wingdings">
    <w:charset w:val="02"/>
    <w:family w:val="auto"/>
    <w:pitch w:val="default"/>
  </w:font>
  <w:font w:name="Wingdings 2">
    <w:charset w:val="02"/>
    <w:family w:val="auto"/>
    <w:pitch w:val="default"/>
  </w:font>
  <w:font w:name="OpenSymbol">
    <w:altName w:val="Arial Unicode MS"/>
    <w:charset w:val="01"/>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sz w:val="20"/>
        <w:szCs w:val="20"/>
      </w:rPr>
    </w:pPr>
    <w:r>
      <w:rPr>
        <w:sz w:val="20"/>
        <w:szCs w:val="20"/>
      </w:rPr>
      <w:t>&lt;</w:t>
    </w:r>
    <w:r>
      <w:rPr>
        <w:sz w:val="20"/>
        <w:szCs w:val="20"/>
        <w:highlight w:val="yellow"/>
      </w:rPr>
      <w:t>Company</w:t>
    </w:r>
    <w:r>
      <w:rPr>
        <w:sz w:val="20"/>
        <w:szCs w:val="20"/>
      </w:rPr>
      <w:t>&gt; Encryption Policy</w:t>
      <w:tab/>
      <w:tab/>
      <w:tab/>
      <w:tab/>
      <w:tab/>
      <w:tab/>
      <w:tab/>
      <w:t xml:space="preserve">                                  </w:t>
    </w:r>
    <w:r>
      <w:rPr/>
      <w:fldChar w:fldCharType="begin"/>
    </w:r>
    <w:r>
      <w:rPr/>
      <w:instrText xml:space="preserve"> PAGE </w:instrText>
    </w:r>
    <w:r>
      <w:rPr/>
      <w:fldChar w:fldCharType="separate"/>
    </w:r>
    <w:r>
      <w:rPr/>
      <w:t>4</w:t>
    </w:r>
    <w:r>
      <w:rPr/>
      <w:fldChar w:fldCharType="end"/>
    </w:r>
  </w:p>
  <w:p>
    <w:pPr>
      <w:pStyle w:val="Normal1"/>
      <w:rPr/>
    </w:pPr>
    <w:r>
      <w:rPr>
        <w:sz w:val="20"/>
        <w:szCs w:val="20"/>
      </w:rPr>
      <w:t>This document is for internal use only</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76"/>
      <w:jc w:val="right"/>
      <w:rPr/>
    </w:pPr>
    <w:r>
      <w:rPr/>
      <w:drawing>
        <wp:inline distT="0" distB="0" distL="0" distR="0">
          <wp:extent cx="1880235" cy="3359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1"/>
      <w:spacing w:lineRule="auto" w:line="276"/>
      <w:rPr/>
    </w:pPr>
    <w:r>
      <w:rPr/>
      <w:drawing>
        <wp:inline distT="0" distB="0" distL="0" distR="0">
          <wp:extent cx="1880235" cy="335915"/>
          <wp:effectExtent l="0" t="0" r="0" b="0"/>
          <wp:docPr id="2"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descr=""/>
                  <pic:cNvPicPr>
                    <a:picLocks noChangeAspect="1" noChangeArrowheads="1"/>
                  </pic:cNvPicPr>
                </pic:nvPicPr>
                <pic:blipFill>
                  <a:blip r:embed="rId1"/>
                  <a:stretch>
                    <a:fillRect/>
                  </a:stretch>
                </pic:blipFill>
                <pic:spPr bwMode="auto">
                  <a:xfrm>
                    <a:off x="0" y="0"/>
                    <a:ext cx="1880235" cy="335915"/>
                  </a:xfrm>
                  <a:prstGeom prst="rect">
                    <a:avLst/>
                  </a:prstGeom>
                </pic:spPr>
              </pic:pic>
            </a:graphicData>
          </a:graphic>
        </wp:inline>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2">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3">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4">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5">
    <w:lvl w:ilvl="0">
      <w:start w:val="1"/>
      <w:numFmt w:val="bullet"/>
      <w:lvlText w:val=""/>
      <w:lvlJc w:val="left"/>
      <w:pPr>
        <w:tabs>
          <w:tab w:val="num" w:pos="0"/>
        </w:tabs>
        <w:ind w:left="720" w:hanging="360"/>
      </w:pPr>
      <w:rPr>
        <w:rFonts w:ascii="Wingdings" w:hAnsi="Wingdings" w:cs="Wingdings" w:hint="default"/>
        <w:u w:val="none"/>
      </w:rPr>
    </w:lvl>
    <w:lvl w:ilvl="1">
      <w:start w:val="1"/>
      <w:numFmt w:val="bullet"/>
      <w:lvlText w:val=""/>
      <w:lvlJc w:val="left"/>
      <w:pPr>
        <w:tabs>
          <w:tab w:val="num" w:pos="0"/>
        </w:tabs>
        <w:ind w:left="1440" w:hanging="360"/>
      </w:pPr>
      <w:rPr>
        <w:rFonts w:ascii="Wingdings 2" w:hAnsi="Wingdings 2" w:cs="Wingdings 2" w:hint="default"/>
        <w:u w:val="none"/>
      </w:rPr>
    </w:lvl>
    <w:lvl w:ilvl="2">
      <w:start w:val="1"/>
      <w:numFmt w:val="bullet"/>
      <w:lvlText w:val="■"/>
      <w:lvlJc w:val="left"/>
      <w:pPr>
        <w:tabs>
          <w:tab w:val="num" w:pos="0"/>
        </w:tabs>
        <w:ind w:left="2160" w:hanging="360"/>
      </w:pPr>
      <w:rPr>
        <w:rFonts w:ascii="OpenSymbol" w:hAnsi="OpenSymbol" w:cs="OpenSymbol" w:hint="default"/>
        <w:u w:val="none"/>
      </w:rPr>
    </w:lvl>
    <w:lvl w:ilvl="3">
      <w:start w:val="1"/>
      <w:numFmt w:val="bullet"/>
      <w:lvlText w:val=""/>
      <w:lvlJc w:val="left"/>
      <w:pPr>
        <w:tabs>
          <w:tab w:val="num" w:pos="0"/>
        </w:tabs>
        <w:ind w:left="2880" w:hanging="360"/>
      </w:pPr>
      <w:rPr>
        <w:rFonts w:ascii="Wingdings" w:hAnsi="Wingdings" w:cs="Wingdings" w:hint="default"/>
        <w:u w:val="none"/>
      </w:rPr>
    </w:lvl>
    <w:lvl w:ilvl="4">
      <w:start w:val="1"/>
      <w:numFmt w:val="bullet"/>
      <w:lvlText w:val=""/>
      <w:lvlJc w:val="left"/>
      <w:pPr>
        <w:tabs>
          <w:tab w:val="num" w:pos="0"/>
        </w:tabs>
        <w:ind w:left="3600" w:hanging="360"/>
      </w:pPr>
      <w:rPr>
        <w:rFonts w:ascii="Wingdings 2" w:hAnsi="Wingdings 2" w:cs="Wingdings 2" w:hint="default"/>
        <w:u w:val="none"/>
      </w:rPr>
    </w:lvl>
    <w:lvl w:ilvl="5">
      <w:start w:val="1"/>
      <w:numFmt w:val="bullet"/>
      <w:lvlText w:val="■"/>
      <w:lvlJc w:val="left"/>
      <w:pPr>
        <w:tabs>
          <w:tab w:val="num" w:pos="0"/>
        </w:tabs>
        <w:ind w:left="4320" w:hanging="360"/>
      </w:pPr>
      <w:rPr>
        <w:rFonts w:ascii="OpenSymbol" w:hAnsi="OpenSymbol" w:cs="OpenSymbol" w:hint="default"/>
        <w:u w:val="none"/>
      </w:rPr>
    </w:lvl>
    <w:lvl w:ilvl="6">
      <w:start w:val="1"/>
      <w:numFmt w:val="bullet"/>
      <w:lvlText w:val=""/>
      <w:lvlJc w:val="left"/>
      <w:pPr>
        <w:tabs>
          <w:tab w:val="num" w:pos="0"/>
        </w:tabs>
        <w:ind w:left="5040" w:hanging="360"/>
      </w:pPr>
      <w:rPr>
        <w:rFonts w:ascii="Wingdings" w:hAnsi="Wingdings" w:cs="Wingdings" w:hint="default"/>
        <w:u w:val="none"/>
      </w:rPr>
    </w:lvl>
    <w:lvl w:ilvl="7">
      <w:start w:val="1"/>
      <w:numFmt w:val="bullet"/>
      <w:lvlText w:val=""/>
      <w:lvlJc w:val="left"/>
      <w:pPr>
        <w:tabs>
          <w:tab w:val="num" w:pos="0"/>
        </w:tabs>
        <w:ind w:left="5760" w:hanging="360"/>
      </w:pPr>
      <w:rPr>
        <w:rFonts w:ascii="Wingdings 2" w:hAnsi="Wingdings 2" w:cs="Wingdings 2" w:hint="default"/>
        <w:u w:val="none"/>
      </w:rPr>
    </w:lvl>
    <w:lvl w:ilvl="8">
      <w:start w:val="1"/>
      <w:numFmt w:val="bullet"/>
      <w:lvlText w:val="■"/>
      <w:lvlJc w:val="left"/>
      <w:pPr>
        <w:tabs>
          <w:tab w:val="num" w:pos="0"/>
        </w:tabs>
        <w:ind w:left="6480" w:hanging="360"/>
      </w:pPr>
      <w:rPr>
        <w:rFonts w:ascii="OpenSymbol" w:hAnsi="OpenSymbol" w:cs="OpenSymbol" w:hint="default"/>
        <w:u w:val="none"/>
      </w:rPr>
    </w:lvl>
  </w:abstractNum>
  <w:abstractNum w:abstractNumId="6">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4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 w:val="22"/>
        <w:szCs w:val="22"/>
        <w:lang w:val="en-US" w:eastAsia="zh-CN" w:bidi="hi-IN"/>
      </w:rPr>
    </w:rPrDefault>
    <w:pPrDefault>
      <w:pPr>
        <w:suppressAutoHyphens w:val="true"/>
      </w:pPr>
    </w:pPrDefault>
  </w:docDefaults>
  <w:style w:type="paragraph" w:styleId="Normal">
    <w:name w:val="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Heading1">
    <w:name w:val="Heading 1"/>
    <w:basedOn w:val="Normal1"/>
    <w:next w:val="Normal1"/>
    <w:qFormat/>
    <w:pPr>
      <w:keepNext w:val="true"/>
      <w:keepLines/>
      <w:pageBreakBefore w:val="false"/>
      <w:spacing w:lineRule="auto" w:line="240" w:before="400" w:after="120"/>
    </w:pPr>
    <w:rPr>
      <w:sz w:val="40"/>
      <w:szCs w:val="40"/>
    </w:rPr>
  </w:style>
  <w:style w:type="paragraph" w:styleId="Heading2">
    <w:name w:val="Heading 2"/>
    <w:basedOn w:val="Normal1"/>
    <w:next w:val="Normal1"/>
    <w:qFormat/>
    <w:pPr>
      <w:keepNext w:val="true"/>
      <w:keepLines/>
      <w:pageBreakBefore w:val="false"/>
      <w:spacing w:lineRule="auto" w:line="240" w:before="360" w:after="120"/>
    </w:pPr>
    <w:rPr>
      <w:b w:val="false"/>
      <w:sz w:val="32"/>
      <w:szCs w:val="32"/>
    </w:rPr>
  </w:style>
  <w:style w:type="paragraph" w:styleId="Heading3">
    <w:name w:val="Heading 3"/>
    <w:basedOn w:val="Normal1"/>
    <w:next w:val="Normal1"/>
    <w:qFormat/>
    <w:pPr>
      <w:keepNext w:val="true"/>
      <w:keepLines/>
      <w:pageBreakBefore w:val="false"/>
      <w:spacing w:lineRule="auto" w:line="240" w:before="320" w:after="80"/>
    </w:pPr>
    <w:rPr>
      <w:b w:val="false"/>
      <w:color w:val="434343"/>
      <w:sz w:val="28"/>
      <w:szCs w:val="28"/>
    </w:rPr>
  </w:style>
  <w:style w:type="paragraph" w:styleId="Heading4">
    <w:name w:val="Heading 4"/>
    <w:basedOn w:val="Normal1"/>
    <w:next w:val="Normal1"/>
    <w:qFormat/>
    <w:pPr>
      <w:keepNext w:val="true"/>
      <w:keepLines/>
      <w:pageBreakBefore w:val="false"/>
      <w:spacing w:lineRule="auto" w:line="240" w:before="280" w:after="80"/>
    </w:pPr>
    <w:rPr>
      <w:color w:val="666666"/>
      <w:sz w:val="24"/>
      <w:szCs w:val="24"/>
    </w:rPr>
  </w:style>
  <w:style w:type="paragraph" w:styleId="Heading5">
    <w:name w:val="Heading 5"/>
    <w:basedOn w:val="Normal1"/>
    <w:next w:val="Normal1"/>
    <w:qFormat/>
    <w:pPr>
      <w:keepNext w:val="true"/>
      <w:keepLines/>
      <w:pageBreakBefore w:val="false"/>
      <w:spacing w:lineRule="auto" w:line="240" w:before="240" w:after="80"/>
    </w:pPr>
    <w:rPr>
      <w:color w:val="666666"/>
      <w:sz w:val="22"/>
      <w:szCs w:val="22"/>
    </w:rPr>
  </w:style>
  <w:style w:type="paragraph" w:styleId="Heading6">
    <w:name w:val="Heading 6"/>
    <w:basedOn w:val="Normal1"/>
    <w:next w:val="Normal1"/>
    <w:qFormat/>
    <w:pPr>
      <w:keepNext w:val="true"/>
      <w:keepLines/>
      <w:pageBreakBefore w:val="false"/>
      <w:spacing w:lineRule="auto" w:line="240" w:before="240" w:after="80"/>
    </w:pPr>
    <w:rPr>
      <w:i/>
      <w:color w:val="666666"/>
      <w:sz w:val="22"/>
      <w:szCs w:val="22"/>
    </w:rPr>
  </w:style>
  <w:style w:type="character" w:styleId="InternetLink">
    <w:name w:val="Hyperlink"/>
    <w:rPr>
      <w:color w:val="000080"/>
      <w:u w:val="single"/>
    </w:rPr>
  </w:style>
  <w:style w:type="character" w:styleId="IndexLink">
    <w:name w:val="Index Link"/>
    <w:qFormat/>
    <w:rPr/>
  </w:style>
  <w:style w:type="character" w:styleId="FootnoteAnchor">
    <w:name w:val="Footnote Anchor"/>
    <w:rPr>
      <w:vertAlign w:val="superscript"/>
    </w:rPr>
  </w:style>
  <w:style w:type="character" w:styleId="FootnoteCharacters">
    <w:name w:val="Footnote Characters"/>
    <w:qForma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Normal1" w:default="1">
    <w:name w:val="LO-normal"/>
    <w:qFormat/>
    <w:pPr>
      <w:widowControl/>
      <w:bidi w:val="0"/>
      <w:spacing w:lineRule="auto" w:line="276" w:before="0" w:after="0"/>
      <w:jc w:val="left"/>
    </w:pPr>
    <w:rPr>
      <w:rFonts w:ascii="Arial" w:hAnsi="Arial" w:eastAsia="Arial" w:cs="Arial"/>
      <w:color w:val="auto"/>
      <w:kern w:val="0"/>
      <w:sz w:val="22"/>
      <w:szCs w:val="22"/>
      <w:lang w:val="en-US" w:eastAsia="zh-CN" w:bidi="hi-IN"/>
    </w:rPr>
  </w:style>
  <w:style w:type="paragraph" w:styleId="Title">
    <w:name w:val="Title"/>
    <w:basedOn w:val="Normal1"/>
    <w:next w:val="Normal1"/>
    <w:qFormat/>
    <w:pPr>
      <w:keepNext w:val="true"/>
      <w:keepLines/>
      <w:pageBreakBefore w:val="false"/>
      <w:spacing w:lineRule="auto" w:line="240" w:before="0" w:after="60"/>
    </w:pPr>
    <w:rPr>
      <w:sz w:val="52"/>
      <w:szCs w:val="52"/>
    </w:rPr>
  </w:style>
  <w:style w:type="paragraph" w:styleId="Subtitle">
    <w:name w:val="Subtitle"/>
    <w:basedOn w:val="Normal1"/>
    <w:next w:val="Normal1"/>
    <w:qFormat/>
    <w:pPr>
      <w:keepNext w:val="true"/>
      <w:keepLines/>
      <w:pageBreakBefore w:val="false"/>
      <w:spacing w:lineRule="auto" w:line="240" w:before="0" w:after="320"/>
    </w:pPr>
    <w:rPr>
      <w:rFonts w:ascii="Arial" w:hAnsi="Arial" w:eastAsia="Arial" w:cs="Arial"/>
      <w:i w:val="false"/>
      <w:color w:val="666666"/>
      <w:sz w:val="30"/>
      <w:szCs w:val="30"/>
    </w:rPr>
  </w:style>
  <w:style w:type="paragraph" w:styleId="Footnote">
    <w:name w:val="Footnote Text"/>
    <w:basedOn w:val="Normal"/>
    <w:pPr/>
    <w:rPr/>
  </w:style>
  <w:style w:type="paragraph" w:styleId="HeaderandFooter">
    <w:name w:val="Header and Footer"/>
    <w:basedOn w:val="Normal"/>
    <w:qFormat/>
    <w:pPr/>
    <w:rPr/>
  </w:style>
  <w:style w:type="paragraph" w:styleId="Header">
    <w:name w:val="Header"/>
    <w:basedOn w:val="HeaderandFooter"/>
    <w:pPr/>
    <w:rPr/>
  </w:style>
  <w:style w:type="paragraph" w:styleId="Footer">
    <w:name w:val="Footer"/>
    <w:basedOn w:val="HeaderandFooter"/>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header" Target="header2.xml"/><Relationship Id="rId4" Type="http://schemas.openxmlformats.org/officeDocument/2006/relationships/footer" Target="footer1.xml"/><Relationship Id="rId5" Type="http://schemas.openxmlformats.org/officeDocument/2006/relationships/footer" Target="footer2.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0</TotalTime>
  <Application>LibreOffice/7.3.7.2$Linux_X86_64 LibreOffice_project/30$Build-2</Application>
  <AppVersion>15.0000</AppVersion>
  <Pages>5</Pages>
  <Words>611</Words>
  <Characters>3334</Characters>
  <CharactersWithSpaces>3891</CharactersWithSpaces>
  <Paragraphs>95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2024-08-08T22:50:10Z</dcterms:modified>
  <cp:revision>1</cp:revision>
  <dc:subject/>
  <dc:title/>
</cp:coreProperties>
</file>