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irprn2hj25wo"/>
      <w:bookmarkStart w:id="1" w:name="_irprn2hj25wo"/>
      <w:bookmarkEnd w:id="1"/>
    </w:p>
    <w:p>
      <w:pPr>
        <w:pStyle w:val="Title"/>
        <w:spacing w:lineRule="auto" w:line="276"/>
        <w:ind w:left="-566" w:hanging="0"/>
        <w:jc w:val="center"/>
        <w:rPr>
          <w:b/>
          <w:b/>
        </w:rPr>
      </w:pPr>
      <w:r>
        <w:rPr>
          <w:b/>
        </w:rPr>
      </w:r>
      <w:bookmarkStart w:id="2" w:name="_vcvj4x1a4co"/>
      <w:bookmarkStart w:id="3" w:name="_vcvj4x1a4co"/>
      <w:bookmarkEnd w:id="3"/>
    </w:p>
    <w:p>
      <w:pPr>
        <w:pStyle w:val="Title"/>
        <w:spacing w:lineRule="auto" w:line="276"/>
        <w:ind w:left="-566" w:hanging="0"/>
        <w:jc w:val="center"/>
        <w:rPr>
          <w:b/>
          <w:b/>
        </w:rPr>
      </w:pPr>
      <w:r>
        <w:rPr>
          <w:b/>
        </w:rPr>
      </w:r>
      <w:bookmarkStart w:id="4" w:name="_ive1n92lht2l"/>
      <w:bookmarkStart w:id="5" w:name="_ive1n92lht2l"/>
      <w:bookmarkEnd w:id="5"/>
    </w:p>
    <w:p>
      <w:pPr>
        <w:pStyle w:val="Title"/>
        <w:spacing w:lineRule="auto" w:line="276"/>
        <w:ind w:left="-566" w:hanging="0"/>
        <w:jc w:val="center"/>
        <w:rPr>
          <w:b/>
          <w:b/>
        </w:rPr>
      </w:pPr>
      <w:r>
        <w:rPr>
          <w:b/>
        </w:rPr>
      </w:r>
      <w:bookmarkStart w:id="6" w:name="_3a08lxs3poju"/>
      <w:bookmarkStart w:id="7" w:name="_3a08lxs3poju"/>
      <w:bookmarkEnd w:id="7"/>
    </w:p>
    <w:p>
      <w:pPr>
        <w:pStyle w:val="Title"/>
        <w:spacing w:lineRule="auto" w:line="276"/>
        <w:ind w:left="-566" w:hanging="0"/>
        <w:jc w:val="center"/>
        <w:rPr>
          <w:b/>
          <w:b/>
        </w:rPr>
      </w:pPr>
      <w:r>
        <w:rPr>
          <w:b/>
        </w:rPr>
      </w:r>
      <w:bookmarkStart w:id="8" w:name="_2q4w0wbwpmqv"/>
      <w:bookmarkStart w:id="9" w:name="_2q4w0wbwpmqv"/>
      <w:bookmarkEnd w:id="9"/>
    </w:p>
    <w:p>
      <w:pPr>
        <w:pStyle w:val="Title"/>
        <w:spacing w:lineRule="auto" w:line="276"/>
        <w:ind w:left="-566" w:hanging="0"/>
        <w:jc w:val="center"/>
        <w:rPr>
          <w:b/>
          <w:b/>
        </w:rPr>
      </w:pPr>
      <w:r>
        <w:rPr>
          <w:b/>
        </w:rPr>
      </w:r>
      <w:bookmarkStart w:id="10" w:name="_62ghwnjasf96"/>
      <w:bookmarkStart w:id="11" w:name="_62ghwnjasf96"/>
      <w:bookmarkEnd w:id="11"/>
    </w:p>
    <w:p>
      <w:pPr>
        <w:pStyle w:val="Title"/>
        <w:spacing w:lineRule="auto" w:line="276"/>
        <w:ind w:left="0" w:hanging="0"/>
        <w:jc w:val="center"/>
        <w:rPr>
          <w:b/>
          <w:b/>
        </w:rPr>
      </w:pPr>
      <w:bookmarkStart w:id="12" w:name="_zesqro7z6iwf"/>
      <w:bookmarkEnd w:id="12"/>
      <w:r>
        <w:rPr>
          <w:b/>
        </w:rPr>
        <w:t xml:space="preserve">&lt;Your </w:t>
      </w:r>
      <w:r>
        <w:rPr>
          <w:b/>
          <w:highlight w:val="yellow"/>
        </w:rPr>
        <w:t>Company Logo</w:t>
      </w:r>
      <w:r>
        <w:rPr>
          <w:b/>
        </w:rPr>
        <w:t>&gt;</w:t>
      </w:r>
    </w:p>
    <w:p>
      <w:pPr>
        <w:pStyle w:val="Title"/>
        <w:jc w:val="center"/>
        <w:rPr>
          <w:b/>
          <w:b/>
        </w:rPr>
      </w:pPr>
      <w:bookmarkStart w:id="13" w:name="_tz5hfovt0bf4"/>
      <w:bookmarkEnd w:id="13"/>
      <w:r>
        <w:rPr>
          <w:b/>
          <w:color w:val="FF9900"/>
        </w:rPr>
        <w:t>Software Installation Policy</w:t>
      </w:r>
      <w:r>
        <w:br w:type="page"/>
      </w:r>
    </w:p>
    <w:p>
      <w:pPr>
        <w:pStyle w:val="Normal1"/>
        <w:rPr/>
      </w:pPr>
      <w:r>
        <w:rPr/>
      </w:r>
    </w:p>
    <w:p>
      <w:pPr>
        <w:pStyle w:val="Heading1"/>
        <w:spacing w:lineRule="auto" w:line="240"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Heading1"/>
        <w:spacing w:lineRule="auto" w:line="240" w:before="0" w:after="200"/>
        <w:jc w:val="both"/>
        <w:rPr>
          <w:color w:val="4A86E8"/>
          <w:sz w:val="34"/>
          <w:szCs w:val="34"/>
        </w:rPr>
      </w:pPr>
      <w:r>
        <w:rPr>
          <w:color w:val="4A86E8"/>
          <w:sz w:val="34"/>
          <w:szCs w:val="34"/>
        </w:rPr>
      </w:r>
      <w:bookmarkStart w:id="15" w:name="_gj5c43v9gzca"/>
      <w:bookmarkStart w:id="16" w:name="_gj5c43v9gzca"/>
      <w:bookmarkEnd w:id="16"/>
      <w:r>
        <w:br w:type="page"/>
      </w:r>
    </w:p>
    <w:p>
      <w:pPr>
        <w:pStyle w:val="Heading1"/>
        <w:spacing w:lineRule="auto" w:line="240" w:before="0" w:after="200"/>
        <w:jc w:val="both"/>
        <w:rPr>
          <w:b/>
          <w:b/>
          <w:i/>
          <w:i/>
          <w:color w:val="4A86E8"/>
        </w:rPr>
      </w:pPr>
      <w:bookmarkStart w:id="17" w:name="_cj9vnfyr0ye6"/>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rxqdy8knpr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j9vnfyr0ye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09d0hpg606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sebszm58trw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lfxpakk5qcyw">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Responsibilities</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g3sfcv9793a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xr2htx6z7x8c">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Installation and support of software</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mjherlh94yhd">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Licensed software</w:t>
              <w:tab/>
              <w:t>7</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9uvofi4m58u7">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Unlicensed software</w:t>
              <w:tab/>
              <w:t>7</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albf7qgsyy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Unauthorized software</w:t>
              <w:tab/>
              <w:t>7</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c0msidrqdlx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Exception</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8</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8</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byh665p4kb0">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8mf7linb0n0o">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spacing w:lineRule="auto" w:line="240" w:before="0" w:after="200"/>
        <w:jc w:val="both"/>
        <w:rPr>
          <w:color w:val="4A86E8"/>
        </w:rPr>
      </w:pPr>
      <w:r>
        <w:rPr>
          <w:color w:val="4A86E8"/>
        </w:rPr>
      </w:r>
      <w:bookmarkStart w:id="18" w:name="_b5ucjuvtce7"/>
      <w:bookmarkStart w:id="19" w:name="_b5ucjuvtce7"/>
      <w:bookmarkEnd w:id="19"/>
      <w:r>
        <w:br w:type="page"/>
      </w:r>
    </w:p>
    <w:p>
      <w:pPr>
        <w:pStyle w:val="Heading1"/>
        <w:spacing w:lineRule="auto" w:line="240" w:before="0" w:after="200"/>
        <w:jc w:val="both"/>
        <w:rPr/>
      </w:pPr>
      <w:bookmarkStart w:id="20" w:name="_c09d0hpg606i"/>
      <w:bookmarkEnd w:id="20"/>
      <w:r>
        <w:rPr>
          <w:color w:val="4A86E8"/>
        </w:rPr>
        <w:t>Purpose</w:t>
      </w:r>
    </w:p>
    <w:p>
      <w:pPr>
        <w:pStyle w:val="Normal1"/>
        <w:pageBreakBefore w:val="false"/>
        <w:spacing w:lineRule="auto" w:line="276" w:before="0" w:after="200"/>
        <w:jc w:val="both"/>
        <w:rPr/>
      </w:pPr>
      <w:r>
        <w:rPr/>
        <w:t>The purpose of this policy is to identify all issues of the software installation processes. It is also created to minimize the risk of the exposure of sensitive information, unlicensed software exposure, and malware distribution.</w:t>
      </w:r>
    </w:p>
    <w:p>
      <w:pPr>
        <w:pStyle w:val="Heading1"/>
        <w:pageBreakBefore w:val="false"/>
        <w:spacing w:lineRule="auto" w:line="276" w:before="0" w:after="200"/>
        <w:jc w:val="both"/>
        <w:rPr>
          <w:color w:val="4A86E8"/>
        </w:rPr>
      </w:pPr>
      <w:bookmarkStart w:id="21" w:name="_sebszm58trwj"/>
      <w:bookmarkEnd w:id="21"/>
      <w:r>
        <w:rPr>
          <w:color w:val="4A86E8"/>
        </w:rPr>
        <w:t>Scope</w:t>
      </w:r>
    </w:p>
    <w:p>
      <w:pPr>
        <w:pStyle w:val="Normal1"/>
        <w:pageBreakBefore w:val="false"/>
        <w:spacing w:lineRule="auto" w:line="276" w:before="0" w:after="200"/>
        <w:jc w:val="both"/>
        <w:rPr/>
      </w:pPr>
      <w:r>
        <w:rPr/>
        <w:t>This policy applies to all &lt;</w:t>
      </w:r>
      <w:r>
        <w:rPr>
          <w:highlight w:val="yellow"/>
        </w:rPr>
        <w:t>Company</w:t>
      </w:r>
      <w:r>
        <w:rPr/>
        <w:t>&gt; employees, contractors, third parties who access internal information and business processes.</w:t>
      </w:r>
    </w:p>
    <w:p>
      <w:pPr>
        <w:pStyle w:val="Heading1"/>
        <w:pageBreakBefore w:val="false"/>
        <w:spacing w:lineRule="auto" w:line="276" w:before="0" w:after="200"/>
        <w:jc w:val="both"/>
        <w:rPr>
          <w:color w:val="4A86E8"/>
        </w:rPr>
      </w:pPr>
      <w:bookmarkStart w:id="22" w:name="_lfxpakk5qcyw"/>
      <w:bookmarkEnd w:id="22"/>
      <w:r>
        <w:rPr>
          <w:color w:val="4A86E8"/>
        </w:rPr>
        <w:t>Responsibilities</w:t>
      </w:r>
    </w:p>
    <w:p>
      <w:pPr>
        <w:pStyle w:val="Normal1"/>
        <w:pageBreakBefore w:val="false"/>
        <w:spacing w:lineRule="auto" w:line="276" w:before="0" w:after="200"/>
        <w:jc w:val="both"/>
        <w:rPr>
          <w:b/>
          <w:b/>
        </w:rPr>
      </w:pPr>
      <w:r>
        <w:rPr>
          <w:b/>
        </w:rPr>
        <w:t>ISMS Manager:</w:t>
      </w:r>
    </w:p>
    <w:p>
      <w:pPr>
        <w:pStyle w:val="Normal1"/>
        <w:pageBreakBefore w:val="false"/>
        <w:numPr>
          <w:ilvl w:val="0"/>
          <w:numId w:val="2"/>
        </w:numPr>
        <w:spacing w:lineRule="auto" w:line="276" w:before="0" w:afterAutospacing="0" w:after="0"/>
        <w:ind w:left="720" w:hanging="360"/>
        <w:jc w:val="both"/>
        <w:rPr>
          <w:u w:val="none"/>
        </w:rPr>
      </w:pPr>
      <w:r>
        <w:rPr/>
        <w:t>Manage software installation process;</w:t>
      </w:r>
    </w:p>
    <w:p>
      <w:pPr>
        <w:pStyle w:val="Normal1"/>
        <w:pageBreakBefore w:val="false"/>
        <w:numPr>
          <w:ilvl w:val="0"/>
          <w:numId w:val="2"/>
        </w:numPr>
        <w:spacing w:lineRule="auto" w:line="276" w:before="0" w:afterAutospacing="0" w:after="0"/>
        <w:ind w:left="720" w:hanging="360"/>
        <w:jc w:val="both"/>
        <w:rPr>
          <w:u w:val="none"/>
        </w:rPr>
      </w:pPr>
      <w:r>
        <w:rPr/>
        <w:t>Create a list of all current software used in the company with SOC Analyst;</w:t>
      </w:r>
    </w:p>
    <w:p>
      <w:pPr>
        <w:pStyle w:val="Normal1"/>
        <w:pageBreakBefore w:val="false"/>
        <w:numPr>
          <w:ilvl w:val="0"/>
          <w:numId w:val="2"/>
        </w:numPr>
        <w:spacing w:lineRule="auto" w:line="276" w:before="0" w:after="200"/>
        <w:ind w:left="720" w:hanging="360"/>
        <w:jc w:val="both"/>
        <w:rPr>
          <w:u w:val="none"/>
        </w:rPr>
      </w:pPr>
      <w:r>
        <w:rPr/>
        <w:t>Create the Software Blacklist with SOC Analyst.</w:t>
      </w:r>
    </w:p>
    <w:p>
      <w:pPr>
        <w:pStyle w:val="Normal1"/>
        <w:pageBreakBefore w:val="false"/>
        <w:spacing w:lineRule="auto" w:line="276" w:before="0" w:after="200"/>
        <w:jc w:val="both"/>
        <w:rPr>
          <w:b/>
          <w:b/>
        </w:rPr>
      </w:pPr>
      <w:r>
        <w:rPr>
          <w:b/>
        </w:rPr>
        <w:t>SOC Analyst:</w:t>
      </w:r>
    </w:p>
    <w:p>
      <w:pPr>
        <w:pStyle w:val="Normal1"/>
        <w:pageBreakBefore w:val="false"/>
        <w:numPr>
          <w:ilvl w:val="0"/>
          <w:numId w:val="10"/>
        </w:numPr>
        <w:spacing w:lineRule="auto" w:line="276" w:before="0" w:afterAutospacing="0" w:after="0"/>
        <w:ind w:left="720" w:hanging="360"/>
        <w:jc w:val="both"/>
        <w:rPr>
          <w:u w:val="none"/>
        </w:rPr>
      </w:pPr>
      <w:r>
        <w:rPr/>
        <w:t>Create a list of all current software used in the company with ISMS Manager;</w:t>
      </w:r>
    </w:p>
    <w:p>
      <w:pPr>
        <w:pStyle w:val="Normal1"/>
        <w:pageBreakBefore w:val="false"/>
        <w:numPr>
          <w:ilvl w:val="0"/>
          <w:numId w:val="10"/>
        </w:numPr>
        <w:spacing w:lineRule="auto" w:line="276" w:before="0" w:afterAutospacing="0" w:after="0"/>
        <w:ind w:left="720" w:hanging="360"/>
        <w:jc w:val="both"/>
        <w:rPr>
          <w:u w:val="none"/>
        </w:rPr>
      </w:pPr>
      <w:r>
        <w:rPr/>
        <w:t>Create the Software Blacklist with ISMS Manager;</w:t>
      </w:r>
    </w:p>
    <w:p>
      <w:pPr>
        <w:pStyle w:val="Normal1"/>
        <w:pageBreakBefore w:val="false"/>
        <w:numPr>
          <w:ilvl w:val="0"/>
          <w:numId w:val="10"/>
        </w:numPr>
        <w:spacing w:lineRule="auto" w:line="276" w:before="0" w:afterAutospacing="0" w:after="0"/>
        <w:ind w:left="720" w:hanging="360"/>
        <w:jc w:val="both"/>
        <w:rPr>
          <w:u w:val="none"/>
        </w:rPr>
      </w:pPr>
      <w:r>
        <w:rPr/>
        <w:t xml:space="preserve">Monitor the suspicious activity associated with the software installation;  </w:t>
      </w:r>
    </w:p>
    <w:p>
      <w:pPr>
        <w:pStyle w:val="Normal1"/>
        <w:pageBreakBefore w:val="false"/>
        <w:numPr>
          <w:ilvl w:val="0"/>
          <w:numId w:val="10"/>
        </w:numPr>
        <w:spacing w:lineRule="auto" w:line="276" w:before="0" w:afterAutospacing="0" w:after="0"/>
        <w:ind w:left="720" w:hanging="360"/>
        <w:jc w:val="both"/>
        <w:rPr>
          <w:u w:val="none"/>
        </w:rPr>
      </w:pPr>
      <w:r>
        <w:rPr/>
        <w:t>Prepare a report on critical information security incidents;</w:t>
      </w:r>
    </w:p>
    <w:p>
      <w:pPr>
        <w:pStyle w:val="Normal1"/>
        <w:pageBreakBefore w:val="false"/>
        <w:numPr>
          <w:ilvl w:val="0"/>
          <w:numId w:val="10"/>
        </w:numPr>
        <w:spacing w:lineRule="auto" w:line="276" w:before="0" w:after="200"/>
        <w:ind w:left="720" w:hanging="360"/>
        <w:jc w:val="both"/>
        <w:rPr>
          <w:u w:val="none"/>
        </w:rPr>
      </w:pPr>
      <w:r>
        <w:rPr/>
        <w:t>Escalate actual true positive events to the Incident Management team.</w:t>
      </w:r>
    </w:p>
    <w:p>
      <w:pPr>
        <w:pStyle w:val="Normal1"/>
        <w:pageBreakBefore w:val="false"/>
        <w:spacing w:lineRule="auto" w:line="276" w:before="0" w:after="200"/>
        <w:jc w:val="both"/>
        <w:rPr>
          <w:b/>
          <w:b/>
        </w:rPr>
      </w:pPr>
      <w:r>
        <w:rPr>
          <w:b/>
        </w:rPr>
        <w:t>Incident Management Team:</w:t>
      </w:r>
    </w:p>
    <w:p>
      <w:pPr>
        <w:pStyle w:val="Normal1"/>
        <w:pageBreakBefore w:val="false"/>
        <w:numPr>
          <w:ilvl w:val="0"/>
          <w:numId w:val="3"/>
        </w:numPr>
        <w:spacing w:lineRule="auto" w:line="276" w:before="0" w:after="200"/>
        <w:ind w:left="720" w:hanging="360"/>
        <w:jc w:val="both"/>
        <w:rPr>
          <w:u w:val="none"/>
        </w:rPr>
      </w:pPr>
      <w:r>
        <w:rPr/>
        <w:t>Respond to the security incidents in time.</w:t>
      </w:r>
    </w:p>
    <w:p>
      <w:pPr>
        <w:pStyle w:val="Normal1"/>
        <w:pageBreakBefore w:val="false"/>
        <w:spacing w:lineRule="auto" w:line="276" w:before="0" w:after="200"/>
        <w:jc w:val="both"/>
        <w:rPr>
          <w:b/>
          <w:b/>
        </w:rPr>
      </w:pPr>
      <w:r>
        <w:rPr>
          <w:b/>
        </w:rPr>
        <w:t>Security Engineer:</w:t>
      </w:r>
    </w:p>
    <w:p>
      <w:pPr>
        <w:pStyle w:val="Normal1"/>
        <w:pageBreakBefore w:val="false"/>
        <w:numPr>
          <w:ilvl w:val="0"/>
          <w:numId w:val="7"/>
        </w:numPr>
        <w:spacing w:lineRule="auto" w:line="276" w:before="0" w:afterAutospacing="0" w:after="0"/>
        <w:ind w:left="720" w:hanging="360"/>
        <w:jc w:val="both"/>
        <w:rPr>
          <w:u w:val="none"/>
        </w:rPr>
      </w:pPr>
      <w:r>
        <w:rPr/>
        <w:t>Set up security configurations on the network equipment;</w:t>
      </w:r>
    </w:p>
    <w:p>
      <w:pPr>
        <w:pStyle w:val="Normal1"/>
        <w:pageBreakBefore w:val="false"/>
        <w:numPr>
          <w:ilvl w:val="0"/>
          <w:numId w:val="7"/>
        </w:numPr>
        <w:spacing w:lineRule="auto" w:line="276" w:before="0" w:afterAutospacing="0" w:after="0"/>
        <w:ind w:left="720" w:hanging="360"/>
        <w:jc w:val="both"/>
        <w:rPr>
          <w:u w:val="none"/>
        </w:rPr>
      </w:pPr>
      <w:r>
        <w:rPr/>
        <w:t>Connect log sources with &lt;</w:t>
      </w:r>
      <w:r>
        <w:rPr>
          <w:highlight w:val="yellow"/>
        </w:rPr>
        <w:t>SIEM</w:t>
      </w:r>
      <w:r>
        <w:rPr/>
        <w:t>&gt;, and confirm the existence of alerts;</w:t>
      </w:r>
    </w:p>
    <w:p>
      <w:pPr>
        <w:pStyle w:val="Normal1"/>
        <w:pageBreakBefore w:val="false"/>
        <w:numPr>
          <w:ilvl w:val="0"/>
          <w:numId w:val="7"/>
        </w:numPr>
        <w:spacing w:lineRule="auto" w:line="276" w:before="0" w:after="200"/>
        <w:ind w:left="720" w:hanging="360"/>
        <w:jc w:val="both"/>
        <w:rPr>
          <w:u w:val="none"/>
        </w:rPr>
      </w:pPr>
      <w:r>
        <w:rPr/>
        <w:t>Continuously improve the security system.</w:t>
      </w:r>
    </w:p>
    <w:p>
      <w:pPr>
        <w:pStyle w:val="Heading1"/>
        <w:pageBreakBefore w:val="false"/>
        <w:spacing w:lineRule="auto" w:line="276" w:before="0" w:after="200"/>
        <w:jc w:val="both"/>
        <w:rPr>
          <w:color w:val="4A86E8"/>
        </w:rPr>
      </w:pPr>
      <w:bookmarkStart w:id="23" w:name="_g3sfcv9793ai"/>
      <w:bookmarkEnd w:id="23"/>
      <w:r>
        <w:rPr>
          <w:color w:val="4A86E8"/>
        </w:rPr>
        <w:t>Policy</w:t>
      </w:r>
    </w:p>
    <w:p>
      <w:pPr>
        <w:pStyle w:val="Normal1"/>
        <w:pageBreakBefore w:val="false"/>
        <w:spacing w:lineRule="auto" w:line="276" w:before="0" w:after="200"/>
        <w:jc w:val="both"/>
        <w:rPr/>
      </w:pPr>
      <w:r>
        <w:rPr/>
        <w:t>Employees have to refer to the &lt;</w:t>
      </w:r>
      <w:r>
        <w:rPr>
          <w:highlight w:val="yellow"/>
        </w:rPr>
        <w:t>Company</w:t>
      </w:r>
      <w:r>
        <w:rPr/>
        <w:t>&gt; Software Blocklist.</w:t>
      </w:r>
    </w:p>
    <w:p>
      <w:pPr>
        <w:pStyle w:val="Heading2"/>
        <w:keepNext w:val="false"/>
        <w:keepLines w:val="false"/>
        <w:pageBreakBefore w:val="false"/>
        <w:spacing w:lineRule="auto" w:line="276" w:before="0" w:after="200"/>
        <w:jc w:val="both"/>
        <w:rPr/>
      </w:pPr>
      <w:bookmarkStart w:id="24" w:name="_xr2htx6z7x8c"/>
      <w:bookmarkEnd w:id="24"/>
      <w:r>
        <w:rPr/>
        <w:t>Installation and support of software</w:t>
      </w:r>
    </w:p>
    <w:p>
      <w:pPr>
        <w:pStyle w:val="Normal1"/>
        <w:pageBreakBefore w:val="false"/>
        <w:spacing w:lineRule="auto" w:line="276" w:before="0" w:after="200"/>
        <w:jc w:val="both"/>
        <w:rPr/>
      </w:pPr>
      <w:r>
        <w:rPr/>
        <w:t>The Asset Manager is exclusively responsible for installing and supporting all initial software on the corporate equipment. The Asset Manager relies on installation and support to provide software and hardware in good operating conditions to employees so they can best accomplish their tasks.</w:t>
      </w:r>
    </w:p>
    <w:p>
      <w:pPr>
        <w:pStyle w:val="Heading2"/>
        <w:pageBreakBefore w:val="false"/>
        <w:spacing w:lineRule="auto" w:line="276" w:before="0" w:after="200"/>
        <w:jc w:val="both"/>
        <w:rPr/>
      </w:pPr>
      <w:bookmarkStart w:id="25" w:name="_mjherlh94yhd"/>
      <w:bookmarkEnd w:id="25"/>
      <w:r>
        <w:rPr/>
        <w:t>Licensed software</w:t>
      </w:r>
    </w:p>
    <w:p>
      <w:pPr>
        <w:pStyle w:val="Normal1"/>
        <w:pageBreakBefore w:val="false"/>
        <w:spacing w:lineRule="auto" w:line="276" w:before="0" w:after="200"/>
        <w:jc w:val="both"/>
        <w:rPr/>
      </w:pPr>
      <w:r>
        <w:rPr/>
        <w:t>It is the responsibility of the Asset Manager to ensure all licensing is accurate and up to date. To address this problem, Asset Manager is responsible for purchasing software licenses for the following software categories:</w:t>
      </w:r>
    </w:p>
    <w:p>
      <w:pPr>
        <w:pStyle w:val="Normal1"/>
        <w:pageBreakBefore w:val="false"/>
        <w:numPr>
          <w:ilvl w:val="0"/>
          <w:numId w:val="8"/>
        </w:numPr>
        <w:spacing w:lineRule="auto" w:line="276" w:before="0" w:afterAutospacing="0" w:after="0"/>
        <w:ind w:left="720" w:hanging="360"/>
        <w:jc w:val="both"/>
        <w:rPr>
          <w:u w:val="none"/>
        </w:rPr>
      </w:pPr>
      <w:r>
        <w:rPr/>
        <w:t>Desktop operating system software (</w:t>
      </w:r>
      <w:r>
        <w:rPr>
          <w:color w:val="202124"/>
          <w:sz w:val="21"/>
          <w:szCs w:val="21"/>
        </w:rPr>
        <w:t>Windows, Mac OS</w:t>
      </w:r>
      <w:r>
        <w:rPr/>
        <w:t>).</w:t>
      </w:r>
    </w:p>
    <w:p>
      <w:pPr>
        <w:pStyle w:val="Normal1"/>
        <w:pageBreakBefore w:val="false"/>
        <w:numPr>
          <w:ilvl w:val="0"/>
          <w:numId w:val="8"/>
        </w:numPr>
        <w:spacing w:lineRule="auto" w:line="276" w:before="0" w:after="200"/>
        <w:ind w:left="720" w:hanging="360"/>
        <w:jc w:val="both"/>
        <w:rPr>
          <w:u w:val="none"/>
        </w:rPr>
      </w:pPr>
      <w:r>
        <w:rPr/>
        <w:t>Productivity tools package (&lt;</w:t>
      </w:r>
      <w:r>
        <w:rPr>
          <w:highlight w:val="yellow"/>
        </w:rPr>
        <w:t>VPN, EDR, etc.</w:t>
      </w:r>
      <w:r>
        <w:rPr/>
        <w:t>&gt;).</w:t>
      </w:r>
    </w:p>
    <w:p>
      <w:pPr>
        <w:pStyle w:val="Normal1"/>
        <w:pageBreakBefore w:val="false"/>
        <w:spacing w:lineRule="auto" w:line="276" w:before="0" w:after="200"/>
        <w:jc w:val="both"/>
        <w:rPr/>
      </w:pPr>
      <w:r>
        <w:rPr/>
        <w:t>The other software categories are the purchasing responsibility of the workgroup in which they serve. However, the application(s) are still installed and supported.</w:t>
      </w:r>
    </w:p>
    <w:p>
      <w:pPr>
        <w:pStyle w:val="Heading2"/>
        <w:pageBreakBefore w:val="false"/>
        <w:spacing w:lineRule="auto" w:line="276" w:before="0" w:after="200"/>
        <w:jc w:val="both"/>
        <w:rPr/>
      </w:pPr>
      <w:bookmarkStart w:id="26" w:name="_9uvofi4m58u7"/>
      <w:bookmarkEnd w:id="26"/>
      <w:r>
        <w:rPr/>
        <w:t>Unlicensed software</w:t>
      </w:r>
    </w:p>
    <w:p>
      <w:pPr>
        <w:pStyle w:val="Normal1"/>
        <w:pageBreakBefore w:val="false"/>
        <w:numPr>
          <w:ilvl w:val="0"/>
          <w:numId w:val="5"/>
        </w:numPr>
        <w:spacing w:lineRule="auto" w:line="276" w:before="0" w:afterAutospacing="0" w:after="0"/>
        <w:ind w:left="720" w:hanging="360"/>
        <w:jc w:val="both"/>
        <w:rPr>
          <w:u w:val="none"/>
        </w:rPr>
      </w:pPr>
      <w:r>
        <w:rPr/>
        <w:t xml:space="preserve">Keep track of that if the software needs a license. Many applications can be installed only in case of paying the initial/monthly/annual fee. The exception is, of course, the “freeware” or “public domain software.” </w:t>
      </w:r>
    </w:p>
    <w:p>
      <w:pPr>
        <w:pStyle w:val="Normal1"/>
        <w:pageBreakBefore w:val="false"/>
        <w:numPr>
          <w:ilvl w:val="0"/>
          <w:numId w:val="5"/>
        </w:numPr>
        <w:spacing w:lineRule="auto" w:line="276" w:before="0" w:afterAutospacing="0" w:after="0"/>
        <w:ind w:left="720" w:hanging="360"/>
        <w:jc w:val="both"/>
        <w:rPr>
          <w:u w:val="none"/>
        </w:rPr>
      </w:pPr>
      <w:r>
        <w:rPr/>
        <w:t xml:space="preserve">Shareware or trial packages must be deleted or licensed by the end of the permitted free trial period. </w:t>
      </w:r>
    </w:p>
    <w:p>
      <w:pPr>
        <w:pStyle w:val="Normal1"/>
        <w:pageBreakBefore w:val="false"/>
        <w:numPr>
          <w:ilvl w:val="0"/>
          <w:numId w:val="5"/>
        </w:numPr>
        <w:spacing w:lineRule="auto" w:line="276" w:before="0" w:after="200"/>
        <w:ind w:left="720" w:hanging="360"/>
        <w:jc w:val="both"/>
        <w:rPr>
          <w:u w:val="none"/>
        </w:rPr>
      </w:pPr>
      <w:r>
        <w:rPr/>
        <w:t>Some software is limited to free use by private individuals, whereas commercial use requires a license payment, so do not risk bringing &lt;</w:t>
      </w:r>
      <w:r>
        <w:rPr>
          <w:highlight w:val="yellow"/>
        </w:rPr>
        <w:t>Company</w:t>
      </w:r>
      <w:r>
        <w:rPr/>
        <w:t>&gt; into disrepute by breaking the law.</w:t>
      </w:r>
    </w:p>
    <w:p>
      <w:pPr>
        <w:pStyle w:val="Heading2"/>
        <w:pageBreakBefore w:val="false"/>
        <w:spacing w:lineRule="auto" w:line="276" w:before="0" w:after="200"/>
        <w:jc w:val="both"/>
        <w:rPr/>
      </w:pPr>
      <w:bookmarkStart w:id="27" w:name="_nalbf7qgsyyn"/>
      <w:bookmarkEnd w:id="27"/>
      <w:r>
        <w:rPr/>
        <w:t>Unauthorized software</w:t>
      </w:r>
    </w:p>
    <w:p>
      <w:pPr>
        <w:pStyle w:val="Normal1"/>
        <w:pageBreakBefore w:val="false"/>
        <w:numPr>
          <w:ilvl w:val="0"/>
          <w:numId w:val="1"/>
        </w:numPr>
        <w:spacing w:lineRule="auto" w:line="276" w:before="0" w:afterAutospacing="0" w:after="0"/>
        <w:ind w:left="720" w:hanging="360"/>
        <w:jc w:val="both"/>
        <w:rPr>
          <w:u w:val="none"/>
        </w:rPr>
      </w:pPr>
      <w:r>
        <w:rPr/>
        <w:t>Employees can install software on corporate equipment only for professional usage.</w:t>
      </w:r>
    </w:p>
    <w:p>
      <w:pPr>
        <w:pStyle w:val="Normal1"/>
        <w:pageBreakBefore w:val="false"/>
        <w:numPr>
          <w:ilvl w:val="0"/>
          <w:numId w:val="1"/>
        </w:numPr>
        <w:spacing w:lineRule="auto" w:line="276" w:before="0" w:afterAutospacing="0" w:after="0"/>
        <w:ind w:left="720" w:hanging="360"/>
        <w:jc w:val="both"/>
        <w:rPr>
          <w:u w:val="none"/>
        </w:rPr>
      </w:pPr>
      <w:r>
        <w:rPr/>
        <w:t xml:space="preserve">It is restricted to downloading, installing, or using unauthorized software because it can cause severe hardware and network security vulnerabilities. </w:t>
      </w:r>
    </w:p>
    <w:p>
      <w:pPr>
        <w:pStyle w:val="Normal1"/>
        <w:pageBreakBefore w:val="false"/>
        <w:numPr>
          <w:ilvl w:val="0"/>
          <w:numId w:val="1"/>
        </w:numPr>
        <w:spacing w:lineRule="auto" w:line="276" w:before="0" w:after="200"/>
        <w:ind w:left="720" w:hanging="360"/>
        <w:jc w:val="both"/>
        <w:rPr>
          <w:u w:val="none"/>
        </w:rPr>
      </w:pPr>
      <w:r>
        <w:rPr/>
        <w:t xml:space="preserve">Software packages that permit the computer to be ‘remote-controlled’ (e.g., PC anywhere), ‘hacking tools’ (e.g., network sniffers and password crackers), and any kind of not corporate VPN are explicitly forbidden on equipment unless they have been pre-authorized expressly by management for legitimate business purposes. </w:t>
      </w:r>
    </w:p>
    <w:p>
      <w:pPr>
        <w:pStyle w:val="Heading2"/>
        <w:spacing w:lineRule="auto" w:line="240" w:before="360" w:after="200"/>
        <w:jc w:val="both"/>
        <w:rPr/>
      </w:pPr>
      <w:bookmarkStart w:id="28" w:name="_c0msidrqdlx5"/>
      <w:bookmarkEnd w:id="28"/>
      <w:r>
        <w:rPr/>
        <w:t>Exception</w:t>
      </w:r>
    </w:p>
    <w:p>
      <w:pPr>
        <w:pStyle w:val="Normal1"/>
        <w:numPr>
          <w:ilvl w:val="0"/>
          <w:numId w:val="9"/>
        </w:numPr>
        <w:ind w:left="720" w:hanging="360"/>
        <w:jc w:val="both"/>
        <w:rPr>
          <w:u w:val="none"/>
        </w:rPr>
      </w:pPr>
      <w:r>
        <w:rPr/>
        <w:t>Pentester Team is allowed to install malicious or any type of software or files as a part of their work only on virtual machines or using an isolated network provided by &lt;</w:t>
      </w:r>
      <w:r>
        <w:rPr>
          <w:highlight w:val="yellow"/>
        </w:rPr>
        <w:t>Company</w:t>
      </w:r>
      <w:r>
        <w:rPr/>
        <w:t>&gt;.</w:t>
      </w:r>
    </w:p>
    <w:p>
      <w:pPr>
        <w:pStyle w:val="Normal1"/>
        <w:ind w:left="0" w:hanging="0"/>
        <w:rPr/>
      </w:pPr>
      <w:r>
        <w:rPr/>
      </w:r>
    </w:p>
    <w:p>
      <w:pPr>
        <w:pStyle w:val="Heading1"/>
        <w:pageBreakBefore w:val="false"/>
        <w:spacing w:lineRule="auto" w:line="276" w:before="0" w:after="200"/>
        <w:jc w:val="both"/>
        <w:rPr>
          <w:color w:val="4A86E8"/>
        </w:rPr>
      </w:pPr>
      <w:bookmarkStart w:id="29" w:name="_oo4pebgvtuk2"/>
      <w:bookmarkEnd w:id="29"/>
      <w:r>
        <w:rPr>
          <w:color w:val="4A86E8"/>
        </w:rPr>
        <w:t>Disciplinary actions</w:t>
      </w:r>
    </w:p>
    <w:p>
      <w:pPr>
        <w:pStyle w:val="Normal1"/>
        <w:pageBreakBefore w:val="false"/>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76" w:before="0" w:after="200"/>
        <w:jc w:val="both"/>
        <w:rPr>
          <w:color w:val="4A86E8"/>
        </w:rPr>
      </w:pPr>
      <w:bookmarkStart w:id="30" w:name="_6cu0cv3y3y7n"/>
      <w:bookmarkEnd w:id="30"/>
      <w:r>
        <w:rPr>
          <w:color w:val="4A86E8"/>
        </w:rPr>
        <w:t>Change, Review, and Update</w:t>
      </w:r>
    </w:p>
    <w:p>
      <w:pPr>
        <w:pStyle w:val="Normal1"/>
        <w:pageBreakBefore w:val="false"/>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76" w:before="0" w:after="200"/>
        <w:jc w:val="both"/>
        <w:rPr>
          <w:color w:val="4A86E8"/>
        </w:rPr>
      </w:pPr>
      <w:bookmarkStart w:id="31" w:name="_fxvzxllev4xj"/>
      <w:bookmarkEnd w:id="31"/>
      <w:r>
        <w:rPr>
          <w:color w:val="4A86E8"/>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32" w:name="_abyh665p4kb0"/>
      <w:bookmarkEnd w:id="32"/>
      <w:r>
        <w:rPr>
          <w:color w:val="4A86E8"/>
        </w:rPr>
        <w:t>Reference</w:t>
      </w:r>
    </w:p>
    <w:p>
      <w:pPr>
        <w:pStyle w:val="Normal1"/>
        <w:pageBreakBefore w:val="false"/>
        <w:numPr>
          <w:ilvl w:val="0"/>
          <w:numId w:val="6"/>
        </w:numPr>
        <w:spacing w:lineRule="auto" w:line="276" w:before="0" w:afterAutospacing="0" w:after="0"/>
        <w:ind w:left="720" w:hanging="360"/>
        <w:jc w:val="both"/>
        <w:rPr>
          <w:u w:val="none"/>
        </w:rPr>
      </w:pPr>
      <w:r>
        <w:rPr/>
        <w:t>ISO 27001 Annex A.12.5.1 Installation of software on operational systems</w:t>
      </w:r>
    </w:p>
    <w:p>
      <w:pPr>
        <w:pStyle w:val="Normal1"/>
        <w:pageBreakBefore w:val="false"/>
        <w:numPr>
          <w:ilvl w:val="0"/>
          <w:numId w:val="6"/>
        </w:numPr>
        <w:spacing w:lineRule="auto" w:line="276" w:before="0" w:afterAutospacing="0" w:after="0"/>
        <w:ind w:left="720" w:hanging="360"/>
        <w:jc w:val="both"/>
        <w:rPr>
          <w:u w:val="none"/>
        </w:rPr>
      </w:pPr>
      <w:r>
        <w:rPr/>
        <w:t>ISO 27001 Annex A.12.6.2 Restrictions on software installation</w:t>
      </w:r>
    </w:p>
    <w:p>
      <w:pPr>
        <w:pStyle w:val="Normal1"/>
        <w:pageBreakBefore w:val="false"/>
        <w:numPr>
          <w:ilvl w:val="0"/>
          <w:numId w:val="6"/>
        </w:numPr>
        <w:spacing w:lineRule="auto" w:line="276" w:before="0" w:after="200"/>
        <w:ind w:left="720" w:hanging="360"/>
        <w:jc w:val="both"/>
        <w:rPr>
          <w:u w:val="none"/>
        </w:rPr>
      </w:pPr>
      <w:r>
        <w:rPr/>
        <w:t>ISO 27001 Annex A.18.1.2 Intellectual property rights</w:t>
      </w:r>
    </w:p>
    <w:p>
      <w:pPr>
        <w:pStyle w:val="Heading1"/>
        <w:pageBreakBefore w:val="false"/>
        <w:spacing w:lineRule="auto" w:line="240" w:before="400" w:after="200"/>
        <w:jc w:val="both"/>
        <w:rPr>
          <w:color w:val="4A86E8"/>
        </w:rPr>
      </w:pPr>
      <w:bookmarkStart w:id="33" w:name="_8mf7linb0n0o"/>
      <w:bookmarkEnd w:id="33"/>
      <w:r>
        <w:rPr>
          <w:color w:val="4A86E8"/>
        </w:rPr>
        <w:t>Related Documents</w:t>
      </w:r>
    </w:p>
    <w:p>
      <w:pPr>
        <w:pStyle w:val="Normal1"/>
        <w:pageBreakBefore w:val="false"/>
        <w:numPr>
          <w:ilvl w:val="0"/>
          <w:numId w:val="4"/>
        </w:numPr>
        <w:spacing w:lineRule="auto" w:line="276" w:before="0" w:after="200"/>
        <w:ind w:left="720" w:hanging="360"/>
        <w:jc w:val="both"/>
        <w:rPr>
          <w:u w:val="none"/>
        </w:rPr>
      </w:pPr>
      <w:r>
        <w:rPr/>
        <w:t>&lt;</w:t>
      </w:r>
      <w:r>
        <w:rPr>
          <w:highlight w:val="yellow"/>
        </w:rPr>
        <w:t>Company</w:t>
      </w:r>
      <w:r>
        <w:rPr/>
        <w:t>&gt; Risk Assessment</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Software Installation Policy</w:t>
      <w:tab/>
      <w:tab/>
      <w:tab/>
      <w:tab/>
      <w:tab/>
      <w:tab/>
      <w:tab/>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1037</Words>
  <Characters>5910</Characters>
  <CharactersWithSpaces>6821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2024-08-08T22:52:36Z</dcterms:modified>
  <cp:revision>1</cp:revision>
  <dc:subject/>
  <dc:title/>
</cp:coreProperties>
</file>