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foycc6pz1l4e"/>
      <w:bookmarkStart w:id="1" w:name="_foycc6pz1l4e"/>
      <w:bookmarkEnd w:id="1"/>
    </w:p>
    <w:p>
      <w:pPr>
        <w:pStyle w:val="Title"/>
        <w:spacing w:lineRule="auto" w:line="276"/>
        <w:ind w:left="0" w:hanging="0"/>
        <w:jc w:val="center"/>
        <w:rPr>
          <w:b/>
          <w:b/>
        </w:rPr>
      </w:pPr>
      <w:r>
        <w:rPr>
          <w:b/>
        </w:rPr>
      </w:r>
      <w:bookmarkStart w:id="2" w:name="_jx6jembd28kz"/>
      <w:bookmarkStart w:id="3" w:name="_jx6jembd28kz"/>
      <w:bookmarkEnd w:id="3"/>
    </w:p>
    <w:p>
      <w:pPr>
        <w:pStyle w:val="Title"/>
        <w:spacing w:lineRule="auto" w:line="276"/>
        <w:ind w:left="0" w:hanging="0"/>
        <w:jc w:val="center"/>
        <w:rPr>
          <w:b/>
          <w:b/>
        </w:rPr>
      </w:pPr>
      <w:r>
        <w:rPr>
          <w:b/>
        </w:rPr>
      </w:r>
      <w:bookmarkStart w:id="4" w:name="_rwmzv1hbuhr4"/>
      <w:bookmarkStart w:id="5" w:name="_rwmzv1hbuhr4"/>
      <w:bookmarkEnd w:id="5"/>
    </w:p>
    <w:p>
      <w:pPr>
        <w:pStyle w:val="Title"/>
        <w:spacing w:lineRule="auto" w:line="276"/>
        <w:ind w:left="0" w:hanging="0"/>
        <w:jc w:val="center"/>
        <w:rPr>
          <w:b/>
          <w:b/>
        </w:rPr>
      </w:pPr>
      <w:r>
        <w:rPr>
          <w:b/>
        </w:rPr>
      </w:r>
      <w:bookmarkStart w:id="6" w:name="_rwalaly1eo19"/>
      <w:bookmarkStart w:id="7" w:name="_rwalaly1eo19"/>
      <w:bookmarkEnd w:id="7"/>
    </w:p>
    <w:p>
      <w:pPr>
        <w:pStyle w:val="Title"/>
        <w:spacing w:lineRule="auto" w:line="276"/>
        <w:ind w:left="0" w:hanging="0"/>
        <w:jc w:val="center"/>
        <w:rPr>
          <w:b/>
          <w:b/>
        </w:rPr>
      </w:pPr>
      <w:r>
        <w:rPr>
          <w:b/>
        </w:rPr>
      </w:r>
      <w:bookmarkStart w:id="8" w:name="_rg1r9lt3q3"/>
      <w:bookmarkStart w:id="9" w:name="_rg1r9lt3q3"/>
      <w:bookmarkEnd w:id="9"/>
    </w:p>
    <w:p>
      <w:pPr>
        <w:pStyle w:val="Title"/>
        <w:spacing w:lineRule="auto" w:line="276"/>
        <w:ind w:left="0" w:hanging="0"/>
        <w:jc w:val="center"/>
        <w:rPr>
          <w:b/>
          <w:b/>
        </w:rPr>
      </w:pPr>
      <w:r>
        <w:rPr>
          <w:b/>
        </w:rPr>
      </w:r>
      <w:bookmarkStart w:id="10" w:name="_8xha2wtudhxd"/>
      <w:bookmarkStart w:id="11" w:name="_8xha2wtudhxd"/>
      <w:bookmarkEnd w:id="11"/>
    </w:p>
    <w:p>
      <w:pPr>
        <w:pStyle w:val="Title"/>
        <w:spacing w:lineRule="auto" w:line="276"/>
        <w:ind w:left="0" w:hanging="0"/>
        <w:jc w:val="center"/>
        <w:rPr>
          <w:b/>
          <w:b/>
        </w:rPr>
      </w:pPr>
      <w:bookmarkStart w:id="12" w:name="_zesqro7z6iwf"/>
      <w:bookmarkEnd w:id="12"/>
      <w:r>
        <w:rPr>
          <w:b/>
        </w:rPr>
        <w:t xml:space="preserve">&lt;Your </w:t>
      </w:r>
      <w:r>
        <w:rPr>
          <w:b/>
          <w:highlight w:val="yellow"/>
        </w:rPr>
        <w:t>Company Logo</w:t>
      </w:r>
      <w:r>
        <w:rPr>
          <w:b/>
        </w:rPr>
        <w:t>&gt;</w:t>
      </w:r>
    </w:p>
    <w:p>
      <w:pPr>
        <w:pStyle w:val="Title"/>
        <w:jc w:val="center"/>
        <w:rPr>
          <w:b/>
          <w:b/>
        </w:rPr>
      </w:pPr>
      <w:bookmarkStart w:id="13" w:name="_tz5hfovt0bf4"/>
      <w:bookmarkEnd w:id="13"/>
      <w:r>
        <w:rPr>
          <w:b/>
          <w:color w:val="FF9900"/>
        </w:rPr>
        <w:t>Supplier Security Policy</w:t>
      </w:r>
      <w:r>
        <w:br w:type="page"/>
      </w:r>
    </w:p>
    <w:p>
      <w:pPr>
        <w:pStyle w:val="Normal1"/>
        <w:rPr/>
      </w:pPr>
      <w:r>
        <w:rPr/>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rPr/>
      </w:pPr>
      <w:r>
        <w:rPr/>
      </w:r>
    </w:p>
    <w:p>
      <w:pPr>
        <w:pStyle w:val="Heading1"/>
        <w:spacing w:lineRule="auto" w:line="240" w:before="0" w:after="200"/>
        <w:jc w:val="both"/>
        <w:rPr>
          <w:color w:val="4A86E8"/>
          <w:sz w:val="34"/>
          <w:szCs w:val="34"/>
        </w:rPr>
      </w:pPr>
      <w:r>
        <w:rPr>
          <w:color w:val="4A86E8"/>
          <w:sz w:val="34"/>
          <w:szCs w:val="34"/>
        </w:rPr>
      </w:r>
      <w:bookmarkStart w:id="15" w:name="_gj5c43v9gzca"/>
      <w:bookmarkStart w:id="16" w:name="_gj5c43v9gzca"/>
      <w:bookmarkEnd w:id="16"/>
      <w:r>
        <w:br w:type="page"/>
      </w:r>
    </w:p>
    <w:p>
      <w:pPr>
        <w:pStyle w:val="Heading1"/>
        <w:spacing w:lineRule="auto" w:line="240" w:before="0" w:after="200"/>
        <w:jc w:val="both"/>
        <w:rPr>
          <w:b/>
          <w:b/>
          <w:i/>
          <w:i/>
          <w:color w:val="4A86E8"/>
        </w:rPr>
      </w:pPr>
      <w:bookmarkStart w:id="17" w:name="_cj9vnfyr0ye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j9vnfyr0ye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rdebqtyz6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z4gzxs2rscp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mrhyl6jj99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rp1yfmi46ax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zqdkfnf38k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Supplier Risk Assessment</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98lr3prdh9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Screening</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kez5qro96w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Supplier agreements</w:t>
              <w:tab/>
              <w:t>6</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6fn8hdi6le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NDA</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augb696cm7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Supplier Management</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ehwicbzif4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Monitoring</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jzhwhc0xpm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Termination of agreements</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eyfoygex9z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n01zof837vb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mi6e65mrklv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40" w:before="0" w:after="200"/>
        <w:jc w:val="both"/>
        <w:rPr>
          <w:color w:val="4A86E8"/>
        </w:rPr>
      </w:pPr>
      <w:r>
        <w:rPr>
          <w:color w:val="4A86E8"/>
        </w:rPr>
      </w:r>
      <w:bookmarkStart w:id="18" w:name="_4jpwmx485b63"/>
      <w:bookmarkStart w:id="19" w:name="_4jpwmx485b63"/>
      <w:bookmarkEnd w:id="19"/>
    </w:p>
    <w:p>
      <w:pPr>
        <w:pStyle w:val="Heading1"/>
        <w:spacing w:lineRule="auto" w:line="276" w:before="0" w:after="200"/>
        <w:jc w:val="both"/>
        <w:rPr>
          <w:b/>
          <w:b/>
          <w:color w:val="4A86E8"/>
        </w:rPr>
      </w:pPr>
      <w:r>
        <w:rPr>
          <w:b/>
          <w:color w:val="4A86E8"/>
        </w:rPr>
      </w:r>
      <w:bookmarkStart w:id="20" w:name="_qy6hjwtep1ei"/>
      <w:bookmarkStart w:id="21" w:name="_qy6hjwtep1ei"/>
      <w:bookmarkEnd w:id="21"/>
    </w:p>
    <w:p>
      <w:pPr>
        <w:pStyle w:val="Normal1"/>
        <w:rPr/>
      </w:pPr>
      <w:r>
        <w:rPr/>
      </w:r>
    </w:p>
    <w:p>
      <w:pPr>
        <w:pStyle w:val="Normal1"/>
        <w:rPr/>
      </w:pPr>
      <w:r>
        <w:rPr/>
      </w:r>
    </w:p>
    <w:p>
      <w:pPr>
        <w:pStyle w:val="Heading1"/>
        <w:spacing w:lineRule="auto" w:line="240" w:before="0" w:after="200"/>
        <w:jc w:val="both"/>
        <w:rPr/>
      </w:pPr>
      <w:bookmarkStart w:id="22" w:name="_6rdebqtyz67"/>
      <w:bookmarkEnd w:id="22"/>
      <w:r>
        <w:rPr>
          <w:color w:val="4A86E8"/>
        </w:rPr>
        <w:t>Purpose</w:t>
      </w:r>
    </w:p>
    <w:p>
      <w:pPr>
        <w:pStyle w:val="Normal1"/>
        <w:pageBreakBefore w:val="false"/>
        <w:spacing w:lineRule="auto" w:line="276" w:before="0" w:after="200"/>
        <w:jc w:val="both"/>
        <w:rPr>
          <w:highlight w:val="white"/>
        </w:rPr>
      </w:pPr>
      <w:r>
        <w:rPr>
          <w:highlight w:val="white"/>
        </w:rPr>
        <w:t>Supplier Security Policy describes the conditions of how to maintain the security of information when third parties are involved in the company’s internal operations.</w:t>
      </w:r>
    </w:p>
    <w:p>
      <w:pPr>
        <w:pStyle w:val="Heading1"/>
        <w:pageBreakBefore w:val="false"/>
        <w:spacing w:lineRule="auto" w:line="276" w:before="0" w:after="200"/>
        <w:jc w:val="both"/>
        <w:rPr>
          <w:color w:val="4A86E8"/>
        </w:rPr>
      </w:pPr>
      <w:bookmarkStart w:id="23" w:name="_z4gzxs2rscp8"/>
      <w:bookmarkEnd w:id="23"/>
      <w:r>
        <w:rPr>
          <w:color w:val="4A86E8"/>
        </w:rPr>
        <w:t>Scope</w:t>
      </w:r>
    </w:p>
    <w:p>
      <w:pPr>
        <w:pStyle w:val="Normal1"/>
        <w:pageBreakBefore w:val="false"/>
        <w:spacing w:lineRule="auto" w:line="276" w:before="0" w:after="200"/>
        <w:jc w:val="both"/>
        <w:rPr>
          <w:highlight w:val="white"/>
        </w:rPr>
      </w:pPr>
      <w:r>
        <w:rPr>
          <w:highlight w:val="white"/>
        </w:rPr>
        <w:t xml:space="preserve">This policy applies to all suppliers who access the </w:t>
      </w:r>
      <w:r>
        <w:rPr/>
        <w:t>&lt;</w:t>
      </w:r>
      <w:r>
        <w:rPr>
          <w:highlight w:val="yellow"/>
        </w:rPr>
        <w:t>Company</w:t>
      </w:r>
      <w:r>
        <w:rPr/>
        <w:t>&gt;</w:t>
      </w:r>
      <w:r>
        <w:rPr>
          <w:highlight w:val="white"/>
        </w:rPr>
        <w:t xml:space="preserve"> information or suppliers hosting the company’s information assets.</w:t>
      </w:r>
    </w:p>
    <w:p>
      <w:pPr>
        <w:pStyle w:val="Heading1"/>
        <w:pageBreakBefore w:val="false"/>
        <w:spacing w:lineRule="auto" w:line="276" w:before="0" w:after="200"/>
        <w:jc w:val="both"/>
        <w:rPr>
          <w:color w:val="4A86E8"/>
        </w:rPr>
      </w:pPr>
      <w:bookmarkStart w:id="24" w:name="_ymrhyl6jj99x"/>
      <w:bookmarkEnd w:id="24"/>
      <w:r>
        <w:rPr>
          <w:color w:val="4A86E8"/>
        </w:rPr>
        <w:t>Responsibilities</w:t>
      </w:r>
    </w:p>
    <w:p>
      <w:pPr>
        <w:pStyle w:val="Normal1"/>
        <w:pageBreakBefore w:val="false"/>
        <w:spacing w:lineRule="auto" w:line="276" w:before="0" w:after="200"/>
        <w:jc w:val="both"/>
        <w:rPr>
          <w:b/>
          <w:b/>
        </w:rPr>
      </w:pPr>
      <w:r>
        <w:rPr>
          <w:b/>
        </w:rPr>
        <w:t>ISMS Manager:</w:t>
      </w:r>
    </w:p>
    <w:p>
      <w:pPr>
        <w:pStyle w:val="Normal1"/>
        <w:pageBreakBefore w:val="false"/>
        <w:numPr>
          <w:ilvl w:val="0"/>
          <w:numId w:val="4"/>
        </w:numPr>
        <w:spacing w:lineRule="auto" w:line="276" w:before="0" w:afterAutospacing="0" w:after="0"/>
        <w:ind w:left="720" w:hanging="360"/>
        <w:jc w:val="both"/>
        <w:rPr>
          <w:u w:val="none"/>
        </w:rPr>
      </w:pPr>
      <w:r>
        <w:rPr/>
        <w:t>Manage supplier security process;</w:t>
      </w:r>
    </w:p>
    <w:p>
      <w:pPr>
        <w:pStyle w:val="Normal1"/>
        <w:pageBreakBefore w:val="false"/>
        <w:numPr>
          <w:ilvl w:val="0"/>
          <w:numId w:val="4"/>
        </w:numPr>
        <w:spacing w:lineRule="auto" w:line="276" w:before="0" w:afterAutospacing="0" w:after="0"/>
        <w:ind w:left="720" w:hanging="360"/>
        <w:jc w:val="both"/>
        <w:rPr>
          <w:u w:val="none"/>
        </w:rPr>
      </w:pPr>
      <w:r>
        <w:rPr/>
        <w:t>Identify all third-parties in the company with COO;</w:t>
      </w:r>
    </w:p>
    <w:p>
      <w:pPr>
        <w:pStyle w:val="Normal1"/>
        <w:pageBreakBefore w:val="false"/>
        <w:numPr>
          <w:ilvl w:val="0"/>
          <w:numId w:val="4"/>
        </w:numPr>
        <w:spacing w:lineRule="auto" w:line="276" w:before="0" w:after="200"/>
        <w:ind w:left="720" w:hanging="360"/>
        <w:jc w:val="both"/>
        <w:rPr>
          <w:u w:val="none"/>
        </w:rPr>
      </w:pPr>
      <w:r>
        <w:rPr/>
        <w:t>Monitor third-parties.</w:t>
      </w:r>
    </w:p>
    <w:p>
      <w:pPr>
        <w:pStyle w:val="Normal1"/>
        <w:pageBreakBefore w:val="false"/>
        <w:rPr>
          <w:b/>
          <w:b/>
        </w:rPr>
      </w:pPr>
      <w:r>
        <w:rPr>
          <w:b/>
        </w:rPr>
        <w:t>COO:</w:t>
      </w:r>
    </w:p>
    <w:p>
      <w:pPr>
        <w:pStyle w:val="Normal1"/>
        <w:pageBreakBefore w:val="false"/>
        <w:numPr>
          <w:ilvl w:val="0"/>
          <w:numId w:val="3"/>
        </w:numPr>
        <w:spacing w:lineRule="auto" w:line="276" w:before="0" w:after="200"/>
        <w:ind w:left="720" w:hanging="360"/>
        <w:jc w:val="both"/>
        <w:rPr>
          <w:u w:val="none"/>
        </w:rPr>
      </w:pPr>
      <w:r>
        <w:rPr/>
        <w:t>Keep track of all contractual agreements and NDA with all third parties with ISMS Manager.</w:t>
      </w:r>
    </w:p>
    <w:p>
      <w:pPr>
        <w:pStyle w:val="Heading1"/>
        <w:pageBreakBefore w:val="false"/>
        <w:spacing w:lineRule="auto" w:line="276" w:before="0" w:after="200"/>
        <w:jc w:val="both"/>
        <w:rPr>
          <w:color w:val="4A86E8"/>
          <w:highlight w:val="white"/>
        </w:rPr>
      </w:pPr>
      <w:bookmarkStart w:id="25" w:name="_rp1yfmi46axf"/>
      <w:bookmarkEnd w:id="25"/>
      <w:r>
        <w:rPr>
          <w:color w:val="4A86E8"/>
        </w:rPr>
        <w:t>Policy</w:t>
      </w:r>
    </w:p>
    <w:p>
      <w:pPr>
        <w:pStyle w:val="Heading2"/>
        <w:pageBreakBefore w:val="false"/>
        <w:spacing w:lineRule="auto" w:line="276" w:before="0" w:after="200"/>
        <w:jc w:val="both"/>
        <w:rPr/>
      </w:pPr>
      <w:bookmarkStart w:id="26" w:name="_tzqdkfnf38k6"/>
      <w:bookmarkEnd w:id="26"/>
      <w:r>
        <w:rPr/>
        <w:t>Supplier Risk Assessment</w:t>
      </w:r>
    </w:p>
    <w:p>
      <w:pPr>
        <w:pStyle w:val="Normal1"/>
        <w:pageBreakBefore w:val="false"/>
        <w:spacing w:lineRule="auto" w:line="276" w:before="0" w:after="200"/>
        <w:jc w:val="both"/>
        <w:rPr>
          <w:highlight w:val="white"/>
        </w:rPr>
      </w:pPr>
      <w:r>
        <w:rPr>
          <w:highlight w:val="white"/>
        </w:rPr>
        <w:t xml:space="preserve">The risks associated with supplier management are described in the </w:t>
      </w:r>
      <w:r>
        <w:rPr/>
        <w:t>&lt;</w:t>
      </w:r>
      <w:r>
        <w:rPr>
          <w:highlight w:val="yellow"/>
        </w:rPr>
        <w:t>Company</w:t>
      </w:r>
      <w:r>
        <w:rPr/>
        <w:t>&gt;</w:t>
      </w:r>
      <w:r>
        <w:rPr>
          <w:highlight w:val="white"/>
        </w:rPr>
        <w:t xml:space="preserve"> Risk Assessment. Information security requirements for mitigating the risks associated with suppliers’ access to the information assets must be agreed upon with the supplier and documented.</w:t>
      </w:r>
    </w:p>
    <w:p>
      <w:pPr>
        <w:pStyle w:val="Heading2"/>
        <w:pageBreakBefore w:val="false"/>
        <w:spacing w:lineRule="auto" w:line="276" w:before="0" w:after="200"/>
        <w:jc w:val="both"/>
        <w:rPr/>
      </w:pPr>
      <w:bookmarkStart w:id="27" w:name="_r98lr3prdh9p"/>
      <w:bookmarkEnd w:id="27"/>
      <w:r>
        <w:rPr/>
        <w:t>Screening</w:t>
      </w:r>
    </w:p>
    <w:p>
      <w:pPr>
        <w:pStyle w:val="Normal1"/>
        <w:keepNext w:val="false"/>
        <w:keepLines w:val="false"/>
        <w:pageBreakBefore w:val="false"/>
        <w:widowControl/>
        <w:pBdr/>
        <w:shd w:val="clear" w:fill="auto"/>
        <w:spacing w:lineRule="auto" w:line="276" w:before="0" w:after="200"/>
        <w:ind w:left="0" w:right="0" w:hanging="0"/>
        <w:jc w:val="both"/>
        <w:rPr>
          <w:highlight w:val="white"/>
        </w:rPr>
      </w:pPr>
      <w:r>
        <w:rPr>
          <w:highlight w:val="white"/>
        </w:rPr>
        <w:t>Precise due diligence must be done before selecting a supplier using the risk-based approach.</w:t>
      </w:r>
    </w:p>
    <w:p>
      <w:pPr>
        <w:pStyle w:val="Heading2"/>
        <w:pageBreakBefore w:val="false"/>
        <w:spacing w:lineRule="auto" w:line="276" w:before="0" w:after="200"/>
        <w:jc w:val="both"/>
        <w:rPr/>
      </w:pPr>
      <w:bookmarkStart w:id="28" w:name="_akez5qro96wi"/>
      <w:bookmarkEnd w:id="28"/>
      <w:r>
        <w:rPr/>
        <w:t>Supplier agreements</w:t>
      </w:r>
    </w:p>
    <w:p>
      <w:pPr>
        <w:pStyle w:val="Normal1"/>
        <w:pageBreakBefore w:val="false"/>
        <w:spacing w:lineRule="auto" w:line="276" w:before="0" w:after="200"/>
        <w:jc w:val="both"/>
        <w:rPr>
          <w:highlight w:val="white"/>
        </w:rPr>
      </w:pPr>
      <w:r>
        <w:rPr>
          <w:highlight w:val="white"/>
        </w:rPr>
        <w:t>All contracts with suppliers shall be monitored and reviewed. Contracts shall include appropriate provisions to ensure the security of information and systems.</w:t>
      </w:r>
    </w:p>
    <w:p>
      <w:pPr>
        <w:pStyle w:val="Normal1"/>
        <w:pageBreakBefore w:val="false"/>
        <w:spacing w:lineRule="auto" w:line="276" w:before="0" w:after="200"/>
        <w:jc w:val="both"/>
        <w:rPr>
          <w:highlight w:val="white"/>
        </w:rPr>
      </w:pPr>
      <w:r>
        <w:rPr>
          <w:highlight w:val="white"/>
        </w:rPr>
        <w:t>Relevant information security requirements must be established with each supplier.</w:t>
      </w:r>
    </w:p>
    <w:p>
      <w:pPr>
        <w:pStyle w:val="Normal1"/>
        <w:pageBreakBefore w:val="false"/>
        <w:spacing w:lineRule="auto" w:line="276" w:before="0" w:after="200"/>
        <w:jc w:val="both"/>
        <w:rPr>
          <w:highlight w:val="white"/>
        </w:rPr>
      </w:pPr>
      <w:r>
        <w:rPr>
          <w:highlight w:val="white"/>
        </w:rPr>
        <w:t>Requirements include specifying (if applicable):</w:t>
      </w:r>
    </w:p>
    <w:p>
      <w:pPr>
        <w:pStyle w:val="Normal1"/>
        <w:pageBreakBefore w:val="false"/>
        <w:numPr>
          <w:ilvl w:val="0"/>
          <w:numId w:val="5"/>
        </w:numPr>
        <w:spacing w:lineRule="auto" w:line="276" w:before="0" w:afterAutospacing="0" w:after="0"/>
        <w:ind w:left="720" w:hanging="360"/>
        <w:jc w:val="both"/>
        <w:rPr>
          <w:highlight w:val="white"/>
          <w:u w:val="none"/>
        </w:rPr>
      </w:pPr>
      <w:r>
        <w:rPr>
          <w:highlight w:val="white"/>
        </w:rPr>
        <w:t>What company data is to be processed by the supplier;</w:t>
      </w:r>
    </w:p>
    <w:p>
      <w:pPr>
        <w:pStyle w:val="Normal1"/>
        <w:pageBreakBefore w:val="false"/>
        <w:numPr>
          <w:ilvl w:val="0"/>
          <w:numId w:val="5"/>
        </w:numPr>
        <w:spacing w:lineRule="auto" w:line="276" w:before="0" w:afterAutospacing="0" w:after="0"/>
        <w:ind w:left="720" w:hanging="360"/>
        <w:jc w:val="both"/>
        <w:rPr>
          <w:highlight w:val="white"/>
          <w:u w:val="none"/>
        </w:rPr>
      </w:pPr>
      <w:r>
        <w:rPr>
          <w:highlight w:val="white"/>
        </w:rPr>
        <w:t>Where and how the supplier stores data;</w:t>
      </w:r>
    </w:p>
    <w:p>
      <w:pPr>
        <w:pStyle w:val="Normal1"/>
        <w:pageBreakBefore w:val="false"/>
        <w:numPr>
          <w:ilvl w:val="0"/>
          <w:numId w:val="5"/>
        </w:numPr>
        <w:spacing w:lineRule="auto" w:line="276" w:before="0" w:afterAutospacing="0" w:after="0"/>
        <w:ind w:left="720" w:hanging="360"/>
        <w:jc w:val="both"/>
        <w:rPr>
          <w:highlight w:val="white"/>
          <w:u w:val="none"/>
        </w:rPr>
      </w:pPr>
      <w:r>
        <w:rPr>
          <w:highlight w:val="white"/>
        </w:rPr>
        <w:t>The process of sanitization of storage media that is applied during the contract and will be applied at contract termination;</w:t>
      </w:r>
    </w:p>
    <w:p>
      <w:pPr>
        <w:pStyle w:val="Normal1"/>
        <w:pageBreakBefore w:val="false"/>
        <w:numPr>
          <w:ilvl w:val="0"/>
          <w:numId w:val="5"/>
        </w:numPr>
        <w:spacing w:lineRule="auto" w:line="276" w:before="0" w:afterAutospacing="0" w:after="0"/>
        <w:ind w:left="720" w:hanging="360"/>
        <w:jc w:val="both"/>
        <w:rPr>
          <w:highlight w:val="white"/>
          <w:u w:val="none"/>
        </w:rPr>
      </w:pPr>
      <w:r>
        <w:rPr>
          <w:highlight w:val="white"/>
        </w:rPr>
        <w:t>Access method;</w:t>
      </w:r>
    </w:p>
    <w:p>
      <w:pPr>
        <w:pStyle w:val="Normal1"/>
        <w:pageBreakBefore w:val="false"/>
        <w:numPr>
          <w:ilvl w:val="0"/>
          <w:numId w:val="5"/>
        </w:numPr>
        <w:spacing w:lineRule="auto" w:line="276" w:before="0" w:after="200"/>
        <w:ind w:left="720" w:hanging="360"/>
        <w:jc w:val="both"/>
        <w:rPr>
          <w:highlight w:val="white"/>
          <w:u w:val="none"/>
        </w:rPr>
      </w:pPr>
      <w:r>
        <w:rPr>
          <w:highlight w:val="white"/>
        </w:rPr>
        <w:t>Who within the supplier will be managing the risks for the delivery of the contract.</w:t>
      </w:r>
    </w:p>
    <w:p>
      <w:pPr>
        <w:pStyle w:val="Heading3"/>
        <w:pageBreakBefore w:val="false"/>
        <w:spacing w:lineRule="auto" w:line="276" w:before="0" w:after="200"/>
        <w:ind w:left="0" w:hanging="0"/>
        <w:jc w:val="both"/>
        <w:rPr/>
      </w:pPr>
      <w:bookmarkStart w:id="29" w:name="_x6fn8hdi6ler"/>
      <w:bookmarkEnd w:id="29"/>
      <w:r>
        <w:rPr/>
        <w:t>NDA</w:t>
      </w:r>
    </w:p>
    <w:p>
      <w:pPr>
        <w:pStyle w:val="Normal1"/>
        <w:pageBreakBefore w:val="false"/>
        <w:spacing w:lineRule="auto" w:line="276" w:before="0" w:after="200"/>
        <w:jc w:val="both"/>
        <w:rPr/>
      </w:pPr>
      <w:r>
        <w:rPr/>
        <w:t>All third parties are required to sign an NDA before accessing the company’s internal/confidential information.</w:t>
      </w:r>
    </w:p>
    <w:p>
      <w:pPr>
        <w:pStyle w:val="Heading2"/>
        <w:pageBreakBefore w:val="false"/>
        <w:spacing w:lineRule="auto" w:line="276" w:before="0" w:after="200"/>
        <w:jc w:val="both"/>
        <w:rPr/>
      </w:pPr>
      <w:bookmarkStart w:id="30" w:name="_vaugb696cm7b"/>
      <w:bookmarkEnd w:id="30"/>
      <w:r>
        <w:rPr/>
        <w:t>Supplier Management</w:t>
      </w:r>
    </w:p>
    <w:p>
      <w:pPr>
        <w:pStyle w:val="Normal1"/>
        <w:pageBreakBefore w:val="false"/>
        <w:spacing w:lineRule="auto" w:line="276" w:before="0" w:after="200"/>
        <w:jc w:val="both"/>
        <w:rPr>
          <w:highlight w:val="white"/>
        </w:rPr>
      </w:pPr>
      <w:r>
        <w:rPr/>
        <w:t>The suppliers must be divided into 3 groups due to their access to critical information and assets and their criticality to the business.</w:t>
      </w:r>
    </w:p>
    <w:tbl>
      <w:tblPr>
        <w:tblStyle w:val="Table4"/>
        <w:tblW w:w="9375" w:type="dxa"/>
        <w:jc w:val="left"/>
        <w:tblInd w:w="0" w:type="dxa"/>
        <w:tblLayout w:type="fixed"/>
        <w:tblCellMar>
          <w:top w:w="100" w:type="dxa"/>
          <w:left w:w="100" w:type="dxa"/>
          <w:bottom w:w="100" w:type="dxa"/>
          <w:right w:w="100" w:type="dxa"/>
        </w:tblCellMar>
        <w:tblLook w:val="0600"/>
      </w:tblPr>
      <w:tblGrid>
        <w:gridCol w:w="1275"/>
        <w:gridCol w:w="1590"/>
        <w:gridCol w:w="6510"/>
      </w:tblGrid>
      <w:tr>
        <w:trPr>
          <w:trHeight w:val="80" w:hRule="atLeast"/>
        </w:trPr>
        <w:tc>
          <w:tcPr>
            <w:tcW w:w="1275"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76" w:before="0" w:after="0"/>
              <w:ind w:left="0" w:right="0" w:hanging="0"/>
              <w:jc w:val="both"/>
              <w:rPr>
                <w:b/>
                <w:b/>
                <w:color w:val="FFFFFF"/>
              </w:rPr>
            </w:pPr>
            <w:r>
              <w:rPr>
                <w:b/>
                <w:color w:val="FFFFFF"/>
              </w:rPr>
              <w:t>Priority</w:t>
            </w:r>
          </w:p>
        </w:tc>
        <w:tc>
          <w:tcPr>
            <w:tcW w:w="1590"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76" w:before="0" w:after="0"/>
              <w:ind w:left="0" w:right="0" w:hanging="0"/>
              <w:jc w:val="both"/>
              <w:rPr>
                <w:b/>
                <w:b/>
                <w:color w:val="FFFFFF"/>
              </w:rPr>
            </w:pPr>
            <w:r>
              <w:rPr>
                <w:b/>
                <w:color w:val="FFFFFF"/>
              </w:rPr>
              <w:t>Category</w:t>
            </w:r>
          </w:p>
        </w:tc>
        <w:tc>
          <w:tcPr>
            <w:tcW w:w="6510"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76" w:before="0" w:after="0"/>
              <w:ind w:left="0" w:right="0" w:hanging="0"/>
              <w:jc w:val="both"/>
              <w:rPr>
                <w:b/>
                <w:b/>
                <w:color w:val="FFFFFF"/>
              </w:rPr>
            </w:pPr>
            <w:r>
              <w:rPr>
                <w:b/>
                <w:color w:val="FFFFFF"/>
              </w:rPr>
              <w:t>Description</w:t>
            </w:r>
          </w:p>
        </w:tc>
      </w:tr>
      <w:tr>
        <w:trPr/>
        <w:tc>
          <w:tcPr>
            <w:tcW w:w="1275"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76" w:before="0" w:after="0"/>
              <w:jc w:val="both"/>
              <w:rPr/>
            </w:pPr>
            <w:r>
              <w:rPr/>
              <w:t>Priority 1</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both"/>
              <w:rPr>
                <w:highlight w:val="white"/>
              </w:rPr>
            </w:pPr>
            <w:r>
              <w:rPr>
                <w:highlight w:val="white"/>
              </w:rPr>
              <w:t>High</w:t>
            </w:r>
          </w:p>
        </w:tc>
        <w:tc>
          <w:tcPr>
            <w:tcW w:w="6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both"/>
              <w:rPr>
                <w:highlight w:val="white"/>
              </w:rPr>
            </w:pPr>
            <w:r>
              <w:rPr>
                <w:highlight w:val="white"/>
              </w:rPr>
              <w:t>The critical infrastructure is hosted in the supplier environment.</w:t>
            </w:r>
          </w:p>
        </w:tc>
      </w:tr>
      <w:tr>
        <w:trPr/>
        <w:tc>
          <w:tcPr>
            <w:tcW w:w="1275" w:type="dxa"/>
            <w:tcBorders>
              <w:top w:val="single" w:sz="8" w:space="0" w:color="000000"/>
              <w:left w:val="single" w:sz="8" w:space="0" w:color="000000"/>
              <w:bottom w:val="single" w:sz="8" w:space="0" w:color="000000"/>
              <w:right w:val="single" w:sz="8" w:space="0" w:color="000000"/>
            </w:tcBorders>
            <w:shd w:fill="FF8800" w:val="clear"/>
          </w:tcPr>
          <w:p>
            <w:pPr>
              <w:pStyle w:val="Normal1"/>
              <w:keepNext w:val="false"/>
              <w:keepLines w:val="false"/>
              <w:widowControl w:val="false"/>
              <w:pBdr/>
              <w:shd w:val="clear" w:fill="auto"/>
              <w:spacing w:lineRule="auto" w:line="276" w:before="0" w:after="0"/>
              <w:ind w:left="0" w:right="0" w:hanging="0"/>
              <w:jc w:val="both"/>
              <w:rPr/>
            </w:pPr>
            <w:r>
              <w:rPr/>
              <w:t>Priority 2</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both"/>
              <w:rPr>
                <w:highlight w:val="white"/>
              </w:rPr>
            </w:pPr>
            <w:r>
              <w:rPr>
                <w:highlight w:val="white"/>
              </w:rPr>
              <w:t>Medium</w:t>
            </w:r>
          </w:p>
        </w:tc>
        <w:tc>
          <w:tcPr>
            <w:tcW w:w="65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both"/>
              <w:rPr>
                <w:highlight w:val="white"/>
              </w:rPr>
            </w:pPr>
            <w:r>
              <w:rPr>
                <w:highlight w:val="white"/>
              </w:rPr>
              <w:t>Suppliers provide the tools necessary for successful business operations.</w:t>
            </w:r>
          </w:p>
        </w:tc>
      </w:tr>
      <w:tr>
        <w:trPr/>
        <w:tc>
          <w:tcPr>
            <w:tcW w:w="1275" w:type="dxa"/>
            <w:tcBorders>
              <w:top w:val="single" w:sz="8" w:space="0" w:color="000000"/>
              <w:left w:val="single" w:sz="8" w:space="0" w:color="000000"/>
              <w:bottom w:val="single" w:sz="8" w:space="0" w:color="000000"/>
              <w:right w:val="single" w:sz="8" w:space="0" w:color="000000"/>
            </w:tcBorders>
            <w:shd w:fill="FF8800" w:val="clear"/>
          </w:tcPr>
          <w:p>
            <w:pPr>
              <w:pStyle w:val="Normal1"/>
              <w:keepNext w:val="false"/>
              <w:keepLines w:val="false"/>
              <w:widowControl w:val="false"/>
              <w:pBdr/>
              <w:shd w:val="clear" w:fill="auto"/>
              <w:spacing w:lineRule="auto" w:line="276" w:before="0" w:after="0"/>
              <w:ind w:left="0" w:right="0" w:hanging="0"/>
              <w:jc w:val="both"/>
              <w:rPr/>
            </w:pPr>
            <w:r>
              <w:rPr/>
              <w:t>Priority 3</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both"/>
              <w:rPr>
                <w:highlight w:val="white"/>
              </w:rPr>
            </w:pPr>
            <w:r>
              <w:rPr>
                <w:highlight w:val="white"/>
              </w:rPr>
              <w:t>Low</w:t>
            </w:r>
          </w:p>
        </w:tc>
        <w:tc>
          <w:tcPr>
            <w:tcW w:w="65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both"/>
              <w:rPr>
                <w:highlight w:val="white"/>
              </w:rPr>
            </w:pPr>
            <w:r>
              <w:rPr>
                <w:highlight w:val="white"/>
              </w:rPr>
              <w:t xml:space="preserve">The supplier doesn’t have a lot of impact on the company, so it doesn’t affect the continuity of service. </w:t>
            </w:r>
          </w:p>
        </w:tc>
      </w:tr>
    </w:tbl>
    <w:p>
      <w:pPr>
        <w:pStyle w:val="Heading2"/>
        <w:pageBreakBefore w:val="false"/>
        <w:spacing w:lineRule="auto" w:line="276" w:before="200" w:after="200"/>
        <w:jc w:val="both"/>
        <w:rPr/>
      </w:pPr>
      <w:bookmarkStart w:id="31" w:name="_uehwicbzif4w"/>
      <w:bookmarkEnd w:id="31"/>
      <w:r>
        <w:rPr/>
        <w:t>Monitoring</w:t>
      </w:r>
    </w:p>
    <w:p>
      <w:pPr>
        <w:pStyle w:val="Normal1"/>
        <w:pageBreakBefore w:val="false"/>
        <w:spacing w:lineRule="auto" w:line="276" w:before="0" w:after="200"/>
        <w:jc w:val="both"/>
        <w:rPr/>
      </w:pPr>
      <w:r>
        <w:rPr/>
        <w:t>The third parties are annually monitored if they meet security service level agreements.</w:t>
      </w:r>
    </w:p>
    <w:p>
      <w:pPr>
        <w:pStyle w:val="Heading2"/>
        <w:pageBreakBefore w:val="false"/>
        <w:spacing w:lineRule="auto" w:line="276" w:before="0" w:after="200"/>
        <w:jc w:val="both"/>
        <w:rPr/>
      </w:pPr>
      <w:bookmarkStart w:id="32" w:name="_kjzhwhc0xpm5"/>
      <w:bookmarkEnd w:id="32"/>
      <w:r>
        <w:rPr/>
        <w:t>Termination of agreements</w:t>
      </w:r>
    </w:p>
    <w:p>
      <w:pPr>
        <w:pStyle w:val="Normal1"/>
        <w:pageBreakBefore w:val="false"/>
        <w:spacing w:lineRule="auto" w:line="276" w:before="0" w:after="200"/>
        <w:jc w:val="both"/>
        <w:rPr/>
      </w:pPr>
      <w:r>
        <w:rPr/>
        <w:t>After the termination of the agreement, all assets must be returned, and access rights are removed.</w:t>
      </w:r>
    </w:p>
    <w:p>
      <w:pPr>
        <w:pStyle w:val="Heading1"/>
        <w:pageBreakBefore w:val="false"/>
        <w:spacing w:lineRule="auto" w:line="276" w:before="0" w:after="200"/>
        <w:jc w:val="both"/>
        <w:rPr>
          <w:color w:val="4A86E8"/>
        </w:rPr>
      </w:pPr>
      <w:bookmarkStart w:id="33" w:name="_oo4pebgvtuk2"/>
      <w:bookmarkEnd w:id="33"/>
      <w:r>
        <w:rPr>
          <w:color w:val="4A86E8"/>
        </w:rPr>
        <w:t>Disciplinary actions</w:t>
      </w:r>
    </w:p>
    <w:p>
      <w:pPr>
        <w:pStyle w:val="Normal1"/>
        <w:keepNext w:val="false"/>
        <w:keepLines w:val="false"/>
        <w:pageBreakBefore w:val="false"/>
        <w:widowControl/>
        <w:pBdr/>
        <w:shd w:val="clear" w:fill="auto"/>
        <w:spacing w:lineRule="auto" w:line="276" w:before="0" w:after="200"/>
        <w:ind w:left="0" w:right="0" w:hanging="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34" w:name="_5eyfoygex9zs"/>
      <w:bookmarkEnd w:id="34"/>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35" w:name="_fxvzxllev4xj"/>
      <w:bookmarkEnd w:id="35"/>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keepNext w:val="true"/>
        <w:keepLines/>
        <w:pageBreakBefore w:val="false"/>
        <w:widowControl/>
        <w:pBdr/>
        <w:shd w:val="clear" w:fill="auto"/>
        <w:spacing w:lineRule="auto" w:line="276" w:before="0" w:after="200"/>
        <w:ind w:left="0" w:right="0" w:hanging="0"/>
        <w:jc w:val="both"/>
        <w:rPr>
          <w:color w:val="4A86E8"/>
          <w:sz w:val="40"/>
          <w:szCs w:val="40"/>
        </w:rPr>
      </w:pPr>
      <w:bookmarkStart w:id="36" w:name="_n01zof837vbs"/>
      <w:bookmarkEnd w:id="36"/>
      <w:r>
        <w:rPr>
          <w:color w:val="4A86E8"/>
          <w:sz w:val="40"/>
          <w:szCs w:val="40"/>
        </w:rPr>
        <w:t>Reference</w:t>
      </w:r>
    </w:p>
    <w:p>
      <w:pPr>
        <w:pStyle w:val="Normal1"/>
        <w:keepNext w:val="false"/>
        <w:keepLines w:val="false"/>
        <w:pageBreakBefore w:val="false"/>
        <w:numPr>
          <w:ilvl w:val="0"/>
          <w:numId w:val="2"/>
        </w:numPr>
        <w:spacing w:lineRule="auto" w:line="276" w:before="0" w:afterAutospacing="0" w:after="0"/>
        <w:ind w:left="720" w:hanging="360"/>
        <w:jc w:val="both"/>
        <w:rPr>
          <w:u w:val="none"/>
        </w:rPr>
      </w:pPr>
      <w:r>
        <w:rPr/>
        <w:t>ISO 27001 Annex A.15.1.1 Information Security Policy for Supplier Relationships</w:t>
      </w:r>
    </w:p>
    <w:p>
      <w:pPr>
        <w:pStyle w:val="Normal1"/>
        <w:keepNext w:val="false"/>
        <w:keepLines w:val="false"/>
        <w:pageBreakBefore w:val="false"/>
        <w:numPr>
          <w:ilvl w:val="0"/>
          <w:numId w:val="2"/>
        </w:numPr>
        <w:spacing w:lineRule="auto" w:line="276" w:before="0" w:afterAutospacing="0" w:after="0"/>
        <w:ind w:left="720" w:hanging="360"/>
        <w:jc w:val="both"/>
        <w:rPr>
          <w:u w:val="none"/>
        </w:rPr>
      </w:pPr>
      <w:r>
        <w:rPr/>
        <w:t>ISO 27001 Annex A.15.1.2 Addressing Security Within Supplier Agreements</w:t>
      </w:r>
    </w:p>
    <w:p>
      <w:pPr>
        <w:pStyle w:val="Normal1"/>
        <w:keepNext w:val="false"/>
        <w:keepLines w:val="false"/>
        <w:pageBreakBefore w:val="false"/>
        <w:numPr>
          <w:ilvl w:val="0"/>
          <w:numId w:val="2"/>
        </w:numPr>
        <w:spacing w:lineRule="auto" w:line="276" w:before="0" w:afterAutospacing="0" w:after="0"/>
        <w:ind w:left="720" w:hanging="360"/>
        <w:jc w:val="both"/>
        <w:rPr>
          <w:u w:val="none"/>
        </w:rPr>
      </w:pPr>
      <w:r>
        <w:rPr/>
        <w:t>ISO 27001 Annex A.15.1.3 Information &amp; Communication Technology Supply Chain</w:t>
      </w:r>
    </w:p>
    <w:p>
      <w:pPr>
        <w:pStyle w:val="Normal1"/>
        <w:keepNext w:val="false"/>
        <w:keepLines w:val="false"/>
        <w:pageBreakBefore w:val="false"/>
        <w:numPr>
          <w:ilvl w:val="0"/>
          <w:numId w:val="2"/>
        </w:numPr>
        <w:spacing w:lineRule="auto" w:line="276" w:before="0" w:afterAutospacing="0" w:after="0"/>
        <w:ind w:left="720" w:hanging="360"/>
        <w:jc w:val="both"/>
        <w:rPr>
          <w:u w:val="none"/>
        </w:rPr>
      </w:pPr>
      <w:r>
        <w:rPr/>
        <w:t>ISO 27001 Annex A.15.2.1 Monitoring &amp; Review of Supplier Services</w:t>
      </w:r>
    </w:p>
    <w:p>
      <w:pPr>
        <w:pStyle w:val="Normal1"/>
        <w:keepNext w:val="false"/>
        <w:keepLines w:val="false"/>
        <w:pageBreakBefore w:val="false"/>
        <w:numPr>
          <w:ilvl w:val="0"/>
          <w:numId w:val="2"/>
        </w:numPr>
        <w:spacing w:lineRule="auto" w:line="276" w:before="0" w:after="200"/>
        <w:ind w:left="720" w:hanging="360"/>
        <w:jc w:val="both"/>
        <w:rPr>
          <w:u w:val="none"/>
        </w:rPr>
      </w:pPr>
      <w:r>
        <w:rPr/>
        <w:t>ISO 27001 Annex A.15.2.2 Managing Changes to Supplier Services</w:t>
      </w:r>
    </w:p>
    <w:p>
      <w:pPr>
        <w:pStyle w:val="Heading1"/>
        <w:pageBreakBefore w:val="false"/>
        <w:spacing w:lineRule="auto" w:line="240" w:before="400" w:after="200"/>
        <w:jc w:val="both"/>
        <w:rPr>
          <w:color w:val="4A86E8"/>
        </w:rPr>
      </w:pPr>
      <w:bookmarkStart w:id="37" w:name="_mi6e65mrklvd"/>
      <w:bookmarkEnd w:id="37"/>
      <w:r>
        <w:rPr>
          <w:color w:val="4A86E8"/>
        </w:rPr>
        <w:t>Related Documents</w:t>
      </w:r>
    </w:p>
    <w:p>
      <w:pPr>
        <w:pStyle w:val="Normal1"/>
        <w:pageBreakBefore w:val="false"/>
        <w:numPr>
          <w:ilvl w:val="0"/>
          <w:numId w:val="1"/>
        </w:numPr>
        <w:ind w:left="720" w:hanging="360"/>
        <w:rPr>
          <w:u w:val="none"/>
        </w:rPr>
      </w:pPr>
      <w:r>
        <w:rPr/>
        <w:t>&lt;</w:t>
      </w:r>
      <w:r>
        <w:rPr>
          <w:highlight w:val="yellow"/>
        </w:rPr>
        <w:t>Company</w:t>
      </w:r>
      <w:r>
        <w:rPr/>
        <w:t>&gt; Business Continuity Plan</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Supplier Security Policy</w:t>
      <w:tab/>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911</Words>
  <Characters>5220</Characters>
  <CharactersWithSpaces>6011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2024-08-08T22:52:46Z</dcterms:modified>
  <cp:revision>1</cp:revision>
  <dc:subject/>
  <dc:title/>
</cp:coreProperties>
</file>