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B3A5C"/>
          <w:sz w:val="72"/>
        </w:rPr>
        <w:t>BUSINESS CASE</w:t>
      </w:r>
    </w:p>
    <w:p>
      <w:pPr>
        <w:jc w:val="center"/>
      </w:pPr>
      <w:r>
        <w:rPr>
          <w:color w:val="2C5F8A"/>
          <w:sz w:val="48"/>
        </w:rPr>
        <w:t>AI Customer Enquiry Assistant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Prepared for:</w:t>
            </w:r>
          </w:p>
        </w:tc>
        <w:tc>
          <w:tcPr>
            <w:tcW w:type="dxa" w:w="5669"/>
          </w:tcPr>
          <w:p>
            <w:r/>
            <w:r>
              <w:rPr>
                <w:color w:val="888888"/>
                <w:sz w:val="22"/>
              </w:rPr>
              <w:t>[Bank Name] Executive Leadership Team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Prepared by:</w:t>
            </w:r>
          </w:p>
        </w:tc>
        <w:tc>
          <w:tcPr>
            <w:tcW w:type="dxa" w:w="5669"/>
          </w:tcPr>
          <w:p>
            <w:r/>
            <w:r>
              <w:rPr>
                <w:color w:val="888888"/>
                <w:sz w:val="22"/>
              </w:rPr>
              <w:t>[Name], [Title]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Date:</w:t>
            </w:r>
          </w:p>
        </w:tc>
        <w:tc>
          <w:tcPr>
            <w:tcW w:type="dxa" w:w="5669"/>
          </w:tcPr>
          <w:p>
            <w:r/>
            <w:r>
              <w:rPr>
                <w:color w:val="888888"/>
                <w:sz w:val="22"/>
              </w:rPr>
              <w:t>[Date]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Version:</w:t>
            </w:r>
          </w:p>
        </w:tc>
        <w:tc>
          <w:tcPr>
            <w:tcW w:type="dxa" w:w="5669"/>
          </w:tcPr>
          <w:p>
            <w:r/>
            <w:r>
              <w:rPr>
                <w:color w:val="888888"/>
                <w:sz w:val="22"/>
              </w:rPr>
              <w:t>0.1 (Draft)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Classification:</w:t>
            </w:r>
          </w:p>
        </w:tc>
        <w:tc>
          <w:tcPr>
            <w:tcW w:type="dxa" w:w="5669"/>
          </w:tcPr>
          <w:p>
            <w:r/>
            <w:r>
              <w:rPr>
                <w:color w:val="888888"/>
                <w:sz w:val="22"/>
              </w:rPr>
              <w:t>Confidential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color w:val="888888"/>
          <w:sz w:val="20"/>
        </w:rPr>
        <w:t>[Insert auto-generated TOC — in Word: References &gt; Table of Contents]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i/>
          <w:color w:val="888888"/>
          <w:sz w:val="20"/>
        </w:rPr>
        <w:t>Summarise the entire case in one page. Cover: what you're proposing, why now, how much it costs, what it returns, and what decision you need. Write this last.</w:t>
      </w:r>
    </w:p>
    <w:p>
      <w:r>
        <w:rPr>
          <w:b/>
        </w:rPr>
        <w:t xml:space="preserve">Proposal: </w:t>
      </w:r>
      <w:r>
        <w:t>[One sentence]</w:t>
      </w:r>
    </w:p>
    <w:p>
      <w:r>
        <w:rPr>
          <w:b/>
        </w:rPr>
        <w:t xml:space="preserve">Investment requested: </w:t>
      </w:r>
      <w:r>
        <w:t>EUR [X] over [Y] months</w:t>
      </w:r>
    </w:p>
    <w:p>
      <w:r>
        <w:rPr>
          <w:b/>
        </w:rPr>
        <w:t xml:space="preserve">Expected ROI: </w:t>
      </w:r>
      <w:r>
        <w:t>[X]% within [Y] months</w:t>
      </w:r>
    </w:p>
    <w:p>
      <w:r>
        <w:rPr>
          <w:b/>
        </w:rPr>
        <w:t xml:space="preserve">Key decision required: </w:t>
      </w:r>
      <w:r>
        <w:t>[What approval is needed]</w:t>
      </w:r>
    </w:p>
    <w:p>
      <w:pPr>
        <w:pStyle w:val="Heading1"/>
      </w:pPr>
      <w:r>
        <w:t>2. Problem Statement</w:t>
      </w:r>
    </w:p>
    <w:p>
      <w:pPr>
        <w:pStyle w:val="Heading2"/>
      </w:pPr>
      <w:r>
        <w:t>2.1 Current State</w:t>
      </w:r>
    </w:p>
    <w:p>
      <w:r>
        <w:rPr>
          <w:i/>
          <w:color w:val="888888"/>
          <w:sz w:val="20"/>
        </w:rPr>
        <w:t>Describe how customer enquiries are handled today. Include volumes, channels, response times, cost per enquiry.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Current Value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Industry Benchmark</w:t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Enquiry volume (monthly)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Average handle time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First-contact resolution rate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Customer satisfaction (CSAT)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Cost per enquiry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Agent utilisation rate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Abandonment rate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2.2 Pain Points</w:t>
      </w:r>
    </w:p>
    <w:p>
      <w:r>
        <w:rPr>
          <w:i/>
          <w:color w:val="888888"/>
          <w:sz w:val="20"/>
        </w:rPr>
        <w:t>List the specific problems: long wait times, inconsistent answers, high staffing costs, limited hours, compliance risk from manual errors, etc.</w:t>
      </w:r>
    </w:p>
    <w:p>
      <w:pPr>
        <w:pStyle w:val="ListNumber"/>
      </w:pPr>
      <w:r>
        <w:t xml:space="preserve">1. </w:t>
      </w:r>
    </w:p>
    <w:p>
      <w:pPr>
        <w:pStyle w:val="ListNumber"/>
      </w:pPr>
      <w:r>
        <w:t xml:space="preserve">2. </w:t>
      </w:r>
    </w:p>
    <w:p>
      <w:pPr>
        <w:pStyle w:val="ListNumber"/>
      </w:pPr>
      <w:r>
        <w:t xml:space="preserve">3. </w:t>
      </w:r>
    </w:p>
    <w:p>
      <w:pPr>
        <w:pStyle w:val="ListNumber"/>
      </w:pPr>
      <w:r>
        <w:t xml:space="preserve">4. </w:t>
      </w:r>
    </w:p>
    <w:p>
      <w:pPr>
        <w:pStyle w:val="Heading2"/>
      </w:pPr>
      <w:r>
        <w:t>2.3 Cost of Inaction</w:t>
      </w:r>
    </w:p>
    <w:p>
      <w:r>
        <w:rPr>
          <w:i/>
          <w:color w:val="888888"/>
          <w:sz w:val="20"/>
        </w:rPr>
        <w:t>What happens if we do nothing? Quantify where possible — lost customers, rising staffing costs, regulatory exposure, competitive disadvantage.</w:t>
      </w:r>
    </w:p>
    <w:p>
      <w:pPr>
        <w:pStyle w:val="Heading1"/>
      </w:pPr>
      <w:r>
        <w:t>3. Proposed Solution</w:t>
      </w:r>
    </w:p>
    <w:p>
      <w:pPr>
        <w:pStyle w:val="Heading2"/>
      </w:pPr>
      <w:r>
        <w:t>3.1 Solution Overview</w:t>
      </w:r>
    </w:p>
    <w:p>
      <w:r>
        <w:rPr>
          <w:i/>
          <w:color w:val="888888"/>
          <w:sz w:val="20"/>
        </w:rPr>
        <w:t>Describe the AI assistant at a high level: what it does, which channels it covers, how it interacts with customers and when it hands off to human agents.</w:t>
      </w:r>
    </w:p>
    <w:p>
      <w:pPr>
        <w:pStyle w:val="Heading2"/>
      </w:pPr>
      <w:r>
        <w:t>3.2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In Scope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Out of Scope</w:t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Channels (phone, chat, email, in-app)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Enquiry types (balance, payments, complaints, etc.)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Customer segments (retail, SME, wealth)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Languages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Integration points (CRM, core banking, knowledge base)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3.3 Customer Experience Flow</w:t>
      </w:r>
    </w:p>
    <w:p>
      <w:r>
        <w:rPr>
          <w:i/>
          <w:color w:val="888888"/>
          <w:sz w:val="20"/>
        </w:rPr>
        <w:t>Describe the end-to-end customer journey: enquiry received → AI triage → self-service resolution OR handoff to agent → follow-up.</w:t>
      </w:r>
    </w:p>
    <w:p>
      <w:pPr>
        <w:pStyle w:val="Heading2"/>
      </w:pPr>
      <w:r>
        <w:t>3.4 Technology Approach</w:t>
      </w:r>
    </w:p>
    <w:p>
      <w:r>
        <w:rPr>
          <w:i/>
          <w:color w:val="888888"/>
          <w:sz w:val="20"/>
        </w:rPr>
        <w:t>Reference Unit 4 — is this build vs. buy vs. hybrid? Which vendor/platform? On-premise or cloud? How does it fit the existing tech stack?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Current State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Proposed Solution</w:t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AI / NLP engine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Knowledge management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Integration middleware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Channels / UI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Analytics / monitoring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4. Value Quantification</w:t>
      </w:r>
    </w:p>
    <w:p>
      <w:r>
        <w:rPr>
          <w:i/>
          <w:color w:val="888888"/>
          <w:sz w:val="20"/>
        </w:rPr>
        <w:t>Reference Unit 2 — map value to the four AI value categories.</w:t>
      </w:r>
    </w:p>
    <w:p>
      <w:pPr>
        <w:pStyle w:val="Heading2"/>
      </w:pPr>
      <w:r>
        <w:t>4.1 Value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Value Description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Est. Annual Value (EUR)</w:t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Cost Reduction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Deflected enquiries, reduced handle time, lower staffing growth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Revenue Enhancement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Cross-sell / upsell within conversations, reduced churn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Risk Mitigation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Consistent compliant answers, full audit trail, reduced mis-selling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Strategic Positioning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Data-driven customer insight, foundation for broader AI roadmap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4.2 ROI Projection</w:t>
      </w:r>
    </w:p>
    <w:p>
      <w:r>
        <w:rPr>
          <w:i/>
          <w:color w:val="888888"/>
          <w:sz w:val="20"/>
        </w:rPr>
        <w:t>Reference Unit 2 benchmarks: Customer Service Chatbots typically deliver 50-200% ROI with 3-6 month time to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Year 1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Year 2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Year 3</w:t>
            </w:r>
          </w:p>
        </w:tc>
      </w:tr>
      <w:tr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Conservative (50% deflection)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Base case (65% deflection)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Optimistic (80% deflection)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b/>
        </w:rPr>
        <w:t xml:space="preserve">Payback period: </w:t>
      </w:r>
      <w:r>
        <w:t>[X] months</w:t>
      </w:r>
    </w:p>
    <w:p>
      <w:r>
        <w:rPr>
          <w:b/>
        </w:rPr>
        <w:t xml:space="preserve">NPV (3-year, 10% discount): </w:t>
      </w:r>
      <w:r>
        <w:t>EUR [X]</w:t>
      </w:r>
    </w:p>
    <w:p>
      <w:r>
        <w:rPr>
          <w:b/>
        </w:rPr>
        <w:t xml:space="preserve">IRR: </w:t>
      </w:r>
      <w:r>
        <w:t>[X]%</w:t>
      </w:r>
    </w:p>
    <w:p>
      <w:pPr>
        <w:pStyle w:val="Heading2"/>
      </w:pPr>
      <w:r>
        <w:t>4.3 Key Assumptions</w:t>
      </w:r>
    </w:p>
    <w:p>
      <w:r>
        <w:rPr>
          <w:i/>
          <w:color w:val="888888"/>
          <w:sz w:val="20"/>
        </w:rPr>
        <w:t>List all assumptions underpinning the projections: deflection rates, enquiry volumes, cost per enquiry, implementation timeline, etc.</w:t>
      </w:r>
    </w:p>
    <w:p>
      <w:pPr>
        <w:pStyle w:val="ListNumber"/>
      </w:pPr>
      <w:r>
        <w:t xml:space="preserve">1. </w:t>
      </w:r>
    </w:p>
    <w:p>
      <w:pPr>
        <w:pStyle w:val="ListNumber"/>
      </w:pPr>
      <w:r>
        <w:t xml:space="preserve">2. </w:t>
      </w:r>
    </w:p>
    <w:p>
      <w:pPr>
        <w:pStyle w:val="ListNumber"/>
      </w:pPr>
      <w:r>
        <w:t xml:space="preserve">3. </w:t>
      </w:r>
    </w:p>
    <w:p>
      <w:pPr>
        <w:pStyle w:val="ListNumber"/>
      </w:pPr>
      <w:r>
        <w:t xml:space="preserve">4. </w:t>
      </w:r>
    </w:p>
    <w:p>
      <w:pPr>
        <w:pStyle w:val="Heading1"/>
      </w:pPr>
      <w:r>
        <w:t>5. Cost Estimate</w:t>
      </w:r>
    </w:p>
    <w:p>
      <w:r>
        <w:rPr>
          <w:i/>
          <w:color w:val="888888"/>
          <w:sz w:val="20"/>
        </w:rPr>
        <w:t>Reference Unit 2 cost tiers. An AI customer service assistant for a bank likely falls in the Medium tier (EUR 725K-3.3M) depending on scale.</w:t>
      </w:r>
    </w:p>
    <w:p>
      <w:pPr>
        <w:pStyle w:val="Heading2"/>
      </w:pPr>
      <w:r>
        <w:t>5.1 Implementation Costs (One-Time)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Cost (EUR)</w:t>
            </w:r>
          </w:p>
        </w:tc>
      </w:tr>
      <w:tr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  <w:t>Platform / vendor licence (setup)</w:t>
            </w:r>
          </w:p>
        </w:tc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Integration development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  <w:t>Knowledge base creation &amp; training</w:t>
            </w:r>
          </w:p>
        </w:tc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Testing &amp; QA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  <w:t>Change management &amp; training</w:t>
            </w:r>
          </w:p>
        </w:tc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Project management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  <w:t>Total Implementation</w:t>
            </w:r>
          </w:p>
        </w:tc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5.2 Ongoing Costs (Annual)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Cost (EUR)</w:t>
            </w:r>
          </w:p>
        </w:tc>
      </w:tr>
      <w:tr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  <w:t>Platform / vendor licence (annual)</w:t>
            </w:r>
          </w:p>
        </w:tc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Cloud infrastructure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  <w:t>Maintenance &amp; support</w:t>
            </w:r>
          </w:p>
        </w:tc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Knowledge base updates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  <w:t>Monitoring &amp; governance</w:t>
            </w:r>
          </w:p>
        </w:tc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Total Annual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5.3 Total Cost of Ownership (3-Year)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728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Year 1</w:t>
            </w:r>
          </w:p>
        </w:tc>
        <w:tc>
          <w:tcPr>
            <w:tcW w:type="dxa" w:w="1728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Year 2</w:t>
            </w:r>
          </w:p>
        </w:tc>
        <w:tc>
          <w:tcPr>
            <w:tcW w:type="dxa" w:w="1728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Year 3</w:t>
            </w:r>
          </w:p>
        </w:tc>
        <w:tc>
          <w:tcPr>
            <w:tcW w:type="dxa" w:w="1728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  <w:t>Implementation</w:t>
            </w:r>
          </w:p>
        </w:tc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Ongoing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6. Risk Analysis</w:t>
      </w:r>
    </w:p>
    <w:p>
      <w:r>
        <w:rPr>
          <w:i/>
          <w:color w:val="888888"/>
          <w:sz w:val="20"/>
        </w:rPr>
        <w:t>Reference Unit 3 risk classification and Unit 11 risk management.</w:t>
      </w:r>
    </w:p>
    <w:p>
      <w:pPr>
        <w:pStyle w:val="Heading2"/>
      </w:pPr>
      <w:r>
        <w:t>6.1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67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134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1134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134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2268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  <w:tc>
          <w:tcPr>
            <w:tcW w:type="dxa" w:w="1134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567"/>
            <w:shd w:fill="EBF0F7" w:val="clear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35"/>
            <w:shd w:fill="EBF0F7" w:val="clear"/>
          </w:tcPr>
          <w:p>
            <w:r/>
            <w:r>
              <w:rPr>
                <w:sz w:val="20"/>
              </w:rPr>
              <w:t>AI provides incorrect financial information</w:t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Customer resistance / low adoption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EBF0F7" w:val="clear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35"/>
            <w:shd w:fill="EBF0F7" w:val="clear"/>
          </w:tcPr>
          <w:p>
            <w:r/>
            <w:r>
              <w:rPr>
                <w:sz w:val="20"/>
              </w:rPr>
              <w:t>Integration failure with core banking systems</w:t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Data privacy breach (GDPR)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EBF0F7" w:val="clear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35"/>
            <w:shd w:fill="EBF0F7" w:val="clear"/>
          </w:tcPr>
          <w:p>
            <w:r/>
            <w:r>
              <w:rPr>
                <w:sz w:val="20"/>
              </w:rPr>
              <w:t>Vendor lock-in</w:t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Regulatory non-compliance (EU AI Act — high-risk)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EBF0F7" w:val="clear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35"/>
            <w:shd w:fill="EBF0F7" w:val="clear"/>
          </w:tcPr>
          <w:p>
            <w:r/>
            <w:r>
              <w:rPr>
                <w:sz w:val="20"/>
              </w:rPr>
              <w:t>Model degradation over time</w:t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Reputational damage from AI error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6.2 EU AI Act Classification</w:t>
      </w:r>
    </w:p>
    <w:p>
      <w:r>
        <w:rPr>
          <w:i/>
          <w:color w:val="888888"/>
          <w:sz w:val="20"/>
        </w:rPr>
        <w:t>The EU AI Act classifies AI systems used in banking / financial services as high-risk in most cases. This triggers strict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Action Needed</w:t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Risk management system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Data governance &amp; quality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Technical documentation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Record-keeping / logging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Transparency &amp; human oversight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Accuracy &amp; robustness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Conformity assessment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b/>
          <w:color w:val="C0392B"/>
        </w:rPr>
        <w:t xml:space="preserve">Maximum penalty for non-compliance: </w:t>
      </w:r>
      <w:r>
        <w:t>EUR 15M or 3% global turnover</w:t>
      </w:r>
    </w:p>
    <w:p>
      <w:pPr>
        <w:pStyle w:val="Heading1"/>
      </w:pPr>
      <w:r>
        <w:t>7. Implementation Approach</w:t>
      </w:r>
    </w:p>
    <w:p>
      <w:r>
        <w:rPr>
          <w:i/>
          <w:color w:val="888888"/>
          <w:sz w:val="20"/>
        </w:rPr>
        <w:t>Reference Unit 6 — Implementation Roadmap Development.</w:t>
      </w:r>
    </w:p>
    <w:p>
      <w:pPr>
        <w:pStyle w:val="Heading2"/>
      </w:pPr>
      <w:r>
        <w:t>7.1 Phased Rollout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Key Milestones</w:t>
            </w:r>
          </w:p>
        </w:tc>
      </w:tr>
      <w:tr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Phase 1: Pilot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Single channel, limited enquiry types, small customer segment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8-12 weeks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Go-live, 50% deflection target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Phase 2: Expand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Additional channels &amp; enquiry types, broader customer base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12-16 weeks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65% deflection, handoff optimisation</w:t>
            </w:r>
          </w:p>
        </w:tc>
      </w:tr>
      <w:tr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Phase 3: Scale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Full deployment, advanced features (multilingual, proactive)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12-16 weeks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80% deflection, cross-sell integration</w:t>
            </w:r>
          </w:p>
        </w:tc>
      </w:tr>
    </w:tbl>
    <w:p/>
    <w:p>
      <w:pPr>
        <w:pStyle w:val="Heading2"/>
      </w:pPr>
      <w:r>
        <w:t>7.2 Governance &amp; Approval</w:t>
      </w:r>
    </w:p>
    <w:p>
      <w:r>
        <w:rPr>
          <w:i/>
          <w:color w:val="888888"/>
          <w:sz w:val="20"/>
        </w:rPr>
        <w:t>Reference Unit 3 — what governance structures and approval gates apply?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Gate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Approver</w:t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Design review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Risk classification, data assessment complete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AI Steering Committee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Pre-deployment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Testing passed, compliance sign-off, human oversight ready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Governance Office</w:t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Post-launch (30 days)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Performance within targets, no critical incidents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AI Governance Office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Quarterly review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Ongoing monitoring, model performance, customer feedback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Steering Committee</w:t>
            </w:r>
          </w:p>
        </w:tc>
      </w:tr>
    </w:tbl>
    <w:p/>
    <w:p>
      <w:pPr>
        <w:pStyle w:val="Heading2"/>
      </w:pPr>
      <w:r>
        <w:t>7.3 Technology Selection Summary</w:t>
      </w:r>
    </w:p>
    <w:p>
      <w:r>
        <w:rPr>
          <w:i/>
          <w:color w:val="888888"/>
          <w:sz w:val="20"/>
        </w:rPr>
        <w:t>Reference Unit 4 — justify the chosen vendor/platform against alternatives.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Vendor</w:t>
            </w:r>
          </w:p>
        </w:tc>
        <w:tc>
          <w:tcPr>
            <w:tcW w:type="dxa" w:w="1728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Score (weighted)</w:t>
            </w:r>
          </w:p>
        </w:tc>
        <w:tc>
          <w:tcPr>
            <w:tcW w:type="dxa" w:w="1728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Pros</w:t>
            </w:r>
          </w:p>
        </w:tc>
        <w:tc>
          <w:tcPr>
            <w:tcW w:type="dxa" w:w="1728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Cons</w:t>
            </w:r>
          </w:p>
        </w:tc>
        <w:tc>
          <w:tcPr>
            <w:tcW w:type="dxa" w:w="1728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  <w:t>[Vendor A]</w:t>
            </w:r>
          </w:p>
        </w:tc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[Vendor B]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  <w:t>Build in-house</w:t>
            </w:r>
          </w:p>
        </w:tc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  <w:shd w:fill="EBF0F7" w:val="clear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8. Data Strategy</w:t>
      </w:r>
    </w:p>
    <w:p>
      <w:r>
        <w:rPr>
          <w:i/>
          <w:color w:val="888888"/>
          <w:sz w:val="20"/>
        </w:rPr>
        <w:t>Reference Unit 5 — Data Strategy and Infrastructure.</w:t>
      </w:r>
    </w:p>
    <w:p>
      <w:pPr>
        <w:pStyle w:val="Heading2"/>
      </w:pPr>
      <w:r>
        <w:t>8.1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Quality Assessment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Access Method</w:t>
            </w:r>
          </w:p>
        </w:tc>
      </w:tr>
      <w:tr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Customer enquiry history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Product &amp; policy knowledge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Customer profile / CRM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Transaction data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Compliance / regulatory rules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8.2 Data Quality Gaps</w:t>
      </w:r>
    </w:p>
    <w:p>
      <w:r>
        <w:rPr>
          <w:i/>
          <w:color w:val="888888"/>
          <w:sz w:val="20"/>
        </w:rPr>
        <w:t>What data is missing, incomplete, or inaccessible that could undermine the AI assistant?</w:t>
      </w:r>
    </w:p>
    <w:p>
      <w:pPr>
        <w:pStyle w:val="ListNumber"/>
      </w:pPr>
      <w:r>
        <w:t xml:space="preserve">1. </w:t>
      </w:r>
    </w:p>
    <w:p>
      <w:pPr>
        <w:pStyle w:val="ListNumber"/>
      </w:pPr>
      <w:r>
        <w:t xml:space="preserve">2. </w:t>
      </w:r>
    </w:p>
    <w:p>
      <w:pPr>
        <w:pStyle w:val="ListNumber"/>
      </w:pPr>
      <w:r>
        <w:t xml:space="preserve">3. </w:t>
      </w:r>
    </w:p>
    <w:p>
      <w:pPr>
        <w:pStyle w:val="Heading2"/>
      </w:pPr>
      <w:r>
        <w:t>8.3 Data Governance</w:t>
      </w:r>
    </w:p>
    <w:p>
      <w:r>
        <w:rPr>
          <w:i/>
          <w:color w:val="888888"/>
          <w:sz w:val="20"/>
        </w:rPr>
        <w:t>How will training data and customer data be governed? Address GDPR, consent, retention, and the right to human review.</w:t>
      </w:r>
    </w:p>
    <w:p>
      <w:pPr>
        <w:pStyle w:val="Heading1"/>
      </w:pPr>
      <w:r>
        <w:t>9. Change Management &amp; Workforce Impact</w:t>
      </w:r>
    </w:p>
    <w:p>
      <w:r>
        <w:rPr>
          <w:i/>
          <w:color w:val="888888"/>
          <w:sz w:val="20"/>
        </w:rPr>
        <w:t>Reference Units 7 and 8.</w:t>
      </w:r>
    </w:p>
    <w:p>
      <w:pPr>
        <w:pStyle w:val="Heading2"/>
      </w:pPr>
      <w:r>
        <w:t>9.1 Workforce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Current FTE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Projected Change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Transition Plan</w:t>
            </w:r>
          </w:p>
        </w:tc>
      </w:tr>
      <w:tr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Contact centre agent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Team lead / supervisor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Knowledge manager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QA / compliance analyst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9.2 Change Management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Workstream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Actions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Communication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Training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Role redesign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Union / employee relations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9.3 Stakeholder Engagement</w:t>
      </w:r>
    </w:p>
    <w:p>
      <w:r>
        <w:rPr>
          <w:i/>
          <w:color w:val="888888"/>
          <w:sz w:val="20"/>
        </w:rPr>
        <w:t>Reference Unit 1 — Power-Interest Matrix.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Power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Interest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Strategy</w:t>
            </w:r>
          </w:p>
        </w:tc>
      </w:tr>
      <w:tr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CEO / Board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Manage Closely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COO / Operations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Manage Closely</w:t>
            </w:r>
          </w:p>
        </w:tc>
      </w:tr>
      <w:tr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CTO / IT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Manage Closely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Contact centre staff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Keep Informed</w:t>
            </w:r>
          </w:p>
        </w:tc>
      </w:tr>
      <w:tr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Compliance / Risk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Keep Satisfied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Customers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Keep Informed</w:t>
            </w:r>
          </w:p>
        </w:tc>
      </w:tr>
      <w:tr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Regulator (CB)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2160"/>
            <w:shd w:fill="EBF0F7" w:val="clear"/>
          </w:tcPr>
          <w:p>
            <w:r/>
            <w:r>
              <w:rPr>
                <w:sz w:val="20"/>
              </w:rPr>
              <w:t>Keep Satisfied</w:t>
            </w:r>
          </w:p>
        </w:tc>
      </w:tr>
    </w:tbl>
    <w:p/>
    <w:p>
      <w:pPr>
        <w:pStyle w:val="Heading1"/>
      </w:pPr>
      <w:r>
        <w:t>10. Performance Measurement &amp; KPIs</w:t>
      </w:r>
    </w:p>
    <w:p>
      <w:r>
        <w:rPr>
          <w:i/>
          <w:color w:val="888888"/>
          <w:sz w:val="20"/>
        </w:rPr>
        <w:t>Reference Unit 10 — Performance Measurement.</w:t>
      </w:r>
    </w:p>
    <w:p>
      <w:pPr>
        <w:pStyle w:val="Heading2"/>
      </w:pPr>
      <w:r>
        <w:t>10.1 KPI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44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Baseline</w:t>
            </w:r>
          </w:p>
        </w:tc>
        <w:tc>
          <w:tcPr>
            <w:tcW w:type="dxa" w:w="144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3 months</w:t>
            </w:r>
          </w:p>
        </w:tc>
        <w:tc>
          <w:tcPr>
            <w:tcW w:type="dxa" w:w="144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6 months</w:t>
            </w:r>
          </w:p>
        </w:tc>
        <w:tc>
          <w:tcPr>
            <w:tcW w:type="dxa" w:w="144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12 months</w:t>
            </w:r>
          </w:p>
        </w:tc>
        <w:tc>
          <w:tcPr>
            <w:tcW w:type="dxa" w:w="144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</w:tr>
      <w:tr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  <w:t>Enquiry deflection rate</w:t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  <w:t>50%</w:t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  <w:t>65%</w:t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  <w:t>80%</w:t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Customer satisfaction (CSAT)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  <w:t>Average handle time</w:t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First-contact resolution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  <w:t>Cost per enquiry</w:t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Escalation rate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  <w:t>AI accuracy rate</w:t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Containment rate (no handoff)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10.2 Leading Indicators (Early Warning)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Action if Breached</w:t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Customer complaints about AI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&gt; [X] per week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Pause expansion, review transcripts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Escalation rate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&gt; [X]%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Retrain model, update knowledge base</w:t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Negative sentiment score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&gt; [X]%</w:t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  <w:t>Immediate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Compliance incidents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Any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Escalate to AI Governance Office</w:t>
            </w:r>
          </w:p>
        </w:tc>
      </w:tr>
    </w:tbl>
    <w:p/>
    <w:p>
      <w:pPr>
        <w:pStyle w:val="Heading1"/>
      </w:pPr>
      <w:r>
        <w:t>11. Ethical &amp; Responsible AI Considerations</w:t>
      </w:r>
    </w:p>
    <w:p>
      <w:r>
        <w:rPr>
          <w:i/>
          <w:color w:val="888888"/>
          <w:sz w:val="20"/>
        </w:rPr>
        <w:t>Reference Unit 9 — Ethics, Trust, and Responsible AI.</w:t>
      </w:r>
    </w:p>
    <w:p>
      <w:pPr>
        <w:pStyle w:val="Heading2"/>
      </w:pPr>
      <w:r>
        <w:t>11.1 Fairness &amp; Bias</w:t>
      </w:r>
    </w:p>
    <w:p>
      <w:r>
        <w:rPr>
          <w:i/>
          <w:color w:val="888888"/>
          <w:sz w:val="20"/>
        </w:rPr>
        <w:t>How will you ensure the AI treats all customer demographics equitably? What testing will be done?</w:t>
      </w:r>
    </w:p>
    <w:p>
      <w:pPr>
        <w:pStyle w:val="Heading2"/>
      </w:pPr>
      <w:r>
        <w:t>11.2 Transparency</w:t>
      </w:r>
    </w:p>
    <w:p>
      <w:r>
        <w:rPr>
          <w:i/>
          <w:color w:val="888888"/>
          <w:sz w:val="20"/>
        </w:rPr>
        <w:t>How will customers know they're interacting with AI? How will you explain AI decisions on request?</w:t>
      </w:r>
    </w:p>
    <w:p>
      <w:pPr>
        <w:pStyle w:val="Heading2"/>
      </w:pPr>
      <w:r>
        <w:t>11.3 Human Oversight</w:t>
      </w:r>
    </w:p>
    <w:p>
      <w:r>
        <w:rPr>
          <w:i/>
          <w:color w:val="888888"/>
          <w:sz w:val="20"/>
        </w:rPr>
        <w:t>When and how does a human review or take over? What are the escalation triggers?</w:t>
      </w:r>
    </w:p>
    <w:p>
      <w:pPr>
        <w:pStyle w:val="Heading2"/>
      </w:pPr>
      <w:r>
        <w:t>11.4 Privacy</w:t>
      </w:r>
    </w:p>
    <w:p>
      <w:r>
        <w:rPr>
          <w:i/>
          <w:color w:val="888888"/>
          <w:sz w:val="20"/>
        </w:rPr>
        <w:t>How is customer data protected? What data does the AI retain? How do you handle subject access requests?</w:t>
      </w:r>
    </w:p>
    <w:p>
      <w:pPr>
        <w:pStyle w:val="Heading1"/>
      </w:pPr>
      <w:r>
        <w:t>12. The Ask</w:t>
      </w:r>
    </w:p>
    <w:p>
      <w:r>
        <w:rPr>
          <w:i/>
          <w:color w:val="888888"/>
          <w:sz w:val="20"/>
        </w:rPr>
        <w:t>Reference the Strategic Narrative Arc — this is "The Ask."</w:t>
      </w:r>
    </w:p>
    <w:p>
      <w:pPr>
        <w:pStyle w:val="Heading2"/>
      </w:pPr>
      <w:r>
        <w:t>12.1 Decision Required</w:t>
      </w:r>
    </w:p>
    <w:p>
      <w:r>
        <w:rPr>
          <w:i/>
          <w:color w:val="888888"/>
          <w:sz w:val="20"/>
        </w:rPr>
        <w:t>What specifically are you asking for? Be precise.</w:t>
      </w:r>
    </w:p>
    <w:p>
      <w:r>
        <w:t>We are requesting approval to:</w:t>
      </w:r>
    </w:p>
    <w:p>
      <w:pPr>
        <w:pStyle w:val="ListNumber"/>
      </w:pPr>
      <w:r>
        <w:t xml:space="preserve">1. </w:t>
      </w:r>
    </w:p>
    <w:p>
      <w:pPr>
        <w:pStyle w:val="ListNumber"/>
      </w:pPr>
      <w:r>
        <w:t xml:space="preserve">2. </w:t>
      </w:r>
    </w:p>
    <w:p>
      <w:pPr>
        <w:pStyle w:val="ListNumber"/>
      </w:pPr>
      <w:r>
        <w:t xml:space="preserve">3. </w:t>
      </w:r>
    </w:p>
    <w:p>
      <w:pPr>
        <w:pStyle w:val="Heading2"/>
      </w:pPr>
      <w:r>
        <w:t>12.2 Investment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Amount (EUR)</w:t>
            </w:r>
          </w:p>
        </w:tc>
      </w:tr>
      <w:tr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  <w:t>Total implementation cost</w:t>
            </w:r>
          </w:p>
        </w:tc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Year 1 ongoing cost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  <w:t>Total Year 1 investment</w:t>
            </w:r>
          </w:p>
        </w:tc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12.3 Expected Returns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  <w:t>Payback period</w:t>
            </w:r>
          </w:p>
        </w:tc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3-year NPV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  <w:t>3-year IRR</w:t>
            </w:r>
          </w:p>
        </w:tc>
        <w:tc>
          <w:tcPr>
            <w:tcW w:type="dxa" w:w="4320"/>
            <w:shd w:fill="EBF0F7" w:val="clear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12.4 Next Steps</w:t>
      </w:r>
    </w:p>
    <w:p>
      <w:r>
        <w:rPr>
          <w:i/>
          <w:color w:val="888888"/>
          <w:sz w:val="20"/>
        </w:rPr>
        <w:t>If approved, what happens immediately?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Deadline</w:t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EBF0F7" w:val="clear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Appendix A: Vendor Evaluation Scorecard</w:t>
      </w:r>
    </w:p>
    <w:p>
      <w:r>
        <w:rPr>
          <w:i/>
          <w:color w:val="888888"/>
          <w:sz w:val="20"/>
        </w:rPr>
        <w:t>Detailed scoring from Unit 4 technology selection framework.</w:t>
      </w:r>
    </w:p>
    <w:p>
      <w:pPr>
        <w:pStyle w:val="Heading2"/>
      </w:pPr>
      <w:r>
        <w:t>Appendix B: Detailed Financial Model</w:t>
      </w:r>
    </w:p>
    <w:p>
      <w:r>
        <w:rPr>
          <w:i/>
          <w:color w:val="888888"/>
          <w:sz w:val="20"/>
        </w:rPr>
        <w:t>Spreadsheet with monthly cash flows, sensitivity analysis, and scenario modelling.</w:t>
      </w:r>
    </w:p>
    <w:p>
      <w:pPr>
        <w:pStyle w:val="Heading2"/>
      </w:pPr>
      <w:r>
        <w:t>Appendix C: Regulatory Mapping</w:t>
      </w:r>
    </w:p>
    <w:p>
      <w:r>
        <w:rPr>
          <w:i/>
          <w:color w:val="888888"/>
          <w:sz w:val="20"/>
        </w:rPr>
        <w:t>Detailed EU AI Act requirement mapping, Central Bank guidelines, GDPR DPIA outline.</w:t>
      </w:r>
    </w:p>
    <w:p>
      <w:pPr>
        <w:pStyle w:val="Heading2"/>
      </w:pPr>
      <w:r>
        <w:t>Appendix D: Customer Journey Maps</w:t>
      </w:r>
    </w:p>
    <w:p>
      <w:r>
        <w:rPr>
          <w:i/>
          <w:color w:val="888888"/>
          <w:sz w:val="20"/>
        </w:rPr>
        <w:t>Current state and future state journey maps for each enquiry 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C5F8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C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