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962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center"/>
        <w:textAlignment w:val="auto"/>
      </w:pPr>
      <w:r>
        <w:rPr>
          <w:b/>
          <w:bCs/>
          <w:color w:val="1F3864"/>
          <w:sz w:val="40"/>
          <w:szCs w:val="40"/>
        </w:rPr>
        <w:t>Brady (Bowei) Tian</w:t>
      </w:r>
    </w:p>
    <w:p w14:paraId="0F6F77F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" w:line="240" w:lineRule="auto"/>
        <w:jc w:val="center"/>
        <w:textAlignment w:val="auto"/>
        <w:rPr>
          <w:rFonts w:hint="default" w:eastAsia="SimSun"/>
          <w:lang w:val="en-US" w:eastAsia="zh-CN"/>
        </w:rPr>
      </w:pPr>
      <w:r>
        <w:rPr>
          <w:i/>
          <w:iCs/>
          <w:color w:val="555555"/>
          <w:sz w:val="22"/>
          <w:szCs w:val="22"/>
        </w:rPr>
        <w:t>Ph.D.</w:t>
      </w:r>
      <w:r>
        <w:rPr>
          <w:rFonts w:hint="eastAsia" w:eastAsia="SimSun"/>
          <w:i/>
          <w:iCs/>
          <w:color w:val="555555"/>
          <w:sz w:val="22"/>
          <w:szCs w:val="22"/>
          <w:lang w:val="en-US" w:eastAsia="zh-CN"/>
        </w:rPr>
        <w:t xml:space="preserve"> Student</w:t>
      </w:r>
      <w:r>
        <w:rPr>
          <w:i/>
          <w:iCs/>
          <w:color w:val="555555"/>
          <w:sz w:val="22"/>
          <w:szCs w:val="22"/>
        </w:rPr>
        <w:t xml:space="preserve"> · </w:t>
      </w:r>
      <w:r>
        <w:rPr>
          <w:rFonts w:hint="eastAsia" w:eastAsia="SimSun"/>
          <w:i/>
          <w:iCs/>
          <w:color w:val="555555"/>
          <w:sz w:val="22"/>
          <w:szCs w:val="22"/>
          <w:lang w:val="en-US" w:eastAsia="zh-CN"/>
        </w:rPr>
        <w:t xml:space="preserve">Representation Learning </w:t>
      </w:r>
      <w:r>
        <w:rPr>
          <w:i/>
          <w:iCs/>
          <w:color w:val="555555"/>
          <w:sz w:val="22"/>
          <w:szCs w:val="22"/>
        </w:rPr>
        <w:t>·</w:t>
      </w:r>
      <w:r>
        <w:rPr>
          <w:rFonts w:hint="eastAsia" w:eastAsia="SimSun"/>
          <w:i/>
          <w:iCs/>
          <w:color w:val="555555"/>
          <w:sz w:val="22"/>
          <w:szCs w:val="22"/>
          <w:lang w:val="en-US" w:eastAsia="zh-CN"/>
        </w:rPr>
        <w:t xml:space="preserve"> Interpretability</w:t>
      </w:r>
    </w:p>
    <w:p w14:paraId="0ED4D4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</w:pPr>
      <w:r>
        <w:rPr>
          <w:sz w:val="21"/>
          <w:szCs w:val="21"/>
        </w:rPr>
        <w:t xml:space="preserve">btian1@umd.edu  ⋄  </w:t>
      </w:r>
      <w:r>
        <w:rPr>
          <w:rStyle w:val="16"/>
        </w:rPr>
        <w:fldChar w:fldCharType="begin"/>
      </w:r>
      <w:r>
        <w:rPr>
          <w:rStyle w:val="16"/>
        </w:rPr>
        <w:instrText xml:space="preserve"> HYPERLINK "https://bowei.netlify.app/" </w:instrText>
      </w:r>
      <w:r>
        <w:rPr>
          <w:rStyle w:val="16"/>
        </w:rPr>
        <w:fldChar w:fldCharType="separate"/>
      </w:r>
      <w:r>
        <w:rPr>
          <w:rStyle w:val="16"/>
        </w:rPr>
        <w:t>Website</w:t>
      </w:r>
      <w:r>
        <w:rPr>
          <w:rStyle w:val="16"/>
        </w:rPr>
        <w:fldChar w:fldCharType="end"/>
      </w:r>
      <w:r>
        <w:rPr>
          <w:sz w:val="21"/>
          <w:szCs w:val="21"/>
        </w:rPr>
        <w:t xml:space="preserve">   ⋄ 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"https://www.linkedin.com/in/boweitian/" </w:instrText>
      </w:r>
      <w:r>
        <w:rPr>
          <w:sz w:val="21"/>
          <w:szCs w:val="21"/>
        </w:rPr>
        <w:fldChar w:fldCharType="separate"/>
      </w:r>
      <w:r>
        <w:rPr>
          <w:rStyle w:val="16"/>
          <w:sz w:val="21"/>
          <w:szCs w:val="21"/>
        </w:rPr>
        <w:t>LinkedIn</w:t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 ⋄  MD, USA</w:t>
      </w:r>
    </w:p>
    <w:p w14:paraId="05216B33">
      <w:pPr>
        <w:keepNext w:val="0"/>
        <w:keepLines w:val="0"/>
        <w:pageBreakBefore w:val="0"/>
        <w:pBdr>
          <w:bottom w:val="single" w:color="1F3864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20" w:line="240" w:lineRule="auto"/>
        <w:textAlignment w:val="auto"/>
      </w:pPr>
    </w:p>
    <w:p w14:paraId="275F4564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PROFILE</w:t>
      </w:r>
    </w:p>
    <w:p w14:paraId="4104CD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 xml:space="preserve">I am </w:t>
      </w:r>
      <w:r>
        <w:rPr>
          <w:rFonts w:hint="eastAsia" w:eastAsia="SimSun"/>
          <w:sz w:val="21"/>
          <w:szCs w:val="21"/>
          <w:lang w:val="en-US" w:eastAsia="zh-CN"/>
        </w:rPr>
        <w:t xml:space="preserve">trying </w:t>
      </w:r>
      <w:r>
        <w:rPr>
          <w:rFonts w:hint="default"/>
          <w:sz w:val="21"/>
          <w:szCs w:val="21"/>
        </w:rPr>
        <w:t xml:space="preserve">to build a </w:t>
      </w:r>
      <w:r>
        <w:rPr>
          <w:rFonts w:hint="eastAsia" w:eastAsia="SimSun"/>
          <w:sz w:val="21"/>
          <w:szCs w:val="21"/>
          <w:lang w:val="en-US" w:eastAsia="zh-CN"/>
        </w:rPr>
        <w:t>theory</w:t>
      </w:r>
      <w:r>
        <w:rPr>
          <w:rFonts w:hint="default"/>
          <w:sz w:val="21"/>
          <w:szCs w:val="21"/>
        </w:rPr>
        <w:t xml:space="preserve"> of how machine intelligence represents and manipulates concepts — one that explains how raw inputs are organized into human-interpretable structure, and that uses this account to build agents whose problem-solving follows interpretable conceptual paths rather than opaque pattern-matching. The </w:t>
      </w:r>
      <w:r>
        <w:rPr>
          <w:rFonts w:hint="eastAsia" w:eastAsia="SimSun"/>
          <w:sz w:val="21"/>
          <w:szCs w:val="21"/>
          <w:lang w:val="en-US" w:eastAsia="zh-CN"/>
        </w:rPr>
        <w:t xml:space="preserve">working </w:t>
      </w:r>
      <w:r>
        <w:rPr>
          <w:rFonts w:hint="default"/>
          <w:sz w:val="21"/>
          <w:szCs w:val="21"/>
        </w:rPr>
        <w:t>thesis is that a network's representation space has measurable geometric structure: many concepts appear as approximately linear directions, and a suitably structured agent can compose these directions into a reasoning path toward a goal inferred from the user's input.</w:t>
      </w:r>
    </w:p>
    <w:p w14:paraId="620EA4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sz w:val="21"/>
          <w:szCs w:val="21"/>
        </w:rPr>
      </w:pPr>
      <w:r>
        <w:rPr>
          <w:rFonts w:hint="default"/>
          <w:sz w:val="21"/>
          <w:szCs w:val="21"/>
        </w:rPr>
        <w:t xml:space="preserve">The program runs from analysis to system. Spectral Principal Paths (SPP) characterizes the conditions under which deep networks distill approximately linear concept representations from noisy inputs. On that basis I am building Mindcraft, a system that composes concept-aligned reasoning paths on demand. </w:t>
      </w:r>
      <w:r>
        <w:rPr>
          <w:rFonts w:hint="eastAsia" w:eastAsia="SimSun"/>
          <w:sz w:val="21"/>
          <w:szCs w:val="21"/>
          <w:lang w:val="en-US" w:eastAsia="zh-CN"/>
        </w:rPr>
        <w:t>The main work stream</w:t>
      </w:r>
      <w:r>
        <w:rPr>
          <w:rFonts w:hint="default"/>
          <w:sz w:val="21"/>
          <w:szCs w:val="21"/>
        </w:rPr>
        <w:t xml:space="preserve"> aims to formalize how concepts form, propagate, and can be steered inside neural systems.</w:t>
      </w:r>
    </w:p>
    <w:p w14:paraId="3693105F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RESEARCH </w:t>
      </w:r>
      <w:r>
        <w:rPr>
          <w:rFonts w:hint="eastAsia" w:eastAsia="SimSun" w:cs="Calibri"/>
          <w:b/>
          <w:bCs/>
          <w:color w:val="1F3864"/>
          <w:sz w:val="24"/>
          <w:szCs w:val="24"/>
          <w:lang w:val="en-US" w:eastAsia="zh-CN"/>
        </w:rPr>
        <w:t>MAP</w:t>
      </w: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 </w:t>
      </w:r>
    </w:p>
    <w:p w14:paraId="3BCEED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rFonts w:hint="eastAsia" w:eastAsia="SimSun"/>
          <w:i/>
          <w:iCs/>
          <w:color w:val="555555"/>
          <w:sz w:val="20"/>
          <w:szCs w:val="20"/>
          <w:lang w:val="en-US" w:eastAsia="zh-CN"/>
        </w:rPr>
        <w:t>A</w:t>
      </w:r>
      <w:r>
        <w:rPr>
          <w:i/>
          <w:iCs/>
          <w:color w:val="555555"/>
          <w:sz w:val="20"/>
          <w:szCs w:val="20"/>
        </w:rPr>
        <w:t xml:space="preserve"> theory of concept formation toward </w:t>
      </w:r>
      <w:r>
        <w:rPr>
          <w:rFonts w:hint="eastAsia" w:eastAsia="SimSun"/>
          <w:i/>
          <w:iCs/>
          <w:color w:val="555555"/>
          <w:sz w:val="20"/>
          <w:szCs w:val="20"/>
          <w:lang w:val="en-US" w:eastAsia="zh-CN"/>
        </w:rPr>
        <w:t xml:space="preserve">general </w:t>
      </w:r>
      <w:r>
        <w:rPr>
          <w:i/>
          <w:iCs/>
          <w:color w:val="555555"/>
          <w:sz w:val="20"/>
          <w:szCs w:val="20"/>
        </w:rPr>
        <w:t>intelligent agents</w:t>
      </w:r>
    </w:p>
    <w:p w14:paraId="3514B880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b/>
          <w:bCs/>
          <w:sz w:val="21"/>
          <w:szCs w:val="21"/>
        </w:rPr>
        <w:t xml:space="preserve">Concept geometry. </w:t>
      </w:r>
      <w:r>
        <w:rPr>
          <w:sz w:val="21"/>
          <w:szCs w:val="21"/>
        </w:rPr>
        <w:t>Formalizing how input-level information is amplified into high-level concepts (“honesty,” “fairness”) as stable, high-energy singular directions — unifying the Linear Representation Hypothesis and manifold views as special cases of a single framework.</w:t>
      </w:r>
    </w:p>
    <w:p w14:paraId="38787E8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b/>
          <w:bCs/>
          <w:sz w:val="21"/>
          <w:szCs w:val="21"/>
        </w:rPr>
        <w:t xml:space="preserve">From inspection to agency. </w:t>
      </w:r>
      <w:r>
        <w:rPr>
          <w:sz w:val="21"/>
          <w:szCs w:val="21"/>
        </w:rPr>
        <w:t xml:space="preserve">Building the bridge from </w:t>
      </w:r>
      <w:r>
        <w:rPr>
          <w:i/>
          <w:iCs/>
          <w:sz w:val="21"/>
          <w:szCs w:val="21"/>
        </w:rPr>
        <w:t>reading</w:t>
      </w:r>
      <w:r>
        <w:rPr>
          <w:sz w:val="21"/>
          <w:szCs w:val="21"/>
        </w:rPr>
        <w:t xml:space="preserve"> a model’s internal concepts to </w:t>
      </w:r>
      <w:r>
        <w:rPr>
          <w:i/>
          <w:iCs/>
          <w:sz w:val="21"/>
          <w:szCs w:val="21"/>
        </w:rPr>
        <w:t>directing</w:t>
      </w:r>
      <w:r>
        <w:rPr>
          <w:sz w:val="21"/>
          <w:szCs w:val="21"/>
        </w:rPr>
        <w:t xml:space="preserve"> them: an intelligence network that, given a user’s line of thought, selects a reasoning path and steers the model’s internal geometry to reach the intended answer quickly.</w:t>
      </w:r>
    </w:p>
    <w:p w14:paraId="560607DB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b/>
          <w:bCs/>
          <w:sz w:val="21"/>
          <w:szCs w:val="21"/>
        </w:rPr>
        <w:t xml:space="preserve">Tooling. </w:t>
      </w:r>
      <w:r>
        <w:rPr>
          <w:sz w:val="21"/>
          <w:szCs w:val="21"/>
        </w:rPr>
        <w:t>A standardized</w:t>
      </w:r>
      <w:r>
        <w:rPr>
          <w:rFonts w:hint="eastAsia" w:eastAsia="SimSun"/>
          <w:sz w:val="21"/>
          <w:szCs w:val="21"/>
          <w:lang w:val="en-US" w:eastAsia="zh-CN"/>
        </w:rPr>
        <w:t xml:space="preserve"> </w:t>
      </w:r>
      <w:r>
        <w:rPr>
          <w:sz w:val="21"/>
          <w:szCs w:val="21"/>
        </w:rPr>
        <w:t>toolkit that traces stable spectral principal paths through hidden spaces from any input, giving an interpretable, geometric view of concept formation across DNNs, ViTs, and LLMs.</w:t>
      </w:r>
    </w:p>
    <w:p w14:paraId="036506EA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SELECTED WORK TOWARD THE THEORY</w:t>
      </w:r>
    </w:p>
    <w:p w14:paraId="31696047">
      <w:pPr>
        <w:keepNext w:val="0"/>
        <w:keepLines w:val="0"/>
        <w:pageBreakBefore w:val="0"/>
        <w:tabs>
          <w:tab w:val="righ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 w:line="240" w:lineRule="auto"/>
        <w:textAlignment w:val="auto"/>
      </w:pPr>
      <w:r>
        <w:rPr>
          <w:b/>
          <w:bCs/>
          <w:sz w:val="22"/>
          <w:szCs w:val="22"/>
        </w:rPr>
        <w:t>Spectral Principal Paths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 xml:space="preserve"> </w:t>
      </w:r>
      <w:r>
        <w:rPr>
          <w:b/>
          <w:bCs/>
          <w:sz w:val="22"/>
          <w:szCs w:val="22"/>
        </w:rPr>
        <w:t xml:space="preserve">— 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 xml:space="preserve">a </w:t>
      </w:r>
      <w:r>
        <w:rPr>
          <w:b/>
          <w:bCs/>
          <w:sz w:val="22"/>
          <w:szCs w:val="22"/>
        </w:rPr>
        <w:t xml:space="preserve">geometric 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reason of linear representation hypothesis</w:t>
      </w:r>
      <w:r>
        <w:rPr>
          <w:i/>
          <w:iCs/>
          <w:color w:val="555555"/>
          <w:sz w:val="20"/>
          <w:szCs w:val="20"/>
        </w:rPr>
        <w:tab/>
      </w:r>
    </w:p>
    <w:p w14:paraId="180E25C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  <w:rPr>
          <w:i/>
          <w:iCs/>
          <w:color w:val="555555"/>
          <w:sz w:val="20"/>
          <w:szCs w:val="20"/>
        </w:rPr>
      </w:pPr>
      <w:r>
        <w:rPr>
          <w:rFonts w:hint="default"/>
          <w:i/>
          <w:iCs/>
          <w:color w:val="555555"/>
          <w:sz w:val="20"/>
          <w:szCs w:val="20"/>
        </w:rPr>
        <w:t>A Spectral Perspective on Linear Representation Formation</w:t>
      </w:r>
    </w:p>
    <w:p w14:paraId="0FA80E43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Proposed the </w:t>
      </w:r>
      <w:r>
        <w:rPr>
          <w:b w:val="0"/>
          <w:bCs w:val="0"/>
          <w:sz w:val="21"/>
          <w:szCs w:val="21"/>
        </w:rPr>
        <w:t xml:space="preserve">Input-Space Linearity Hypothesis: </w:t>
      </w:r>
      <w:r>
        <w:rPr>
          <w:sz w:val="21"/>
          <w:szCs w:val="21"/>
        </w:rPr>
        <w:t>concept-aligned directions already reside in the raw input and are recovered and amplified during training, recasting training as a noise-suppression process along dominant spectral paths.</w:t>
      </w:r>
    </w:p>
    <w:p w14:paraId="40CE58CF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Showed empirically that top singular values grow while their directions stay stable across training, so each input follows a consistent path toward its conceptual representation — validated across </w:t>
      </w:r>
      <w:r>
        <w:rPr>
          <w:rFonts w:hint="eastAsia" w:eastAsia="SimSun"/>
          <w:sz w:val="21"/>
          <w:szCs w:val="21"/>
          <w:lang w:val="en-US" w:eastAsia="zh-CN"/>
        </w:rPr>
        <w:t>VLM and</w:t>
      </w:r>
      <w:r>
        <w:rPr>
          <w:sz w:val="21"/>
          <w:szCs w:val="21"/>
        </w:rPr>
        <w:t xml:space="preserve"> LLM settings.</w:t>
      </w:r>
    </w:p>
    <w:p w14:paraId="5E72967E">
      <w:pPr>
        <w:keepNext w:val="0"/>
        <w:keepLines w:val="0"/>
        <w:pageBreakBefore w:val="0"/>
        <w:tabs>
          <w:tab w:val="righ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 w:line="240" w:lineRule="auto"/>
        <w:textAlignment w:val="auto"/>
      </w:pPr>
      <w:r>
        <w:rPr>
          <w:b/>
          <w:bCs/>
          <w:sz w:val="22"/>
          <w:szCs w:val="22"/>
        </w:rPr>
        <w:t xml:space="preserve">Mindcraft — 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a theory merging linear representation and manifold</w:t>
      </w:r>
      <w:r>
        <w:rPr>
          <w:i/>
          <w:iCs/>
          <w:color w:val="555555"/>
          <w:sz w:val="20"/>
          <w:szCs w:val="20"/>
        </w:rPr>
        <w:tab/>
      </w:r>
    </w:p>
    <w:p w14:paraId="47905DD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i/>
          <w:iCs/>
          <w:color w:val="555555"/>
          <w:sz w:val="20"/>
          <w:szCs w:val="20"/>
        </w:rPr>
        <w:t>Composing concept-aligned reasoning paths conditioned on user intent</w:t>
      </w:r>
    </w:p>
    <w:p w14:paraId="7A045DA1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Extending SPP from </w:t>
      </w:r>
      <w:r>
        <w:rPr>
          <w:i/>
          <w:iCs/>
          <w:sz w:val="21"/>
          <w:szCs w:val="21"/>
        </w:rPr>
        <w:t>description</w:t>
      </w:r>
      <w:r>
        <w:rPr>
          <w:sz w:val="21"/>
          <w:szCs w:val="21"/>
        </w:rPr>
        <w:t xml:space="preserve"> to </w:t>
      </w:r>
      <w:r>
        <w:rPr>
          <w:i/>
          <w:iCs/>
          <w:sz w:val="21"/>
          <w:szCs w:val="21"/>
        </w:rPr>
        <w:t>decision</w:t>
      </w:r>
      <w:r>
        <w:rPr>
          <w:sz w:val="21"/>
          <w:szCs w:val="21"/>
        </w:rPr>
        <w:t>: a network that lays out a reasoning trajectory through concept space given a user’s existing line of thought, then drives the model along it to resolve the target problem efficiently.</w:t>
      </w:r>
    </w:p>
    <w:p w14:paraId="7117923D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>Connects concept inspection, steering, and counterfactual intervention into a single controllable pipeline</w:t>
      </w:r>
      <w:r>
        <w:rPr>
          <w:rFonts w:hint="eastAsia" w:eastAsia="SimSun"/>
          <w:sz w:val="21"/>
          <w:szCs w:val="21"/>
          <w:lang w:val="en-US" w:eastAsia="zh-CN"/>
        </w:rPr>
        <w:t>.</w:t>
      </w:r>
    </w:p>
    <w:p w14:paraId="3A2754FA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INDUSTRY RESEARCH</w:t>
      </w:r>
    </w:p>
    <w:p w14:paraId="66CF11AD">
      <w:pPr>
        <w:keepNext w:val="0"/>
        <w:keepLines w:val="0"/>
        <w:pageBreakBefore w:val="0"/>
        <w:tabs>
          <w:tab w:val="righ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 w:line="240" w:lineRule="auto"/>
        <w:jc w:val="left"/>
        <w:textAlignment w:val="auto"/>
      </w:pPr>
      <w:r>
        <w:rPr>
          <w:b/>
          <w:bCs/>
          <w:sz w:val="22"/>
          <w:szCs w:val="22"/>
        </w:rPr>
        <w:t>Research Intern — Snowflake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Summer 2025</w:t>
      </w:r>
    </w:p>
    <w:p w14:paraId="10FA6C62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Designed a context-aware </w:t>
      </w:r>
      <w:r>
        <w:rPr>
          <w:i/>
          <w:iCs/>
          <w:sz w:val="21"/>
          <w:szCs w:val="21"/>
        </w:rPr>
        <w:t>TextGrad</w:t>
      </w:r>
      <w:r>
        <w:rPr>
          <w:sz w:val="21"/>
          <w:szCs w:val="21"/>
        </w:rPr>
        <w:t xml:space="preserve"> auto-prompting framework that treats prompts as learnable parameters optimized with gradient-based updates informed by schema structure and execution feedback.</w:t>
      </w:r>
    </w:p>
    <w:p w14:paraId="3C31F750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Built a data-augmentation and lightweight LoRA fine-tuning pipeline letting prompts adapt to new databases; on the BIRD benchmark across 11 heterogeneous databases, achieved </w:t>
      </w:r>
      <w:r>
        <w:rPr>
          <w:rFonts w:hint="eastAsia" w:eastAsia="SimSun"/>
          <w:sz w:val="21"/>
          <w:szCs w:val="21"/>
          <w:lang w:val="en-US" w:eastAsia="zh-CN"/>
        </w:rPr>
        <w:t xml:space="preserve">a </w:t>
      </w:r>
      <w:r>
        <w:rPr>
          <w:b w:val="0"/>
          <w:bCs w:val="0"/>
          <w:sz w:val="21"/>
          <w:szCs w:val="21"/>
        </w:rPr>
        <w:t xml:space="preserve">2% execution accuracy </w:t>
      </w:r>
      <w:r>
        <w:rPr>
          <w:sz w:val="21"/>
          <w:szCs w:val="21"/>
        </w:rPr>
        <w:t>over the SOTA Text2SQL pipeline.</w:t>
      </w:r>
    </w:p>
    <w:p w14:paraId="55B4688C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EARLIER RESEARCH — TRUSTWORTHY &amp; SECURE AI</w:t>
      </w:r>
    </w:p>
    <w:p w14:paraId="6B0580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Before </w:t>
      </w:r>
      <w:r>
        <w:rPr>
          <w:rFonts w:hint="eastAsia" w:eastAsia="SimSun"/>
          <w:sz w:val="21"/>
          <w:szCs w:val="21"/>
          <w:lang w:val="en-US" w:eastAsia="zh-CN"/>
        </w:rPr>
        <w:t>my research for interpretability theory</w:t>
      </w:r>
      <w:r>
        <w:rPr>
          <w:sz w:val="21"/>
          <w:szCs w:val="21"/>
        </w:rPr>
        <w:t xml:space="preserve">, my work clustered around two trustworthy-AI themes that motivated the move toward a structural theory of concepts: </w:t>
      </w:r>
      <w:r>
        <w:rPr>
          <w:b w:val="0"/>
          <w:bCs w:val="0"/>
          <w:sz w:val="21"/>
          <w:szCs w:val="21"/>
        </w:rPr>
        <w:t>fairness</w:t>
      </w:r>
      <w:r>
        <w:rPr>
          <w:sz w:val="21"/>
          <w:szCs w:val="21"/>
        </w:rPr>
        <w:t xml:space="preserve">, </w:t>
      </w:r>
      <w:r>
        <w:rPr>
          <w:rFonts w:hint="eastAsia" w:eastAsia="SimSun"/>
          <w:sz w:val="21"/>
          <w:szCs w:val="21"/>
          <w:lang w:val="en-US" w:eastAsia="zh-CN"/>
        </w:rPr>
        <w:t xml:space="preserve"> causal inference, </w:t>
      </w:r>
      <w:r>
        <w:rPr>
          <w:sz w:val="21"/>
          <w:szCs w:val="21"/>
        </w:rPr>
        <w:t xml:space="preserve">and the </w:t>
      </w:r>
      <w:r>
        <w:rPr>
          <w:b w:val="0"/>
          <w:bCs w:val="0"/>
          <w:sz w:val="21"/>
          <w:szCs w:val="21"/>
        </w:rPr>
        <w:t xml:space="preserve">security </w:t>
      </w:r>
      <w:r>
        <w:rPr>
          <w:sz w:val="21"/>
          <w:szCs w:val="21"/>
        </w:rPr>
        <w:t>of how models encode and can be manipulated.</w:t>
      </w:r>
    </w:p>
    <w:p w14:paraId="4B7117B6">
      <w:pPr>
        <w:keepNext w:val="0"/>
        <w:keepLines w:val="0"/>
        <w:pageBreakBefore w:val="0"/>
        <w:tabs>
          <w:tab w:val="righ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 w:line="240" w:lineRule="auto"/>
        <w:textAlignment w:val="auto"/>
        <w:rPr>
          <w:rFonts w:hint="default" w:eastAsia="SimSun"/>
          <w:lang w:val="en-US" w:eastAsia="zh-CN"/>
        </w:rPr>
      </w:pPr>
      <w:r>
        <w:rPr>
          <w:b/>
          <w:bCs/>
          <w:sz w:val="22"/>
          <w:szCs w:val="22"/>
        </w:rPr>
        <w:t xml:space="preserve">Fairness of Representations — </w:t>
      </w:r>
      <w:r>
        <w:rPr>
          <w:rFonts w:hint="eastAsia" w:eastAsia="SimSun"/>
          <w:b/>
          <w:bCs/>
          <w:sz w:val="22"/>
          <w:szCs w:val="22"/>
          <w:lang w:val="en-US" w:eastAsia="zh-CN"/>
        </w:rPr>
        <w:t>University of Maryland, College Park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2023</w:t>
      </w:r>
      <w:r>
        <w:rPr>
          <w:rFonts w:hint="eastAsia" w:eastAsia="SimSun"/>
          <w:i/>
          <w:iCs/>
          <w:color w:val="555555"/>
          <w:sz w:val="20"/>
          <w:szCs w:val="20"/>
          <w:lang w:val="en-US" w:eastAsia="zh-CN"/>
        </w:rPr>
        <w:t xml:space="preserve"> </w:t>
      </w:r>
      <w:r>
        <w:rPr>
          <w:i/>
          <w:iCs/>
          <w:color w:val="555555"/>
          <w:sz w:val="20"/>
          <w:szCs w:val="20"/>
        </w:rPr>
        <w:t>–</w:t>
      </w:r>
      <w:r>
        <w:rPr>
          <w:rFonts w:hint="eastAsia" w:eastAsia="SimSun"/>
          <w:i/>
          <w:iCs/>
          <w:color w:val="555555"/>
          <w:sz w:val="20"/>
          <w:szCs w:val="20"/>
          <w:lang w:val="en-US" w:eastAsia="zh-CN"/>
        </w:rPr>
        <w:t xml:space="preserve"> 2025</w:t>
      </w:r>
    </w:p>
    <w:p w14:paraId="0DA81339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Develop adaptive, back-propagation-hooked attention masking with a contrastive distance loss to improve the fairness–accuracy tradeoff in Vision Transformers — a </w:t>
      </w:r>
      <w:r>
        <w:rPr>
          <w:b w:val="0"/>
          <w:bCs w:val="0"/>
          <w:sz w:val="21"/>
          <w:szCs w:val="21"/>
        </w:rPr>
        <w:t xml:space="preserve">6.72% accuracy gain </w:t>
      </w:r>
      <w:r>
        <w:rPr>
          <w:sz w:val="21"/>
          <w:szCs w:val="21"/>
        </w:rPr>
        <w:t xml:space="preserve">over leading methods at comparable fairness. </w:t>
      </w:r>
      <w:r>
        <w:rPr>
          <w:rFonts w:hint="default"/>
          <w:i/>
          <w:iCs/>
          <w:sz w:val="21"/>
          <w:szCs w:val="21"/>
        </w:rPr>
        <w:t>FairViT: Fair Vision Transformer via Adaptive Masking</w:t>
      </w:r>
      <w:r>
        <w:rPr>
          <w:sz w:val="21"/>
          <w:szCs w:val="21"/>
        </w:rPr>
        <w:t>, ECCV 2024.</w:t>
      </w:r>
    </w:p>
    <w:p w14:paraId="70CB897C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rFonts w:hint="eastAsia" w:eastAsia="SimSun"/>
          <w:sz w:val="21"/>
          <w:szCs w:val="21"/>
          <w:lang w:val="en-US" w:eastAsia="zh-CN"/>
        </w:rPr>
        <w:t>Subsequently</w:t>
      </w:r>
      <w:r>
        <w:rPr>
          <w:sz w:val="21"/>
          <w:szCs w:val="21"/>
        </w:rPr>
        <w:t xml:space="preserve">, develop </w:t>
      </w:r>
      <w:r>
        <w:rPr>
          <w:b w:val="0"/>
          <w:bCs w:val="0"/>
          <w:sz w:val="21"/>
          <w:szCs w:val="21"/>
        </w:rPr>
        <w:t>EXOgenous Causal reasoning (EXOC)</w:t>
      </w:r>
      <w:r>
        <w:rPr>
          <w:sz w:val="21"/>
          <w:szCs w:val="21"/>
        </w:rPr>
        <w:t xml:space="preserve">, a causal-inference framework to improve counterfactual fairness. </w:t>
      </w:r>
      <w:r>
        <w:rPr>
          <w:i/>
          <w:iCs/>
          <w:sz w:val="21"/>
          <w:szCs w:val="21"/>
        </w:rPr>
        <w:t>Towards Counterfactual Fairness through Auxiliary Variables</w:t>
      </w:r>
      <w:r>
        <w:rPr>
          <w:sz w:val="21"/>
          <w:szCs w:val="21"/>
        </w:rPr>
        <w:t>, ICLR 2025.</w:t>
      </w:r>
    </w:p>
    <w:p w14:paraId="58F33059">
      <w:pPr>
        <w:keepNext w:val="0"/>
        <w:keepLines w:val="0"/>
        <w:pageBreakBefore w:val="0"/>
        <w:tabs>
          <w:tab w:val="righ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 w:line="240" w:lineRule="auto"/>
        <w:textAlignment w:val="auto"/>
        <w:rPr>
          <w:rFonts w:hint="eastAsia" w:eastAsia="SimSun"/>
          <w:lang w:eastAsia="zh-CN"/>
        </w:rPr>
      </w:pPr>
      <w:r>
        <w:rPr>
          <w:b/>
          <w:bCs/>
          <w:sz w:val="22"/>
          <w:szCs w:val="22"/>
        </w:rPr>
        <w:t>AI Security &amp; Backdoors — Wuhan University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2022 – 202</w:t>
      </w:r>
      <w:r>
        <w:rPr>
          <w:rFonts w:hint="eastAsia" w:eastAsia="SimSun"/>
          <w:i/>
          <w:iCs/>
          <w:color w:val="555555"/>
          <w:sz w:val="20"/>
          <w:szCs w:val="20"/>
          <w:lang w:val="en-US" w:eastAsia="zh-CN"/>
        </w:rPr>
        <w:t>5</w:t>
      </w:r>
    </w:p>
    <w:p w14:paraId="5CACCE40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rFonts w:hint="eastAsia" w:eastAsia="SimSun"/>
          <w:sz w:val="21"/>
          <w:szCs w:val="21"/>
          <w:lang w:val="en-US" w:eastAsia="zh-CN"/>
        </w:rPr>
        <w:t>Design</w:t>
      </w:r>
      <w:r>
        <w:rPr>
          <w:sz w:val="21"/>
          <w:szCs w:val="21"/>
        </w:rPr>
        <w:t xml:space="preserve"> a QoE attack reaching success rates up to 82% higher than baselines at low poison ratios.</w:t>
      </w:r>
      <w:r>
        <w:rPr>
          <w:rFonts w:hint="eastAsia" w:eastAsia="SimSun"/>
          <w:sz w:val="21"/>
          <w:szCs w:val="21"/>
          <w:lang w:val="en-US" w:eastAsia="zh-CN"/>
        </w:rPr>
        <w:t xml:space="preserve"> </w:t>
      </w:r>
      <w:r>
        <w:rPr>
          <w:rFonts w:hint="eastAsia"/>
          <w:i/>
          <w:iCs/>
          <w:sz w:val="21"/>
          <w:szCs w:val="21"/>
          <w:lang w:val="en-US" w:eastAsia="zh-CN"/>
        </w:rPr>
        <w:t>An Effective and Resilient Backdoor Attack Framework against Deep Neural Networks and Vision Transformers.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sz w:val="21"/>
          <w:szCs w:val="21"/>
        </w:rPr>
        <w:t>IEEE TDSC 2025.</w:t>
      </w:r>
    </w:p>
    <w:p w14:paraId="79036FE7">
      <w:pPr>
        <w:pStyle w:val="18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b w:val="0"/>
          <w:bCs w:val="0"/>
          <w:sz w:val="21"/>
          <w:szCs w:val="21"/>
        </w:rPr>
        <w:t>Develop a trigger scope strategy and manipulated the attention mechanism through Attention Diffusion to improve attack flexibility.</w:t>
      </w:r>
      <w:r>
        <w:rPr>
          <w:rFonts w:hint="eastAsia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eastAsia"/>
          <w:i/>
          <w:iCs/>
          <w:sz w:val="21"/>
          <w:szCs w:val="21"/>
          <w:lang w:val="en-US" w:eastAsia="zh-CN"/>
        </w:rPr>
        <w:fldChar w:fldCharType="begin"/>
      </w:r>
      <w:r>
        <w:rPr>
          <w:rFonts w:hint="eastAsia"/>
          <w:i/>
          <w:iCs/>
          <w:sz w:val="21"/>
          <w:szCs w:val="21"/>
          <w:lang w:val="en-US" w:eastAsia="zh-CN"/>
        </w:rPr>
        <w:instrText xml:space="preserve"> HYPERLINK "https://bowei.netlify.app/publication/conference2/" </w:instrText>
      </w:r>
      <w:r>
        <w:rPr>
          <w:rFonts w:hint="eastAsia"/>
          <w:i/>
          <w:iCs/>
          <w:sz w:val="21"/>
          <w:szCs w:val="21"/>
          <w:lang w:val="en-US" w:eastAsia="zh-CN"/>
        </w:rPr>
        <w:fldChar w:fldCharType="separate"/>
      </w:r>
      <w:r>
        <w:rPr>
          <w:rFonts w:hint="default"/>
          <w:i/>
          <w:iCs/>
          <w:sz w:val="21"/>
          <w:szCs w:val="21"/>
          <w:lang w:val="en-US" w:eastAsia="zh-CN"/>
        </w:rPr>
        <w:t>MEGATRON: Backdooring Vision Transformers with Invisible Triggers</w: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end"/>
      </w:r>
      <w:r>
        <w:rPr>
          <w:rFonts w:hint="default"/>
          <w:i/>
          <w:iCs/>
          <w:sz w:val="21"/>
          <w:szCs w:val="21"/>
          <w:lang w:val="en-US" w:eastAsia="zh-CN"/>
        </w:rPr>
        <w:t>.</w:t>
      </w:r>
      <w:r>
        <w:rPr>
          <w:rFonts w:hint="eastAsia"/>
          <w:i/>
          <w:iCs/>
          <w:sz w:val="21"/>
          <w:szCs w:val="21"/>
          <w:lang w:val="en-US" w:eastAsia="zh-CN"/>
        </w:rPr>
        <w:t xml:space="preserve"> </w:t>
      </w:r>
      <w:r>
        <w:rPr>
          <w:sz w:val="21"/>
          <w:szCs w:val="21"/>
        </w:rPr>
        <w:t>IEEE TDSC 2025.</w:t>
      </w:r>
    </w:p>
    <w:p w14:paraId="39BACD0F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EDUCATION</w:t>
      </w:r>
    </w:p>
    <w:p w14:paraId="39073A87">
      <w:pPr>
        <w:keepNext w:val="0"/>
        <w:keepLines w:val="0"/>
        <w:pageBreakBefore w:val="0"/>
        <w:tabs>
          <w:tab w:val="righ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20" w:line="240" w:lineRule="auto"/>
        <w:textAlignment w:val="auto"/>
      </w:pPr>
      <w:r>
        <w:rPr>
          <w:b/>
          <w:bCs/>
          <w:sz w:val="22"/>
          <w:szCs w:val="22"/>
        </w:rPr>
        <w:t>University of Maryland, College Park, MD, USA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Expected May 2028</w:t>
      </w:r>
    </w:p>
    <w:p w14:paraId="2D5F1A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i/>
          <w:iCs/>
          <w:color w:val="555555"/>
          <w:sz w:val="20"/>
          <w:szCs w:val="20"/>
        </w:rPr>
        <w:t>Ph.D. Student (3rd year), Electrical &amp; Computer Engineering — advised by Dr. Ang Li</w:t>
      </w:r>
    </w:p>
    <w:p w14:paraId="156E23E3">
      <w:pPr>
        <w:keepNext w:val="0"/>
        <w:keepLines w:val="0"/>
        <w:pageBreakBefore w:val="0"/>
        <w:tabs>
          <w:tab w:val="right" w:pos="902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0" w:line="240" w:lineRule="auto"/>
        <w:textAlignment w:val="auto"/>
      </w:pPr>
      <w:r>
        <w:rPr>
          <w:b/>
          <w:bCs/>
          <w:sz w:val="22"/>
          <w:szCs w:val="22"/>
        </w:rPr>
        <w:t>Wuhan University, Wuhan, China</w:t>
      </w:r>
      <w:r>
        <w:rPr>
          <w:i/>
          <w:iCs/>
          <w:color w:val="555555"/>
          <w:sz w:val="20"/>
          <w:szCs w:val="20"/>
        </w:rPr>
        <w:tab/>
      </w:r>
      <w:r>
        <w:rPr>
          <w:i/>
          <w:iCs/>
          <w:color w:val="555555"/>
          <w:sz w:val="20"/>
          <w:szCs w:val="20"/>
        </w:rPr>
        <w:t>June 2024</w:t>
      </w:r>
    </w:p>
    <w:p w14:paraId="313F64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i/>
          <w:iCs/>
          <w:color w:val="555555"/>
          <w:sz w:val="20"/>
          <w:szCs w:val="20"/>
        </w:rPr>
        <w:t>B.Eng. in Information Security — Cumulative GPA: 3.9 / 4.0</w:t>
      </w:r>
    </w:p>
    <w:p w14:paraId="5EC4737E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SELECTED PUBLICATIONS</w:t>
      </w:r>
    </w:p>
    <w:p w14:paraId="180061BC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hint="default"/>
          <w:i/>
          <w:iCs/>
          <w:sz w:val="21"/>
          <w:szCs w:val="21"/>
        </w:rPr>
      </w:pPr>
      <w:r>
        <w:rPr>
          <w:rFonts w:hint="default"/>
        </w:rPr>
        <w:t>B. Tian, Y. He, W. Ye, Z. Wang, M. Liu, A. Li.</w:t>
      </w:r>
      <w:r>
        <w:rPr>
          <w:rFonts w:hint="default"/>
          <w:i/>
          <w:iCs/>
          <w:sz w:val="21"/>
          <w:szCs w:val="21"/>
        </w:rPr>
        <w:t xml:space="preserve"> </w:t>
      </w:r>
      <w:r>
        <w:rPr>
          <w:rFonts w:hint="default"/>
          <w:i/>
          <w:iCs/>
          <w:sz w:val="21"/>
          <w:szCs w:val="21"/>
        </w:rPr>
        <w:fldChar w:fldCharType="begin"/>
      </w:r>
      <w:r>
        <w:rPr>
          <w:rFonts w:hint="default"/>
          <w:i/>
          <w:iCs/>
          <w:sz w:val="21"/>
          <w:szCs w:val="21"/>
        </w:rPr>
        <w:instrText xml:space="preserve"> HYPERLINK "https://arxiv.org/abs/2510.03265" </w:instrText>
      </w:r>
      <w:r>
        <w:rPr>
          <w:rFonts w:hint="default"/>
          <w:i/>
          <w:iCs/>
          <w:sz w:val="21"/>
          <w:szCs w:val="21"/>
        </w:rPr>
        <w:fldChar w:fldCharType="separate"/>
      </w:r>
      <w:r>
        <w:rPr>
          <w:rFonts w:hint="default"/>
          <w:i/>
          <w:iCs/>
          <w:sz w:val="21"/>
          <w:szCs w:val="21"/>
        </w:rPr>
        <w:t>MindCraft: How Concept Trees Take Shape In Deep Models</w:t>
      </w:r>
      <w:r>
        <w:rPr>
          <w:rFonts w:hint="eastAsia"/>
          <w:i/>
          <w:iCs/>
          <w:sz w:val="21"/>
          <w:szCs w:val="21"/>
          <w:lang w:val="en-US" w:eastAsia="zh-CN"/>
        </w:rPr>
        <w:t xml:space="preserve">. </w:t>
      </w:r>
      <w:r>
        <w:rPr>
          <w:rFonts w:hint="default"/>
          <w:i/>
          <w:iCs/>
          <w:sz w:val="21"/>
          <w:szCs w:val="21"/>
        </w:rPr>
        <w:t>arXiv:</w:t>
      </w:r>
      <w:r>
        <w:rPr>
          <w:rFonts w:hint="eastAsia"/>
          <w:i/>
          <w:iCs/>
          <w:sz w:val="21"/>
          <w:szCs w:val="21"/>
          <w:lang w:val="en-US" w:eastAsia="zh-CN"/>
        </w:rPr>
        <w:t>2510.03265</w:t>
      </w:r>
      <w:r>
        <w:rPr>
          <w:rFonts w:hint="default"/>
          <w:i/>
          <w:iCs/>
          <w:sz w:val="21"/>
          <w:szCs w:val="21"/>
        </w:rPr>
        <w:t>, 2025.</w:t>
      </w:r>
      <w:r>
        <w:rPr>
          <w:rFonts w:hint="default"/>
          <w:i/>
          <w:iCs/>
          <w:sz w:val="21"/>
          <w:szCs w:val="21"/>
        </w:rPr>
        <w:fldChar w:fldCharType="end"/>
      </w:r>
    </w:p>
    <w:p w14:paraId="34169FD6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  <w:rPr>
          <w:rFonts w:ascii="Calibri" w:hAnsi="Calibri" w:eastAsia="Calibri" w:cs="Calibri"/>
          <w:sz w:val="21"/>
          <w:szCs w:val="21"/>
        </w:rPr>
      </w:pPr>
      <w:r>
        <w:rPr>
          <w:sz w:val="21"/>
          <w:szCs w:val="21"/>
        </w:rPr>
        <w:t>B. Tian, X. Lyu, M. Liu, H. Wang, A. Li.</w:t>
      </w:r>
      <w:r>
        <w:rPr>
          <w:rFonts w:hint="eastAsia" w:eastAsia="SimSun"/>
          <w:sz w:val="21"/>
          <w:szCs w:val="21"/>
          <w:lang w:val="en-US" w:eastAsia="zh-CN"/>
        </w:rPr>
        <w:t xml:space="preserve"> </w:t>
      </w:r>
      <w:r>
        <w:rPr>
          <w:rFonts w:hint="default"/>
          <w:i/>
          <w:iCs/>
          <w:sz w:val="21"/>
          <w:szCs w:val="21"/>
        </w:rPr>
        <w:fldChar w:fldCharType="begin"/>
      </w:r>
      <w:r>
        <w:rPr>
          <w:rFonts w:hint="default"/>
          <w:i/>
          <w:iCs/>
          <w:sz w:val="21"/>
          <w:szCs w:val="21"/>
        </w:rPr>
        <w:instrText xml:space="preserve"> HYPERLINK "https://arxiv.org/abs/2506.08543v3" </w:instrText>
      </w:r>
      <w:r>
        <w:rPr>
          <w:rFonts w:hint="default"/>
          <w:i/>
          <w:iCs/>
          <w:sz w:val="21"/>
          <w:szCs w:val="21"/>
        </w:rPr>
        <w:fldChar w:fldCharType="separate"/>
      </w:r>
      <w:r>
        <w:rPr>
          <w:rFonts w:hint="default"/>
          <w:i/>
          <w:iCs/>
          <w:sz w:val="21"/>
          <w:szCs w:val="21"/>
        </w:rPr>
        <w:t>Spectral Principal Paths: A Spectral Perspective on Linear Representation Formation in LLMs</w:t>
      </w:r>
      <w:r>
        <w:rPr>
          <w:rFonts w:hint="eastAsia"/>
          <w:i/>
          <w:iCs/>
          <w:sz w:val="21"/>
          <w:szCs w:val="21"/>
          <w:lang w:val="en-US" w:eastAsia="zh-CN"/>
        </w:rPr>
        <w:t>.</w:t>
      </w:r>
      <w:r>
        <w:rPr>
          <w:rFonts w:hint="default"/>
          <w:i/>
          <w:iCs/>
          <w:sz w:val="21"/>
          <w:szCs w:val="21"/>
        </w:rPr>
        <w:t xml:space="preserve"> </w:t>
      </w:r>
      <w:r>
        <w:rPr>
          <w:rFonts w:hint="default"/>
          <w:i/>
          <w:iCs/>
          <w:sz w:val="21"/>
          <w:szCs w:val="21"/>
        </w:rPr>
        <w:fldChar w:fldCharType="end"/>
      </w:r>
      <w:r>
        <w:rPr>
          <w:rFonts w:hint="eastAsia" w:eastAsia="SimSun"/>
          <w:sz w:val="21"/>
          <w:szCs w:val="21"/>
          <w:lang w:val="en-US" w:eastAsia="zh-CN"/>
        </w:rPr>
        <w:t>COLM 2026</w:t>
      </w:r>
      <w:r>
        <w:rPr>
          <w:sz w:val="21"/>
          <w:szCs w:val="21"/>
        </w:rPr>
        <w:t>.</w:t>
      </w:r>
    </w:p>
    <w:p w14:paraId="1DC5A6EE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rFonts w:hint="default" w:ascii="Calibri" w:hAnsi="Calibri" w:eastAsia="Calibri" w:cs="Calibri"/>
          <w:sz w:val="21"/>
          <w:szCs w:val="21"/>
          <w:lang w:val="en-US" w:eastAsia="zh-CN"/>
        </w:rPr>
        <w:t>B</w:t>
      </w:r>
      <w:r>
        <w:rPr>
          <w:rFonts w:hint="eastAsia" w:ascii="Calibri" w:hAnsi="Calibri" w:eastAsia="Calibri" w:cs="Calibri"/>
          <w:sz w:val="21"/>
          <w:szCs w:val="21"/>
          <w:lang w:val="en-US" w:eastAsia="zh-CN"/>
        </w:rPr>
        <w:t>.</w:t>
      </w:r>
      <w:r>
        <w:rPr>
          <w:rFonts w:hint="default" w:ascii="Calibri" w:hAnsi="Calibri" w:eastAsia="Calibri" w:cs="Calibri"/>
          <w:sz w:val="21"/>
          <w:szCs w:val="21"/>
          <w:lang w:val="en-US" w:eastAsia="zh-CN"/>
        </w:rPr>
        <w:t xml:space="preserve"> Tian, Y</w:t>
      </w:r>
      <w:r>
        <w:rPr>
          <w:rFonts w:hint="eastAsia" w:ascii="Calibri" w:hAnsi="Calibri" w:eastAsia="Calibri" w:cs="Calibri"/>
          <w:sz w:val="21"/>
          <w:szCs w:val="21"/>
          <w:lang w:val="en-US" w:eastAsia="zh-CN"/>
        </w:rPr>
        <w:t>.</w:t>
      </w:r>
      <w:r>
        <w:rPr>
          <w:rFonts w:hint="default" w:ascii="Calibri" w:hAnsi="Calibri" w:eastAsia="Calibri" w:cs="Calibri"/>
          <w:sz w:val="21"/>
          <w:szCs w:val="21"/>
          <w:lang w:val="en-US" w:eastAsia="zh-CN"/>
        </w:rPr>
        <w:t xml:space="preserve"> He, Z</w:t>
      </w:r>
      <w:r>
        <w:rPr>
          <w:rFonts w:hint="eastAsia" w:ascii="Calibri" w:hAnsi="Calibri" w:eastAsia="Calibri" w:cs="Calibri"/>
          <w:sz w:val="21"/>
          <w:szCs w:val="21"/>
          <w:lang w:val="en-US" w:eastAsia="zh-CN"/>
        </w:rPr>
        <w:t>.</w:t>
      </w:r>
      <w:r>
        <w:rPr>
          <w:rFonts w:hint="default" w:ascii="Calibri" w:hAnsi="Calibri" w:eastAsia="Calibri" w:cs="Calibri"/>
          <w:sz w:val="21"/>
          <w:szCs w:val="21"/>
          <w:lang w:val="en-US" w:eastAsia="zh-CN"/>
        </w:rPr>
        <w:t xml:space="preserve"> Wang, M</w:t>
      </w:r>
      <w:r>
        <w:rPr>
          <w:rFonts w:hint="eastAsia" w:ascii="Calibri" w:hAnsi="Calibri" w:eastAsia="Calibri" w:cs="Calibri"/>
          <w:sz w:val="21"/>
          <w:szCs w:val="21"/>
          <w:lang w:val="en-US" w:eastAsia="zh-CN"/>
        </w:rPr>
        <w:t>.</w:t>
      </w:r>
      <w:r>
        <w:rPr>
          <w:rFonts w:hint="default" w:ascii="Calibri" w:hAnsi="Calibri" w:eastAsia="Calibri" w:cs="Calibri"/>
          <w:sz w:val="21"/>
          <w:szCs w:val="21"/>
          <w:lang w:val="en-US" w:eastAsia="zh-CN"/>
        </w:rPr>
        <w:t xml:space="preserve"> Liu, Y</w:t>
      </w:r>
      <w:r>
        <w:rPr>
          <w:rFonts w:hint="eastAsia" w:ascii="Calibri" w:hAnsi="Calibri" w:eastAsia="Calibri" w:cs="Calibri"/>
          <w:sz w:val="21"/>
          <w:szCs w:val="21"/>
          <w:lang w:val="en-US" w:eastAsia="zh-CN"/>
        </w:rPr>
        <w:t>.</w:t>
      </w:r>
      <w:r>
        <w:rPr>
          <w:rFonts w:hint="default" w:ascii="Calibri" w:hAnsi="Calibri" w:eastAsia="Calibri" w:cs="Calibri"/>
          <w:sz w:val="21"/>
          <w:szCs w:val="21"/>
          <w:lang w:val="en-US" w:eastAsia="zh-CN"/>
        </w:rPr>
        <w:t xml:space="preserve"> Wu, and A</w:t>
      </w:r>
      <w:r>
        <w:rPr>
          <w:rFonts w:hint="eastAsia" w:ascii="Calibri" w:hAnsi="Calibri" w:eastAsia="Calibri" w:cs="Calibri"/>
          <w:sz w:val="21"/>
          <w:szCs w:val="21"/>
          <w:lang w:val="en-US" w:eastAsia="zh-CN"/>
        </w:rPr>
        <w:t>.</w:t>
      </w:r>
      <w:r>
        <w:rPr>
          <w:rFonts w:hint="default" w:ascii="Calibri" w:hAnsi="Calibri" w:eastAsia="Calibri" w:cs="Calibri"/>
          <w:sz w:val="21"/>
          <w:szCs w:val="21"/>
          <w:lang w:val="en-US" w:eastAsia="zh-CN"/>
        </w:rPr>
        <w:t xml:space="preserve"> Li</w:t>
      </w:r>
      <w:r>
        <w:rPr>
          <w:rFonts w:hint="eastAsia" w:ascii="Calibri" w:hAnsi="Calibri" w:eastAsia="Calibri" w:cs="Calibri"/>
          <w:sz w:val="21"/>
          <w:szCs w:val="21"/>
          <w:lang w:val="en-US" w:eastAsia="zh-CN"/>
        </w:rPr>
        <w:t xml:space="preserve">. </w: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begin"/>
      </w:r>
      <w:r>
        <w:rPr>
          <w:rFonts w:hint="default"/>
          <w:i/>
          <w:iCs/>
          <w:sz w:val="21"/>
          <w:szCs w:val="21"/>
          <w:lang w:val="en-US" w:eastAsia="zh-CN"/>
        </w:rPr>
        <w:instrText xml:space="preserve"> HYPERLINK "https://arxiv.org/abs/2412.04739" </w:instrTex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separate"/>
      </w:r>
      <w:r>
        <w:rPr>
          <w:rFonts w:hint="default"/>
          <w:i/>
          <w:iCs/>
          <w:sz w:val="21"/>
          <w:szCs w:val="21"/>
          <w:lang w:val="en-US" w:eastAsia="zh-CN"/>
        </w:rPr>
        <w:t>SPARC: Scalable Path-Specific Counterfactual Fairness via Causal Conditional Independence</w:t>
      </w:r>
      <w:r>
        <w:rPr>
          <w:rFonts w:hint="eastAsia"/>
          <w:i/>
          <w:iCs/>
          <w:sz w:val="21"/>
          <w:szCs w:val="21"/>
          <w:lang w:val="en-US" w:eastAsia="zh-CN"/>
        </w:rPr>
        <w:t>.</w:t>
      </w:r>
      <w:r>
        <w:rPr>
          <w:rFonts w:hint="default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>ECCV 2026</w:t>
      </w:r>
      <w:r>
        <w:rPr>
          <w:rFonts w:hint="eastAsia"/>
          <w:i w:val="0"/>
          <w:iCs w:val="0"/>
          <w:sz w:val="21"/>
          <w:szCs w:val="21"/>
          <w:lang w:val="en-US" w:eastAsia="zh-CN"/>
        </w:rPr>
        <w:t>.</w: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end"/>
      </w:r>
    </w:p>
    <w:p w14:paraId="6E9F6EBA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B. Tian, Z. Wang, S. He, W. Ye, G. Sun, Y. Dai, Y. Wu, A. Li. </w: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begin"/>
      </w:r>
      <w:r>
        <w:rPr>
          <w:rFonts w:hint="default"/>
          <w:i/>
          <w:iCs/>
          <w:sz w:val="21"/>
          <w:szCs w:val="21"/>
          <w:lang w:val="en-US" w:eastAsia="zh-CN"/>
        </w:rPr>
        <w:instrText xml:space="preserve"> HYPERLINK "https://arxiv.org/abs/2412.04767" </w:instrTex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separate"/>
      </w:r>
      <w:r>
        <w:rPr>
          <w:rFonts w:hint="default"/>
          <w:i/>
          <w:iCs/>
          <w:sz w:val="21"/>
          <w:szCs w:val="21"/>
          <w:lang w:val="en-US" w:eastAsia="zh-CN"/>
        </w:rPr>
        <w:t>Towards Counterfactual Fairness through Auxiliary Variables.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 xml:space="preserve"> ICLR 2025.</w: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end"/>
      </w:r>
    </w:p>
    <w:p w14:paraId="5DF2554B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B. Tian, R. Du, Y. Shen. </w: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begin"/>
      </w:r>
      <w:r>
        <w:rPr>
          <w:rFonts w:hint="default"/>
          <w:i/>
          <w:iCs/>
          <w:sz w:val="21"/>
          <w:szCs w:val="21"/>
          <w:lang w:val="en-US" w:eastAsia="zh-CN"/>
        </w:rPr>
        <w:instrText xml:space="preserve"> HYPERLINK "https://arxiv.org/abs/2407.14799" </w:instrTex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separate"/>
      </w:r>
      <w:r>
        <w:rPr>
          <w:rFonts w:hint="default"/>
          <w:i/>
          <w:iCs/>
          <w:sz w:val="21"/>
          <w:szCs w:val="21"/>
          <w:lang w:val="en-US" w:eastAsia="zh-CN"/>
        </w:rPr>
        <w:t>FairViT: Fair Vision Transformer via Adaptive Masking.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 xml:space="preserve"> ECCV 2024.</w:t>
      </w:r>
      <w:r>
        <w:rPr>
          <w:rFonts w:hint="default"/>
          <w:i/>
          <w:iCs/>
          <w:sz w:val="21"/>
          <w:szCs w:val="21"/>
          <w:lang w:val="en-US" w:eastAsia="zh-CN"/>
        </w:rPr>
        <w:fldChar w:fldCharType="end"/>
      </w:r>
    </w:p>
    <w:p w14:paraId="56BC3AE4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sz w:val="21"/>
          <w:szCs w:val="21"/>
        </w:rPr>
        <w:t xml:space="preserve">X. Gong*, B. Tian*, M. Xue, Y. Wu, Y. Chen, Q. Wang. </w:t>
      </w:r>
      <w:r>
        <w:rPr>
          <w:i/>
          <w:iCs/>
          <w:sz w:val="21"/>
          <w:szCs w:val="21"/>
        </w:rPr>
        <w:fldChar w:fldCharType="begin"/>
      </w:r>
      <w:r>
        <w:rPr>
          <w:i/>
          <w:iCs/>
          <w:sz w:val="21"/>
          <w:szCs w:val="21"/>
        </w:rPr>
        <w:instrText xml:space="preserve"> HYPERLINK "https://ieeexplore.ieee.org/document/10916946" </w:instrText>
      </w:r>
      <w:r>
        <w:rPr>
          <w:i/>
          <w:iCs/>
          <w:sz w:val="21"/>
          <w:szCs w:val="21"/>
        </w:rPr>
        <w:fldChar w:fldCharType="separate"/>
      </w:r>
      <w:r>
        <w:rPr>
          <w:rFonts w:hint="default"/>
          <w:i/>
          <w:iCs/>
          <w:sz w:val="21"/>
          <w:szCs w:val="21"/>
          <w:lang w:val="en-US" w:eastAsia="zh-CN"/>
        </w:rPr>
        <w:t>An Effective and Resilient Backdoor Attack Framework against Deep Neural Networks and Vision Transformers.</w:t>
      </w:r>
      <w:r>
        <w:rPr>
          <w:rFonts w:hint="default"/>
          <w:i w:val="0"/>
          <w:iCs w:val="0"/>
          <w:sz w:val="21"/>
          <w:szCs w:val="21"/>
          <w:lang w:val="en-US" w:eastAsia="zh-CN"/>
        </w:rPr>
        <w:t xml:space="preserve"> IEEE TDSC 2025. </w:t>
      </w:r>
      <w:r>
        <w:rPr>
          <w:i/>
          <w:iCs/>
          <w:sz w:val="21"/>
          <w:szCs w:val="21"/>
        </w:rPr>
        <w:fldChar w:fldCharType="end"/>
      </w:r>
    </w:p>
    <w:p w14:paraId="5842928D">
      <w:pPr>
        <w:pStyle w:val="18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textAlignment w:val="auto"/>
      </w:pPr>
      <w:r>
        <w:rPr>
          <w:rFonts w:hint="eastAsia"/>
          <w:sz w:val="21"/>
          <w:szCs w:val="21"/>
          <w:lang w:val="en-US" w:eastAsia="zh-CN"/>
        </w:rPr>
        <w:t>X. Gong, B. Tian, M. Xue, S. Li, Y. Chen, Q. Wang.</w:t>
      </w:r>
      <w:r>
        <w:rPr>
          <w:rFonts w:hint="eastAsia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eastAsia"/>
          <w:i/>
          <w:iCs/>
          <w:sz w:val="21"/>
          <w:szCs w:val="21"/>
          <w:lang w:val="en-US" w:eastAsia="zh-CN"/>
        </w:rPr>
        <w:fldChar w:fldCharType="begin"/>
      </w:r>
      <w:r>
        <w:rPr>
          <w:rFonts w:hint="eastAsia"/>
          <w:i/>
          <w:iCs/>
          <w:sz w:val="21"/>
          <w:szCs w:val="21"/>
          <w:lang w:val="en-US" w:eastAsia="zh-CN"/>
        </w:rPr>
        <w:instrText xml:space="preserve"> HYPERLINK "https://ieeexplore.ieee.org/document/11154976" </w:instrText>
      </w:r>
      <w:r>
        <w:rPr>
          <w:rFonts w:hint="eastAsia"/>
          <w:i/>
          <w:iCs/>
          <w:sz w:val="21"/>
          <w:szCs w:val="21"/>
          <w:lang w:val="en-US" w:eastAsia="zh-CN"/>
        </w:rPr>
        <w:fldChar w:fldCharType="separate"/>
      </w:r>
      <w:r>
        <w:rPr>
          <w:rFonts w:hint="eastAsia"/>
          <w:i/>
          <w:iCs/>
          <w:sz w:val="21"/>
          <w:szCs w:val="21"/>
          <w:lang w:val="en-US" w:eastAsia="zh-CN"/>
        </w:rPr>
        <w:t>MEGATRON: Backdooring Vision Transformers with Invisible Triggers</w:t>
      </w:r>
      <w:r>
        <w:rPr>
          <w:rFonts w:hint="default"/>
          <w:i/>
          <w:iCs/>
          <w:sz w:val="21"/>
          <w:szCs w:val="21"/>
          <w:lang w:val="en-US" w:eastAsia="zh-CN"/>
        </w:rPr>
        <w:t>.</w:t>
      </w:r>
      <w:r>
        <w:rPr>
          <w:rFonts w:hint="eastAsia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/>
          <w:i/>
          <w:iCs/>
          <w:sz w:val="21"/>
          <w:szCs w:val="21"/>
          <w:lang w:val="en-US" w:eastAsia="zh-CN"/>
        </w:rPr>
        <w:t>IEEE TDSC 2025.</w:t>
      </w:r>
      <w:r>
        <w:rPr>
          <w:rFonts w:hint="eastAsia"/>
          <w:i/>
          <w:iCs/>
          <w:sz w:val="21"/>
          <w:szCs w:val="21"/>
          <w:lang w:val="en-US" w:eastAsia="zh-CN"/>
        </w:rPr>
        <w:fldChar w:fldCharType="end"/>
      </w:r>
      <w:bookmarkStart w:id="0" w:name="_GoBack"/>
      <w:bookmarkEnd w:id="0"/>
    </w:p>
    <w:p w14:paraId="7DADFAEE">
      <w:pPr>
        <w:keepNext w:val="0"/>
        <w:keepLines w:val="0"/>
        <w:pageBreakBefore w:val="0"/>
        <w:pBdr>
          <w:bottom w:val="single" w:color="1F3864" w:sz="6" w:space="2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60" w:line="240" w:lineRule="auto"/>
        <w:textAlignment w:val="auto"/>
        <w:rPr>
          <w:rFonts w:hint="default" w:eastAsia="SimSun"/>
          <w:lang w:val="en-US" w:eastAsia="zh-CN"/>
        </w:rPr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 xml:space="preserve">SKILLS </w:t>
      </w:r>
      <w:r>
        <w:rPr>
          <w:rFonts w:hint="eastAsia" w:eastAsia="SimSun" w:cs="Calibri"/>
          <w:b/>
          <w:bCs/>
          <w:color w:val="1F3864"/>
          <w:sz w:val="24"/>
          <w:szCs w:val="24"/>
          <w:lang w:val="en-US" w:eastAsia="zh-CN"/>
        </w:rPr>
        <w:t>ETA.</w:t>
      </w:r>
    </w:p>
    <w:p w14:paraId="15C20C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b/>
          <w:bCs/>
          <w:sz w:val="21"/>
          <w:szCs w:val="21"/>
        </w:rPr>
        <w:t xml:space="preserve">Research interests:  </w:t>
      </w:r>
      <w:r>
        <w:rPr>
          <w:sz w:val="21"/>
          <w:szCs w:val="21"/>
        </w:rPr>
        <w:t>Interpretability &amp; representation learning, concept geometry, causal reasoning, reasoning agents, LLMs &amp; multimodal models, trustworthy AI.</w:t>
      </w:r>
    </w:p>
    <w:p w14:paraId="0CDB2F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b/>
          <w:bCs/>
          <w:sz w:val="21"/>
          <w:szCs w:val="21"/>
        </w:rPr>
        <w:t xml:space="preserve">Languages:  </w:t>
      </w:r>
      <w:r>
        <w:rPr>
          <w:sz w:val="21"/>
          <w:szCs w:val="21"/>
        </w:rPr>
        <w:t>C/C++, Python, SQL, HTML/CSS/JavaScript, MATLAB, Markdown.</w:t>
      </w:r>
    </w:p>
    <w:p w14:paraId="224F75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b/>
          <w:bCs/>
          <w:sz w:val="21"/>
          <w:szCs w:val="21"/>
        </w:rPr>
        <w:t xml:space="preserve">Tools:  </w:t>
      </w:r>
      <w:r>
        <w:rPr>
          <w:sz w:val="21"/>
          <w:szCs w:val="21"/>
        </w:rPr>
        <w:t>PyTorch, TensorFlow, Git/GitHub, Docker, Conda, Jupyter, VS Code, LaTeX.</w:t>
      </w:r>
    </w:p>
    <w:p w14:paraId="73015AC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textAlignment w:val="auto"/>
      </w:pPr>
      <w:r>
        <w:rPr>
          <w:b/>
          <w:bCs/>
          <w:sz w:val="21"/>
          <w:szCs w:val="21"/>
        </w:rPr>
        <w:t xml:space="preserve">Honors:  </w:t>
      </w:r>
      <w:r>
        <w:rPr>
          <w:sz w:val="21"/>
          <w:szCs w:val="21"/>
        </w:rPr>
        <w:t>Lei Jun Scholarship (2024); Outstanding Student (2021, 2022, 2023).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–"/>
      <w:lvlJc w:val="left"/>
      <w:pPr>
        <w:ind w:left="360" w:hanging="20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[%1]"/>
      <w:lvlJc w:val="left"/>
      <w:pPr>
        <w:ind w:left="4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172A27"/>
    <w:rsid w:val="005539A0"/>
    <w:rsid w:val="01203FAE"/>
    <w:rsid w:val="012E558D"/>
    <w:rsid w:val="01443FE5"/>
    <w:rsid w:val="0227136C"/>
    <w:rsid w:val="02B7624C"/>
    <w:rsid w:val="0370464D"/>
    <w:rsid w:val="03B0615C"/>
    <w:rsid w:val="04854128"/>
    <w:rsid w:val="08A72CFC"/>
    <w:rsid w:val="0910197C"/>
    <w:rsid w:val="0971437F"/>
    <w:rsid w:val="0AFA33CD"/>
    <w:rsid w:val="0C851E84"/>
    <w:rsid w:val="0D525BC6"/>
    <w:rsid w:val="0E1E0D54"/>
    <w:rsid w:val="0F015689"/>
    <w:rsid w:val="10E33FED"/>
    <w:rsid w:val="11F50B3F"/>
    <w:rsid w:val="1482145E"/>
    <w:rsid w:val="16A547E8"/>
    <w:rsid w:val="16C51193"/>
    <w:rsid w:val="192B3098"/>
    <w:rsid w:val="1AC73C48"/>
    <w:rsid w:val="1B3C4A90"/>
    <w:rsid w:val="1C5C1D06"/>
    <w:rsid w:val="1E002D45"/>
    <w:rsid w:val="21307616"/>
    <w:rsid w:val="214152F7"/>
    <w:rsid w:val="21F82C05"/>
    <w:rsid w:val="24084702"/>
    <w:rsid w:val="24A3442A"/>
    <w:rsid w:val="24DA1568"/>
    <w:rsid w:val="260C6BFA"/>
    <w:rsid w:val="26695200"/>
    <w:rsid w:val="26CD1C32"/>
    <w:rsid w:val="28700AC7"/>
    <w:rsid w:val="297E7214"/>
    <w:rsid w:val="2A206818"/>
    <w:rsid w:val="2A5B648A"/>
    <w:rsid w:val="2AC44873"/>
    <w:rsid w:val="2AD73080"/>
    <w:rsid w:val="2AEB08D9"/>
    <w:rsid w:val="2B057BED"/>
    <w:rsid w:val="2B801021"/>
    <w:rsid w:val="2BEC66B7"/>
    <w:rsid w:val="2C092691"/>
    <w:rsid w:val="2C1B0D4A"/>
    <w:rsid w:val="2C7A3CC3"/>
    <w:rsid w:val="2C923702"/>
    <w:rsid w:val="2D744BB6"/>
    <w:rsid w:val="2E516CA5"/>
    <w:rsid w:val="30395D36"/>
    <w:rsid w:val="31D369AC"/>
    <w:rsid w:val="32456B21"/>
    <w:rsid w:val="329B42B1"/>
    <w:rsid w:val="337B4EF0"/>
    <w:rsid w:val="33D6087E"/>
    <w:rsid w:val="348D5046"/>
    <w:rsid w:val="348E0C53"/>
    <w:rsid w:val="356D6ABA"/>
    <w:rsid w:val="35CF507F"/>
    <w:rsid w:val="363D3219"/>
    <w:rsid w:val="37F343F6"/>
    <w:rsid w:val="384E3C7F"/>
    <w:rsid w:val="38AF2F46"/>
    <w:rsid w:val="38E45B52"/>
    <w:rsid w:val="39A41D92"/>
    <w:rsid w:val="39BC458C"/>
    <w:rsid w:val="3AD95E00"/>
    <w:rsid w:val="3AF61300"/>
    <w:rsid w:val="3B3977BC"/>
    <w:rsid w:val="3B6E70E8"/>
    <w:rsid w:val="3BA52E39"/>
    <w:rsid w:val="3BB36270"/>
    <w:rsid w:val="3CD32960"/>
    <w:rsid w:val="3E950E30"/>
    <w:rsid w:val="40B21825"/>
    <w:rsid w:val="437C7B3E"/>
    <w:rsid w:val="44EF214B"/>
    <w:rsid w:val="44FA7C3F"/>
    <w:rsid w:val="46121BC0"/>
    <w:rsid w:val="47767A51"/>
    <w:rsid w:val="481E3C44"/>
    <w:rsid w:val="497A1A39"/>
    <w:rsid w:val="49B45954"/>
    <w:rsid w:val="4AF07F13"/>
    <w:rsid w:val="4B441C14"/>
    <w:rsid w:val="4BE60AD8"/>
    <w:rsid w:val="4C35155C"/>
    <w:rsid w:val="4CEC60BF"/>
    <w:rsid w:val="4ED54978"/>
    <w:rsid w:val="50A93C98"/>
    <w:rsid w:val="52F42171"/>
    <w:rsid w:val="53127408"/>
    <w:rsid w:val="53A9470E"/>
    <w:rsid w:val="548C143D"/>
    <w:rsid w:val="553C1274"/>
    <w:rsid w:val="55A809B5"/>
    <w:rsid w:val="5600618B"/>
    <w:rsid w:val="57517B92"/>
    <w:rsid w:val="5878114F"/>
    <w:rsid w:val="59DB1995"/>
    <w:rsid w:val="5A643739"/>
    <w:rsid w:val="5C0276AD"/>
    <w:rsid w:val="5CAE60B4"/>
    <w:rsid w:val="5D061443"/>
    <w:rsid w:val="5ECA0460"/>
    <w:rsid w:val="5ED3570C"/>
    <w:rsid w:val="653B778C"/>
    <w:rsid w:val="656B4880"/>
    <w:rsid w:val="666F1DE3"/>
    <w:rsid w:val="67A26B47"/>
    <w:rsid w:val="68946CAB"/>
    <w:rsid w:val="68B47F81"/>
    <w:rsid w:val="691C6844"/>
    <w:rsid w:val="6A927E4E"/>
    <w:rsid w:val="6BC979C1"/>
    <w:rsid w:val="6C2B39EB"/>
    <w:rsid w:val="6CA125CA"/>
    <w:rsid w:val="6D780CD8"/>
    <w:rsid w:val="6DF46E10"/>
    <w:rsid w:val="6E2A648C"/>
    <w:rsid w:val="6E356CD6"/>
    <w:rsid w:val="6EE13152"/>
    <w:rsid w:val="6FB72105"/>
    <w:rsid w:val="701423EB"/>
    <w:rsid w:val="70D02CB2"/>
    <w:rsid w:val="70DB74A5"/>
    <w:rsid w:val="716B764B"/>
    <w:rsid w:val="719A3A8C"/>
    <w:rsid w:val="72BB015E"/>
    <w:rsid w:val="72DE1F62"/>
    <w:rsid w:val="7447614D"/>
    <w:rsid w:val="74E44E7D"/>
    <w:rsid w:val="76595CC4"/>
    <w:rsid w:val="76946CFC"/>
    <w:rsid w:val="77DD4321"/>
    <w:rsid w:val="78AD36BE"/>
    <w:rsid w:val="78F341AE"/>
    <w:rsid w:val="795804B5"/>
    <w:rsid w:val="7A7E219D"/>
    <w:rsid w:val="7A911ED0"/>
    <w:rsid w:val="7B155FAB"/>
    <w:rsid w:val="7B590514"/>
    <w:rsid w:val="7B8C6B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semiHidden="0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Calibri"/>
      <w:sz w:val="21"/>
      <w:szCs w:val="21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9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paragraph" w:styleId="10">
    <w:name w:val="Title"/>
    <w:qFormat/>
    <w:uiPriority w:val="0"/>
    <w:rPr>
      <w:rFonts w:ascii="Calibri" w:hAnsi="Calibri" w:eastAsia="Calibri" w:cs="Calibri"/>
      <w:sz w:val="56"/>
      <w:szCs w:val="56"/>
    </w:rPr>
  </w:style>
  <w:style w:type="character" w:styleId="13">
    <w:name w:val="endnote reference"/>
    <w:unhideWhenUsed/>
    <w:qFormat/>
    <w:uiPriority w:val="99"/>
    <w:rPr>
      <w:vertAlign w:val="superscript"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Emphasis"/>
    <w:basedOn w:val="12"/>
    <w:qFormat/>
    <w:uiPriority w:val="0"/>
    <w:rPr>
      <w:i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character" w:styleId="17">
    <w:name w:val="footnote reference"/>
    <w:semiHidden/>
    <w:unhideWhenUsed/>
    <w:qFormat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Calibri" w:hAnsi="Calibri" w:eastAsia="Calibri" w:cs="Calibri"/>
      <w:sz w:val="21"/>
      <w:szCs w:val="21"/>
    </w:rPr>
  </w:style>
  <w:style w:type="character" w:customStyle="1" w:styleId="19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937</Words>
  <Characters>5649</Characters>
  <Lines>1</Lines>
  <Paragraphs>1</Paragraphs>
  <TotalTime>1</TotalTime>
  <ScaleCrop>false</ScaleCrop>
  <LinksUpToDate>false</LinksUpToDate>
  <CharactersWithSpaces>6552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2026-06-08T15:56:00Z</dcterms:created>
  <dc:creator>Un-named</dc:creator>
  <cp:lastModifiedBy>Detective(Hurry)</cp:lastModifiedBy>
  <dcterms:modified xsi:type="dcterms:W3CDTF">2026-07-08T21:03:16Z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eyJoZGlkIjoiYmQzNDZmMjFlY2Y4MDIwZjYyZTU2ZTMwNDFjMDU4YTkiLCJ1c2VySWQiOiIxOTc3MTY2NjYifQ==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ECBF6EC3DD174F0584AE0A9BBC252DF6_12</vt:lpwstr>
  </property>
</Properties>
</file>