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A67C5">
      <w:pPr>
        <w:snapToGrid w:val="0"/>
        <w:spacing w:line="400" w:lineRule="exact"/>
        <w:jc w:val="center"/>
        <w:rPr>
          <w:rFonts w:ascii="Times New Roman" w:hAnsi="Times New Roman" w:cs="Times New Roman"/>
          <w:b/>
          <w:bCs/>
          <w:color w:val="000000" w:themeColor="text1"/>
          <w:sz w:val="36"/>
          <w:szCs w:val="36"/>
          <w14:textFill>
            <w14:solidFill>
              <w14:schemeClr w14:val="tx1"/>
            </w14:solidFill>
          </w14:textFill>
        </w:rPr>
      </w:pPr>
      <w:r>
        <w:rPr>
          <w:rFonts w:hint="eastAsia" w:asciiTheme="majorEastAsia" w:hAnsiTheme="majorEastAsia" w:eastAsiaTheme="majorEastAsia" w:cstheme="majorEastAsia"/>
          <w:b/>
          <w:bCs/>
          <w:color w:val="000000" w:themeColor="text1"/>
          <w:sz w:val="36"/>
          <w:szCs w:val="36"/>
          <w14:textFill>
            <w14:solidFill>
              <w14:schemeClr w14:val="tx1"/>
            </w14:solidFill>
          </w14:textFill>
        </w:rPr>
        <w:t>202</w:t>
      </w:r>
      <w:r>
        <w:rPr>
          <w:rFonts w:hint="eastAsia" w:asciiTheme="majorEastAsia" w:hAnsiTheme="majorEastAsia" w:eastAsiaTheme="majorEastAsia" w:cstheme="majorEastAsia"/>
          <w:b/>
          <w:bCs/>
          <w:color w:val="000000" w:themeColor="text1"/>
          <w:sz w:val="36"/>
          <w:szCs w:val="36"/>
          <w:lang w:val="en-US" w:eastAsia="zh-CN"/>
          <w14:textFill>
            <w14:solidFill>
              <w14:schemeClr w14:val="tx1"/>
            </w14:solidFill>
          </w14:textFill>
        </w:rPr>
        <w:t>6</w:t>
      </w:r>
      <w:r>
        <w:rPr>
          <w:rFonts w:hint="eastAsia" w:asciiTheme="majorEastAsia" w:hAnsiTheme="majorEastAsia" w:eastAsiaTheme="majorEastAsia" w:cstheme="majorEastAsia"/>
          <w:b/>
          <w:bCs/>
          <w:color w:val="000000" w:themeColor="text1"/>
          <w:sz w:val="36"/>
          <w:szCs w:val="36"/>
          <w14:textFill>
            <w14:solidFill>
              <w14:schemeClr w14:val="tx1"/>
            </w14:solidFill>
          </w14:textFill>
        </w:rPr>
        <w:t>字节跳动奖学金申请表</w:t>
      </w:r>
    </w:p>
    <w:tbl>
      <w:tblPr>
        <w:tblStyle w:val="5"/>
        <w:tblpPr w:leftFromText="180" w:rightFromText="180" w:vertAnchor="text" w:horzAnchor="page" w:tblpXSpec="center" w:tblpY="395"/>
        <w:tblOverlap w:val="never"/>
        <w:tblW w:w="82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9"/>
        <w:gridCol w:w="577"/>
        <w:gridCol w:w="1161"/>
        <w:gridCol w:w="1448"/>
        <w:gridCol w:w="520"/>
        <w:gridCol w:w="660"/>
        <w:gridCol w:w="878"/>
        <w:gridCol w:w="1955"/>
      </w:tblGrid>
      <w:tr w14:paraId="1CD44812">
        <w:trPr>
          <w:trHeight w:val="796" w:hRule="atLeast"/>
          <w:jc w:val="center"/>
        </w:trPr>
        <w:tc>
          <w:tcPr>
            <w:tcW w:w="1059" w:type="dxa"/>
            <w:tcBorders>
              <w:top w:val="single" w:color="auto" w:sz="4" w:space="0"/>
              <w:left w:val="single" w:color="auto" w:sz="4" w:space="0"/>
              <w:bottom w:val="single" w:color="auto" w:sz="4" w:space="0"/>
              <w:right w:val="single" w:color="auto" w:sz="4" w:space="0"/>
            </w:tcBorders>
            <w:vAlign w:val="center"/>
          </w:tcPr>
          <w:p w14:paraId="0D9C5B2B">
            <w:pPr>
              <w:spacing w:line="400" w:lineRule="exact"/>
              <w:jc w:val="center"/>
              <w:rPr>
                <w:rFonts w:hint="eastAsia" w:eastAsia="宋体" w:cs="Times New Roman"/>
                <w:b/>
                <w:bCs/>
                <w:color w:val="000000" w:themeColor="text1"/>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姓  名</w:t>
            </w:r>
          </w:p>
        </w:tc>
        <w:tc>
          <w:tcPr>
            <w:tcW w:w="1738" w:type="dxa"/>
            <w:gridSpan w:val="2"/>
            <w:tcBorders>
              <w:top w:val="single" w:color="auto" w:sz="4" w:space="0"/>
              <w:left w:val="single" w:color="auto" w:sz="4" w:space="0"/>
              <w:bottom w:val="single" w:color="auto" w:sz="4" w:space="0"/>
              <w:right w:val="single" w:color="auto" w:sz="4" w:space="0"/>
            </w:tcBorders>
            <w:vAlign w:val="center"/>
          </w:tcPr>
          <w:p>
            <w:r>
              <w:t>高博文</w:t>
            </w:r>
          </w:p>
        </w:tc>
        <w:tc>
          <w:tcPr>
            <w:tcW w:w="1968" w:type="dxa"/>
            <w:gridSpan w:val="2"/>
            <w:tcBorders>
              <w:top w:val="single" w:color="auto" w:sz="4" w:space="0"/>
              <w:left w:val="single" w:color="auto" w:sz="4" w:space="0"/>
              <w:bottom w:val="single" w:color="auto" w:sz="4" w:space="0"/>
              <w:right w:val="single" w:color="auto" w:sz="4" w:space="0"/>
            </w:tcBorders>
            <w:vAlign w:val="center"/>
          </w:tcPr>
          <w:p w14:paraId="2194D35E">
            <w:pPr>
              <w:spacing w:line="400" w:lineRule="exact"/>
              <w:jc w:val="center"/>
              <w:rPr>
                <w:rFonts w:hint="eastAsia" w:eastAsia="宋体" w:cs="Times New Roman"/>
                <w:b/>
                <w:bCs/>
                <w:color w:val="000000" w:themeColor="text1"/>
                <w:lang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学  校</w:t>
            </w:r>
          </w:p>
        </w:tc>
        <w:tc>
          <w:tcPr>
            <w:tcW w:w="3493" w:type="dxa"/>
            <w:gridSpan w:val="3"/>
            <w:tcBorders>
              <w:top w:val="single" w:color="auto" w:sz="4" w:space="0"/>
              <w:left w:val="single" w:color="auto" w:sz="4" w:space="0"/>
              <w:bottom w:val="single" w:color="auto" w:sz="4" w:space="0"/>
              <w:right w:val="single" w:color="auto" w:sz="4" w:space="0"/>
            </w:tcBorders>
            <w:vAlign w:val="center"/>
          </w:tcPr>
          <w:p>
            <w:r>
              <w:t>清华大学</w:t>
            </w:r>
          </w:p>
        </w:tc>
      </w:tr>
      <w:tr w14:paraId="2F906100">
        <w:trPr>
          <w:trHeight w:val="503" w:hRule="atLeast"/>
          <w:jc w:val="center"/>
        </w:trPr>
        <w:tc>
          <w:tcPr>
            <w:tcW w:w="8258" w:type="dxa"/>
            <w:gridSpan w:val="8"/>
            <w:tcBorders>
              <w:top w:val="single" w:color="auto" w:sz="4" w:space="0"/>
              <w:left w:val="single" w:color="auto" w:sz="4" w:space="0"/>
              <w:bottom w:val="single" w:color="auto" w:sz="4" w:space="0"/>
              <w:right w:val="single" w:color="auto" w:sz="4" w:space="0"/>
            </w:tcBorders>
            <w:vAlign w:val="center"/>
          </w:tcPr>
          <w:p w14:paraId="24C4DE49">
            <w:pPr>
              <w:jc w:val="center"/>
              <w:rPr>
                <w:rFonts w:hint="eastAsia" w:eastAsia="宋体" w:cs="Times New Roman"/>
                <w:b/>
                <w:bCs/>
                <w:color w:val="000000" w:themeColor="text1"/>
                <w:lang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个人简介</w:t>
            </w:r>
          </w:p>
        </w:tc>
      </w:tr>
      <w:tr w14:paraId="2371E586">
        <w:trPr>
          <w:trHeight w:val="3476" w:hRule="atLeast"/>
          <w:jc w:val="center"/>
        </w:trPr>
        <w:tc>
          <w:tcPr>
            <w:tcW w:w="8258" w:type="dxa"/>
            <w:gridSpan w:val="8"/>
            <w:tcBorders>
              <w:top w:val="single" w:color="auto" w:sz="4" w:space="0"/>
              <w:left w:val="single" w:color="auto" w:sz="4" w:space="0"/>
              <w:bottom w:val="single" w:color="auto" w:sz="4" w:space="0"/>
              <w:right w:val="single" w:color="auto" w:sz="4" w:space="0"/>
            </w:tcBorders>
          </w:tcPr>
          <w:p>
            <w:r>
              <w:t xml:space="preserve">如何让AI真正参与到药物发现的每一个环节，并最终缩短人类战胜疾病的时间？这是高博文在清华大学攻读博士学位期间持续追问的核心问题。他就读于清华大学智能产业研究院、计算机科学与技术系，师从张亚勤院士与兰艳艳教授。本科毕业于加拿大多伦多大学计算机科学专业（GPA 3.85/4.0，最高荣誉），硕士毕业于加州理工学院电气工程专业（GPA 4.2/4.3）。博士前曾在字节跳动担任推荐广告算法工程师（2021–2022），参与今日头条、抖音及TikTok核心推荐与广告系统研发；随后加入清华大学智能产业研究院担任研究工程师（2022–2024），专注机器学习与药物发现的交叉研究。
他的研究图景可以用三个递进的维度来理解：从模型驱动出发，经由数据驱动深化，最终走向智能驱动——每一步都是对"AI能为药物发现做什么"这一问题的追问与拓展。
**模型驱动：重新定义虚拟筛选的边界**
DrugCLIP（NeurIPS 2023）是这一方向的奠基之作。在此之前，虚拟筛选依赖逐一对接打分，面对亿级分子库几乎无从实现。DrugCLIP首次将对比学习引入蛋白质–分子联合表示空间，将筛选范式从"逐一比对"变为"空间检索"，在保证精度的同时将速度提升数个量级。这一范式此后持续迭代：AANet（NeurIPS 2025）引入结构不确定性建模增强鲁棒性，S²Drug（AAAI 2026）融合序列与三维结构双通道强化跨模态表达，HypSeek（AAAI 2026）将结合建模迁移至双曲几何空间以捕捉分子相互作用的层次性。DrugCLIP系列已成为该领域具有代表性的技术路线之一。
**数据驱动：从源头解决AIDD的根本性瓶颈**
模型的天花板，往往由数据的质量与覆盖决定。ProFSA（ICLR 2024）以自监督预训练挖掘无标注蛋白质结构数据，将片段–环境对齐作为天然监督信号，系统性扩充了有效训练数据的规模。Delta Score与SBDD Bench（ICML 2024、ICLR 2025）则直指3D分子生成领域长期存在的评估虚高问题——现有指标与真实成药需求脱节，导致模型在论文中表现优异、在实验室中却难以复现——通过引入特异性指标重构评估框架，推动了领域评估标准的实质性变革。FragCLIP（ICLR 2026）将目光投向传统药物发现的重要路径——基于片段的药物筛选（FBDD），首次对这一场景进行系统性基准测评与深度建模，为"不可成药"靶点的攻克提供了新的计算工具。SIU（ICLR 2025）则从数据源头发力，构建首个百万量级、无偏的小分子–蛋白质结合亲和力结构数据集。这些工作共同服务于一个更宏大的数据目标：将药物发现的计算视野拓展至人类全基因组。Science（2026）正是这一目标的阶段性实现——通过基因组规模的深度对比学习虚拟筛选，首次在计算层面系统性覆盖全部人类靶标蛋白，支撑实验室主导的"Drug-The-Whole-Genome"计划。
**智能驱动：迈向AGI for Drug Discovery**
然而，他对AIDD未来的判断远不止于此。在他看来，无论模型多精准、数据多完善，孤立的预测工具终究难以应对药物发现全链路的复杂决策。真正的突破，在于构建能够理解研发意图、自主规划实验路径、协作执行完整发现流程的智能体系统——即实现AGI for Drug Discovery。
CIDD（NeurIPS 2025）是这一方向的关键探索：他首次将大语言模型系统性地引入结构导向药物设计，建立了LLM与分子生成模型协作的完整框架，证明了语言理解能力可以有效引导和约束药物分子的优化路径，而不仅仅是辅助文本处理。在此基础上，他主导构建了PharmAgents——以"From Prompts to Drug"为核心理念的多智能体药物研发引擎，集成课题组研发的各类计算工具，将靶标识别、苗头筛选、先导优化到成药性评估的完整管线抽象为可自然语言驱动的智能体系统。这一系统的意义不仅在于自动化，更在于它让具有生物学直觉但缺乏计算背景的研究者，也能驾驭完整的AI药物研发流程。
**从论文到现实**
学术成果之外，他始终关注研究的实际影响。他主导研发的DrugCLIP虚拟筛选平台（drugclip.com）已面向全球科研用户开放，累计注册用户超7000人，完成筛选服务逾3万次，在多个靶点任务中取得高命中率。平台已参与NET靶向ADHD治疗药物的发现管线，推动计算预测结果进入湿实验验证环节，并探索商业化合作落地。这一实践印证了他的信念：AI驱动的药物发现，不应止步于论文，而应真正服务于人类健康。
展望未来，他将继续沿这三条维度深耕：在模型层面探索更强的跨靶标泛化能力，在数据层面构建AI与湿实验的闭环反馈机制，在智能层面推动PharmAgents从计算演示走向真实药物研发管线的全程部署——最终将AGI for Drug Discovery从愿景推向现实。</w:t>
            </w:r>
          </w:p>
        </w:tc>
      </w:tr>
      <w:tr w14:paraId="1D28972A">
        <w:trPr>
          <w:trHeight w:val="503" w:hRule="atLeast"/>
          <w:jc w:val="center"/>
        </w:trPr>
        <w:tc>
          <w:tcPr>
            <w:tcW w:w="8258" w:type="dxa"/>
            <w:gridSpan w:val="8"/>
            <w:tcBorders>
              <w:top w:val="single" w:color="auto" w:sz="4" w:space="0"/>
              <w:left w:val="single" w:color="auto" w:sz="4" w:space="0"/>
              <w:bottom w:val="single" w:color="auto" w:sz="4" w:space="0"/>
              <w:right w:val="single" w:color="auto" w:sz="4" w:space="0"/>
            </w:tcBorders>
            <w:vAlign w:val="center"/>
          </w:tcPr>
          <w:p w14:paraId="637F13D4">
            <w:pPr>
              <w:jc w:val="center"/>
              <w:rPr>
                <w:rFonts w:hint="eastAsia" w:eastAsia="宋体" w:cs="Times New Roman"/>
                <w:b/>
                <w:bCs/>
                <w:i/>
                <w:iCs/>
                <w:color w:val="000000" w:themeColor="text1"/>
                <w:lang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论文</w:t>
            </w:r>
          </w:p>
        </w:tc>
      </w:tr>
      <w:tr w14:paraId="4587CABE">
        <w:trPr>
          <w:trHeight w:val="929" w:hRule="atLeast"/>
          <w:jc w:val="center"/>
        </w:trPr>
        <w:tc>
          <w:tcPr>
            <w:tcW w:w="1636" w:type="dxa"/>
            <w:gridSpan w:val="2"/>
            <w:tcBorders>
              <w:top w:val="single" w:color="auto" w:sz="4" w:space="0"/>
              <w:left w:val="single" w:color="auto" w:sz="4" w:space="0"/>
              <w:bottom w:val="single" w:color="auto" w:sz="4" w:space="0"/>
              <w:right w:val="single" w:color="auto" w:sz="4" w:space="0"/>
            </w:tcBorders>
            <w:vAlign w:val="center"/>
          </w:tcPr>
          <w:p w14:paraId="6DF7092B">
            <w:pPr>
              <w:jc w:val="center"/>
              <w:rPr>
                <w:rFonts w:eastAsia="宋体" w:cs="Times New Roman"/>
                <w:b/>
                <w:bCs/>
                <w:color w:val="000000" w:themeColor="text1"/>
                <w:sz w:val="16"/>
                <w:szCs w:val="16"/>
                <w14:textFill>
                  <w14:solidFill>
                    <w14:schemeClr w14:val="tx1"/>
                  </w14:solidFill>
                </w14:textFill>
              </w:rPr>
            </w:pPr>
            <w:r>
              <w:rPr>
                <w:rFonts w:hint="eastAsia" w:eastAsia="宋体"/>
                <w:b/>
                <w:bCs/>
                <w:color w:val="000000" w:themeColor="text1"/>
                <w:sz w:val="16"/>
                <w:szCs w:val="16"/>
                <w14:textFill>
                  <w14:solidFill>
                    <w14:schemeClr w14:val="tx1"/>
                  </w14:solidFill>
                </w14:textFill>
              </w:rPr>
              <w:t>论文题目（附链接）</w:t>
            </w:r>
          </w:p>
        </w:tc>
        <w:tc>
          <w:tcPr>
            <w:tcW w:w="1161" w:type="dxa"/>
            <w:tcBorders>
              <w:top w:val="single" w:color="auto" w:sz="4" w:space="0"/>
              <w:left w:val="single" w:color="auto" w:sz="4" w:space="0"/>
              <w:bottom w:val="single" w:color="auto" w:sz="4" w:space="0"/>
              <w:right w:val="single" w:color="auto" w:sz="4" w:space="0"/>
            </w:tcBorders>
            <w:vAlign w:val="center"/>
          </w:tcPr>
          <w:p w14:paraId="4C66E191">
            <w:pPr>
              <w:jc w:val="center"/>
              <w:rPr>
                <w:rFonts w:eastAsia="宋体" w:cs="Times New Roman"/>
                <w:b/>
                <w:bCs/>
                <w:color w:val="000000" w:themeColor="text1"/>
                <w:sz w:val="16"/>
                <w:szCs w:val="16"/>
                <w14:textFill>
                  <w14:solidFill>
                    <w14:schemeClr w14:val="tx1"/>
                  </w14:solidFill>
                </w14:textFill>
              </w:rPr>
            </w:pPr>
            <w:r>
              <w:rPr>
                <w:rFonts w:hint="eastAsia"/>
                <w:b/>
                <w:bCs/>
                <w:color w:val="000000" w:themeColor="text1"/>
                <w:sz w:val="16"/>
                <w:szCs w:val="16"/>
                <w:lang w:val="en-US" w:eastAsia="zh-CN"/>
                <w14:textFill>
                  <w14:solidFill>
                    <w14:schemeClr w14:val="tx1"/>
                  </w14:solidFill>
                </w14:textFill>
              </w:rPr>
              <w:t>期刊</w:t>
            </w:r>
            <w:r>
              <w:rPr>
                <w:rFonts w:hint="eastAsia" w:eastAsia="宋体"/>
                <w:b/>
                <w:bCs/>
                <w:color w:val="000000" w:themeColor="text1"/>
                <w:sz w:val="16"/>
                <w:szCs w:val="16"/>
                <w14:textFill>
                  <w14:solidFill>
                    <w14:schemeClr w14:val="tx1"/>
                  </w14:solidFill>
                </w14:textFill>
              </w:rPr>
              <w:t>或会议简称</w:t>
            </w:r>
          </w:p>
        </w:tc>
        <w:tc>
          <w:tcPr>
            <w:tcW w:w="1448" w:type="dxa"/>
            <w:tcBorders>
              <w:top w:val="single" w:color="auto" w:sz="4" w:space="0"/>
              <w:left w:val="single" w:color="auto" w:sz="4" w:space="0"/>
              <w:bottom w:val="single" w:color="auto" w:sz="4" w:space="0"/>
              <w:right w:val="single" w:color="auto" w:sz="4" w:space="0"/>
            </w:tcBorders>
            <w:vAlign w:val="center"/>
          </w:tcPr>
          <w:p w14:paraId="21E84FB8">
            <w:pPr>
              <w:jc w:val="center"/>
              <w:rPr>
                <w:rFonts w:eastAsia="宋体" w:cs="Times New Roman"/>
                <w:b/>
                <w:bCs/>
                <w:color w:val="000000" w:themeColor="text1"/>
                <w:sz w:val="16"/>
                <w:szCs w:val="16"/>
                <w14:textFill>
                  <w14:solidFill>
                    <w14:schemeClr w14:val="tx1"/>
                  </w14:solidFill>
                </w14:textFill>
              </w:rPr>
            </w:pPr>
            <w:r>
              <w:rPr>
                <w:rFonts w:hint="eastAsia" w:eastAsia="宋体"/>
                <w:b/>
                <w:bCs/>
                <w:color w:val="000000" w:themeColor="text1"/>
                <w:sz w:val="16"/>
                <w:szCs w:val="16"/>
                <w14:textFill>
                  <w14:solidFill>
                    <w14:schemeClr w14:val="tx1"/>
                  </w14:solidFill>
                </w14:textFill>
              </w:rPr>
              <w:t>作者顺位</w:t>
            </w:r>
          </w:p>
        </w:tc>
        <w:tc>
          <w:tcPr>
            <w:tcW w:w="1180" w:type="dxa"/>
            <w:gridSpan w:val="2"/>
            <w:tcBorders>
              <w:top w:val="single" w:color="auto" w:sz="4" w:space="0"/>
              <w:left w:val="single" w:color="auto" w:sz="4" w:space="0"/>
              <w:bottom w:val="single" w:color="auto" w:sz="4" w:space="0"/>
              <w:right w:val="single" w:color="auto" w:sz="4" w:space="0"/>
            </w:tcBorders>
            <w:vAlign w:val="center"/>
          </w:tcPr>
          <w:p w14:paraId="721570B7">
            <w:pPr>
              <w:jc w:val="center"/>
              <w:rPr>
                <w:rFonts w:hint="eastAsia" w:eastAsia="宋体"/>
                <w:b/>
                <w:bCs/>
                <w:color w:val="000000" w:themeColor="text1"/>
                <w:sz w:val="16"/>
                <w:szCs w:val="16"/>
                <w14:textFill>
                  <w14:solidFill>
                    <w14:schemeClr w14:val="tx1"/>
                  </w14:solidFill>
                </w14:textFill>
              </w:rPr>
            </w:pPr>
            <w:r>
              <w:rPr>
                <w:rFonts w:hint="eastAsia" w:eastAsia="宋体"/>
                <w:b/>
                <w:bCs/>
                <w:color w:val="000000" w:themeColor="text1"/>
                <w:sz w:val="16"/>
                <w:szCs w:val="16"/>
                <w14:textFill>
                  <w14:solidFill>
                    <w14:schemeClr w14:val="tx1"/>
                  </w14:solidFill>
                </w14:textFill>
              </w:rPr>
              <w:t>类别</w:t>
            </w:r>
          </w:p>
          <w:p w14:paraId="7E21DA7D">
            <w:pPr>
              <w:jc w:val="center"/>
              <w:rPr>
                <w:rFonts w:eastAsia="宋体" w:cs="Times New Roman"/>
                <w:b/>
                <w:bCs/>
                <w:color w:val="000000" w:themeColor="text1"/>
                <w:sz w:val="16"/>
                <w:szCs w:val="16"/>
                <w14:textFill>
                  <w14:solidFill>
                    <w14:schemeClr w14:val="tx1"/>
                  </w14:solidFill>
                </w14:textFill>
              </w:rPr>
            </w:pPr>
            <w:r>
              <w:rPr>
                <w:rFonts w:hint="eastAsia" w:eastAsia="宋体"/>
                <w:b/>
                <w:bCs/>
                <w:color w:val="000000" w:themeColor="text1"/>
                <w:sz w:val="16"/>
                <w:szCs w:val="16"/>
                <w14:textFill>
                  <w14:solidFill>
                    <w14:schemeClr w14:val="tx1"/>
                  </w14:solidFill>
                </w14:textFill>
              </w:rPr>
              <w:t>（如</w:t>
            </w:r>
            <w:r>
              <w:rPr>
                <w:rFonts w:eastAsia="宋体" w:cs="Times New Roman"/>
                <w:b/>
                <w:bCs/>
                <w:color w:val="000000" w:themeColor="text1"/>
                <w:sz w:val="16"/>
                <w:szCs w:val="16"/>
                <w14:textFill>
                  <w14:solidFill>
                    <w14:schemeClr w14:val="tx1"/>
                  </w14:solidFill>
                </w14:textFill>
              </w:rPr>
              <w:t>CCF-A</w:t>
            </w:r>
            <w:r>
              <w:rPr>
                <w:rFonts w:hint="eastAsia" w:eastAsia="宋体"/>
                <w:b/>
                <w:bCs/>
                <w:color w:val="000000" w:themeColor="text1"/>
                <w:sz w:val="16"/>
                <w:szCs w:val="16"/>
                <w14:textFill>
                  <w14:solidFill>
                    <w14:schemeClr w14:val="tx1"/>
                  </w14:solidFill>
                </w14:textFill>
              </w:rPr>
              <w:t>）</w:t>
            </w:r>
          </w:p>
        </w:tc>
        <w:tc>
          <w:tcPr>
            <w:tcW w:w="878" w:type="dxa"/>
            <w:tcBorders>
              <w:top w:val="single" w:color="auto" w:sz="4" w:space="0"/>
              <w:left w:val="single" w:color="auto" w:sz="4" w:space="0"/>
              <w:bottom w:val="single" w:color="auto" w:sz="4" w:space="0"/>
              <w:right w:val="single" w:color="auto" w:sz="4" w:space="0"/>
            </w:tcBorders>
            <w:vAlign w:val="center"/>
          </w:tcPr>
          <w:p w14:paraId="6351D377">
            <w:pPr>
              <w:jc w:val="center"/>
              <w:rPr>
                <w:rFonts w:hint="eastAsia"/>
                <w:b/>
                <w:bCs/>
                <w:color w:val="000000" w:themeColor="text1"/>
                <w:sz w:val="16"/>
                <w:szCs w:val="16"/>
                <w:lang w:val="en-US" w:eastAsia="zh-CN"/>
                <w14:textFill>
                  <w14:solidFill>
                    <w14:schemeClr w14:val="tx1"/>
                  </w14:solidFill>
                </w14:textFill>
              </w:rPr>
            </w:pPr>
            <w:r>
              <w:rPr>
                <w:rFonts w:hint="eastAsia"/>
                <w:b/>
                <w:bCs/>
                <w:color w:val="000000" w:themeColor="text1"/>
                <w:sz w:val="16"/>
                <w:szCs w:val="16"/>
                <w:lang w:val="en-US" w:eastAsia="zh-CN"/>
                <w14:textFill>
                  <w14:solidFill>
                    <w14:schemeClr w14:val="tx1"/>
                  </w14:solidFill>
                </w14:textFill>
              </w:rPr>
              <w:t>被引次数</w:t>
            </w:r>
          </w:p>
          <w:p w14:paraId="5D616AF0">
            <w:pPr>
              <w:jc w:val="center"/>
              <w:rPr>
                <w:rFonts w:hint="default" w:eastAsia="宋体" w:cs="Times New Roman"/>
                <w:b/>
                <w:bCs/>
                <w:color w:val="000000" w:themeColor="text1"/>
                <w:sz w:val="16"/>
                <w:szCs w:val="16"/>
                <w:lang w:val="en-US" w:eastAsia="zh-CN"/>
                <w14:textFill>
                  <w14:solidFill>
                    <w14:schemeClr w14:val="tx1"/>
                  </w14:solidFill>
                </w14:textFill>
              </w:rPr>
            </w:pPr>
            <w:r>
              <w:rPr>
                <w:rFonts w:hint="eastAsia"/>
                <w:b/>
                <w:bCs/>
                <w:color w:val="000000" w:themeColor="text1"/>
                <w:sz w:val="16"/>
                <w:szCs w:val="16"/>
                <w:lang w:val="en-US" w:eastAsia="zh-CN"/>
                <w14:textFill>
                  <w14:solidFill>
                    <w14:schemeClr w14:val="tx1"/>
                  </w14:solidFill>
                </w14:textFill>
              </w:rPr>
              <w:t>（选填）</w:t>
            </w:r>
          </w:p>
        </w:tc>
        <w:tc>
          <w:tcPr>
            <w:tcW w:w="1955" w:type="dxa"/>
            <w:tcBorders>
              <w:top w:val="single" w:color="auto" w:sz="4" w:space="0"/>
              <w:left w:val="single" w:color="auto" w:sz="4" w:space="0"/>
              <w:bottom w:val="single" w:color="auto" w:sz="4" w:space="0"/>
              <w:right w:val="single" w:color="auto" w:sz="4" w:space="0"/>
            </w:tcBorders>
            <w:vAlign w:val="center"/>
          </w:tcPr>
          <w:p w14:paraId="4CFAAE1B">
            <w:pPr>
              <w:jc w:val="center"/>
              <w:rPr>
                <w:rFonts w:hint="default"/>
                <w:b/>
                <w:bCs/>
                <w:color w:val="000000" w:themeColor="text1"/>
                <w:sz w:val="16"/>
                <w:szCs w:val="16"/>
                <w:lang w:val="en-US" w:eastAsia="zh-CN"/>
                <w14:textFill>
                  <w14:solidFill>
                    <w14:schemeClr w14:val="tx1"/>
                  </w14:solidFill>
                </w14:textFill>
              </w:rPr>
            </w:pPr>
            <w:r>
              <w:rPr>
                <w:rFonts w:hint="eastAsia"/>
                <w:b/>
                <w:bCs/>
                <w:color w:val="000000" w:themeColor="text1"/>
                <w:sz w:val="16"/>
                <w:szCs w:val="16"/>
                <w:lang w:val="en-US" w:eastAsia="zh-CN"/>
                <w14:textFill>
                  <w14:solidFill>
                    <w14:schemeClr w14:val="tx1"/>
                  </w14:solidFill>
                </w14:textFill>
              </w:rPr>
              <w:t>论文核心贡献</w:t>
            </w:r>
          </w:p>
        </w:tc>
      </w:tr>
      <w:tr w14:paraId="3F638E74">
        <w:trPr>
          <w:trHeight w:val="1235" w:hRule="atLeast"/>
          <w:jc w:val="center"/>
        </w:trPr>
        <w:tc>
          <w:tcPr>
            <w:tcW w:w="1636" w:type="dxa"/>
            <w:gridSpan w:val="2"/>
            <w:tcBorders>
              <w:top w:val="single" w:color="auto" w:sz="4" w:space="0"/>
              <w:left w:val="single" w:color="auto" w:sz="4" w:space="0"/>
              <w:bottom w:val="single" w:color="auto" w:sz="4" w:space="0"/>
              <w:right w:val="single" w:color="auto" w:sz="4" w:space="0"/>
            </w:tcBorders>
            <w:vAlign w:val="top"/>
          </w:tcPr>
          <w:p w14:paraId="7B36C69B">
            <w:pPr>
              <w:jc w:val="both"/>
              <w:rPr>
                <w:rFonts w:ascii="Times New Roman" w:hAnsi="Times New Roman" w:eastAsia="Times New Roman" w:cs="Times New Roman"/>
                <w:color w:val="767171" w:themeColor="background2" w:themeShade="80"/>
                <w:sz w:val="16"/>
                <w:szCs w:val="16"/>
              </w:rPr>
            </w:pPr>
            <w:r>
              <w:rPr>
                <w:rFonts w:hint="eastAsia" w:ascii="宋体" w:hAnsi="宋体" w:eastAsia="Times New Roman" w:cs="Times New Roman"/>
                <w:color w:val="767171" w:themeColor="background2" w:themeShade="80"/>
                <w:sz w:val="16"/>
                <w:szCs w:val="16"/>
              </w:rPr>
              <w:t>示例：arXiv或会议官网链接</w:t>
            </w:r>
          </w:p>
        </w:tc>
        <w:tc>
          <w:tcPr>
            <w:tcW w:w="1161" w:type="dxa"/>
            <w:tcBorders>
              <w:top w:val="single" w:color="auto" w:sz="4" w:space="0"/>
              <w:left w:val="single" w:color="auto" w:sz="4" w:space="0"/>
              <w:bottom w:val="single" w:color="auto" w:sz="4" w:space="0"/>
              <w:right w:val="single" w:color="auto" w:sz="4" w:space="0"/>
            </w:tcBorders>
            <w:vAlign w:val="top"/>
          </w:tcPr>
          <w:p w14:paraId="7F6E1673">
            <w:pPr>
              <w:jc w:val="both"/>
              <w:rPr>
                <w:rFonts w:hint="eastAsia" w:ascii="Times New Roman" w:hAnsi="Times New Roman" w:eastAsia="Times New Roman" w:cs="Times New Roman"/>
                <w:color w:val="767171" w:themeColor="background2" w:themeShade="80"/>
                <w:sz w:val="16"/>
                <w:szCs w:val="16"/>
                <w:lang w:val="en-US" w:eastAsia="zh-CN"/>
              </w:rPr>
            </w:pPr>
            <w:r>
              <w:rPr>
                <w:rFonts w:hint="eastAsia" w:ascii="宋体" w:hAnsi="宋体" w:eastAsia="Times New Roman" w:cs="Times New Roman"/>
                <w:color w:val="767171" w:themeColor="background2" w:themeShade="80"/>
                <w:sz w:val="16"/>
                <w:szCs w:val="16"/>
              </w:rPr>
              <w:t>XXXX 202</w:t>
            </w:r>
            <w:r>
              <w:rPr>
                <w:rFonts w:hint="eastAsia" w:ascii="宋体" w:hAnsi="宋体" w:eastAsia="Times New Roman" w:cs="Times New Roman"/>
                <w:color w:val="767171" w:themeColor="background2" w:themeShade="80"/>
                <w:sz w:val="16"/>
                <w:szCs w:val="16"/>
                <w:lang w:val="en-US" w:eastAsia="zh-CN"/>
              </w:rPr>
              <w:t>5</w:t>
            </w:r>
          </w:p>
        </w:tc>
        <w:tc>
          <w:tcPr>
            <w:tcW w:w="1448" w:type="dxa"/>
            <w:tcBorders>
              <w:top w:val="single" w:color="auto" w:sz="4" w:space="0"/>
              <w:left w:val="single" w:color="auto" w:sz="4" w:space="0"/>
              <w:bottom w:val="single" w:color="auto" w:sz="4" w:space="0"/>
              <w:right w:val="single" w:color="auto" w:sz="4" w:space="0"/>
            </w:tcBorders>
            <w:vAlign w:val="top"/>
          </w:tcPr>
          <w:p w14:paraId="3D603A6E">
            <w:pPr>
              <w:jc w:val="both"/>
              <w:rPr>
                <w:rFonts w:ascii="Times New Roman" w:hAnsi="Times New Roman" w:eastAsia="Times New Roman" w:cs="Times New Roman"/>
                <w:color w:val="767171" w:themeColor="background2" w:themeShade="80"/>
                <w:sz w:val="16"/>
                <w:szCs w:val="16"/>
              </w:rPr>
            </w:pPr>
            <w:r>
              <w:rPr>
                <w:rFonts w:hint="eastAsia" w:ascii="宋体" w:hAnsi="宋体" w:eastAsia="Times New Roman" w:cs="Times New Roman"/>
                <w:color w:val="767171" w:themeColor="background2" w:themeShade="80"/>
                <w:sz w:val="16"/>
                <w:szCs w:val="16"/>
              </w:rPr>
              <w:t>独立一作/共同一作</w:t>
            </w:r>
            <w:r>
              <w:rPr>
                <w:rFonts w:hint="eastAsia" w:ascii="宋体" w:hAnsi="宋体" w:eastAsia="Times New Roman" w:cs="Times New Roman"/>
                <w:color w:val="767171" w:themeColor="background2" w:themeShade="80"/>
                <w:sz w:val="16"/>
                <w:szCs w:val="16"/>
                <w:lang w:eastAsia="zh-CN"/>
              </w:rPr>
              <w:t>（</w:t>
            </w:r>
            <w:r>
              <w:rPr>
                <w:rFonts w:hint="eastAsia" w:ascii="宋体" w:hAnsi="宋体" w:eastAsia="Times New Roman" w:cs="Times New Roman"/>
                <w:color w:val="767171" w:themeColor="background2" w:themeShade="80"/>
                <w:sz w:val="16"/>
                <w:szCs w:val="16"/>
                <w:lang w:val="en-US" w:eastAsia="zh-CN"/>
              </w:rPr>
              <w:t>第几顺位）</w:t>
            </w:r>
            <w:r>
              <w:rPr>
                <w:rFonts w:hint="eastAsia" w:ascii="宋体" w:hAnsi="宋体" w:eastAsia="Times New Roman" w:cs="Times New Roman"/>
                <w:color w:val="767171" w:themeColor="background2" w:themeShade="80"/>
                <w:sz w:val="16"/>
                <w:szCs w:val="16"/>
              </w:rPr>
              <w:t>/……</w:t>
            </w:r>
          </w:p>
        </w:tc>
        <w:tc>
          <w:tcPr>
            <w:tcW w:w="1180" w:type="dxa"/>
            <w:gridSpan w:val="2"/>
            <w:tcBorders>
              <w:top w:val="single" w:color="auto" w:sz="4" w:space="0"/>
              <w:left w:val="single" w:color="auto" w:sz="4" w:space="0"/>
              <w:bottom w:val="single" w:color="auto" w:sz="4" w:space="0"/>
              <w:right w:val="single" w:color="auto" w:sz="4" w:space="0"/>
            </w:tcBorders>
            <w:vAlign w:val="top"/>
          </w:tcPr>
          <w:p w14:paraId="2FAE6328">
            <w:pPr>
              <w:jc w:val="both"/>
              <w:rPr>
                <w:rFonts w:hint="default" w:ascii="Times New Roman" w:hAnsi="Times New Roman" w:eastAsia="Times New Roman" w:cs="Times New Roman"/>
                <w:color w:val="767171" w:themeColor="background2" w:themeShade="80"/>
                <w:sz w:val="16"/>
                <w:szCs w:val="16"/>
                <w:lang w:val="en-US" w:eastAsia="zh-CN"/>
              </w:rPr>
            </w:pPr>
            <w:r>
              <w:rPr>
                <w:rFonts w:hint="eastAsia" w:ascii="宋体" w:hAnsi="宋体" w:eastAsia="Times New Roman" w:cs="Times New Roman"/>
                <w:color w:val="767171" w:themeColor="background2" w:themeShade="80"/>
                <w:sz w:val="16"/>
                <w:szCs w:val="16"/>
              </w:rPr>
              <w:t>CCF-A</w:t>
            </w:r>
            <w:r>
              <w:rPr>
                <w:rFonts w:hint="eastAsia" w:ascii="宋体" w:hAnsi="宋体" w:eastAsia="Times New Roman" w:cs="Times New Roman"/>
                <w:color w:val="767171" w:themeColor="background2" w:themeShade="80"/>
                <w:sz w:val="16"/>
                <w:szCs w:val="16"/>
                <w:lang w:val="en-US" w:eastAsia="zh-CN"/>
              </w:rPr>
              <w:t>/B/C</w:t>
            </w:r>
          </w:p>
        </w:tc>
        <w:tc>
          <w:tcPr>
            <w:tcW w:w="878" w:type="dxa"/>
            <w:tcBorders>
              <w:top w:val="single" w:color="auto" w:sz="4" w:space="0"/>
              <w:left w:val="single" w:color="auto" w:sz="4" w:space="0"/>
              <w:bottom w:val="single" w:color="auto" w:sz="4" w:space="0"/>
              <w:right w:val="single" w:color="auto" w:sz="4" w:space="0"/>
            </w:tcBorders>
            <w:vAlign w:val="top"/>
          </w:tcPr>
          <w:p w14:paraId="501EBD29">
            <w:pPr>
              <w:jc w:val="both"/>
              <w:rPr>
                <w:rFonts w:ascii="Times New Roman" w:hAnsi="Times New Roman" w:eastAsia="Times New Roman" w:cs="Times New Roman"/>
                <w:color w:val="767171" w:themeColor="background2" w:themeShade="80"/>
                <w:sz w:val="16"/>
                <w:szCs w:val="16"/>
              </w:rPr>
            </w:pPr>
          </w:p>
        </w:tc>
        <w:tc>
          <w:tcPr>
            <w:tcW w:w="1955" w:type="dxa"/>
            <w:tcBorders>
              <w:top w:val="single" w:color="auto" w:sz="4" w:space="0"/>
              <w:left w:val="single" w:color="auto" w:sz="4" w:space="0"/>
              <w:bottom w:val="single" w:color="auto" w:sz="4" w:space="0"/>
              <w:right w:val="single" w:color="auto" w:sz="4" w:space="0"/>
            </w:tcBorders>
            <w:vAlign w:val="top"/>
          </w:tcPr>
          <w:p w14:paraId="6ACB4A05">
            <w:pPr>
              <w:jc w:val="both"/>
              <w:rPr>
                <w:rFonts w:hint="eastAsia" w:ascii="Times New Roman" w:hAnsi="Times New Roman" w:eastAsia="Times New Roman" w:cs="Times New Roman"/>
                <w:color w:val="767171" w:themeColor="background2" w:themeShade="80"/>
                <w:sz w:val="16"/>
                <w:szCs w:val="16"/>
                <w:lang w:val="en-US" w:eastAsia="zh-CN"/>
              </w:rPr>
            </w:pPr>
            <w:r>
              <w:rPr>
                <w:rFonts w:hint="eastAsia" w:ascii="宋体" w:hAnsi="宋体" w:eastAsia="Times New Roman" w:cs="Times New Roman"/>
                <w:color w:val="767171" w:themeColor="background2" w:themeShade="80"/>
                <w:sz w:val="16"/>
                <w:szCs w:val="16"/>
                <w:lang w:val="en-US" w:eastAsia="zh-CN"/>
              </w:rPr>
              <w:t>一句话总结</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DrugCLIP: Contrastive Protein-Molecule Representation Learning for Virtual Screening
https://proceedings.neurips.cc/paper_files/paper/2023/file/8bd31288ad8e9a31d519fdeede7ee47d-Paper-Conference.pdf</w:t>
            </w:r>
          </w:p>
        </w:tc>
        <w:tc>
          <w:tcPr>
            <w:tcW w:w="1161" w:type="dxa"/>
            <w:tcBorders>
              <w:top w:val="single" w:color="auto" w:sz="4" w:space="0"/>
              <w:left w:val="single" w:color="auto" w:sz="4" w:space="0"/>
              <w:bottom w:val="single" w:color="auto" w:sz="4" w:space="0"/>
              <w:right w:val="single" w:color="auto" w:sz="4" w:space="0"/>
            </w:tcBorders>
          </w:tcPr>
          <w:p>
            <w:r>
              <w:t xml:space="preserve">NeurIPS 2023</w:t>
            </w:r>
          </w:p>
        </w:tc>
        <w:tc>
          <w:tcPr>
            <w:tcW w:w="1448" w:type="dxa"/>
            <w:tcBorders>
              <w:top w:val="single" w:color="auto" w:sz="4" w:space="0"/>
              <w:left w:val="single" w:color="auto" w:sz="4" w:space="0"/>
              <w:bottom w:val="single" w:color="auto" w:sz="4" w:space="0"/>
              <w:right w:val="single" w:color="auto" w:sz="4" w:space="0"/>
            </w:tcBorders>
          </w:tcPr>
          <w:p>
            <w:r>
              <w:t xml:space="preserve">独立一作（第1顺位）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首次将对比学习引入虚拟筛选，构建蛋白质-分子统一嵌入空间，支持无需对接的快速大规模筛选</w:t>
            </w:r>
          </w:p>
        </w:tc>
      </w:tr>
      <w:tr w14:paraId="3CE10D7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Self-supervised Pocket Pretraining via Protein Fragment-Surroundings Alignment
https://openreview.net/pdf?id=uMAujpVi9m</w:t>
            </w:r>
          </w:p>
        </w:tc>
        <w:tc>
          <w:tcPr>
            <w:tcW w:w="1161" w:type="dxa"/>
            <w:tcBorders>
              <w:top w:val="single" w:color="auto" w:sz="4" w:space="0"/>
              <w:left w:val="single" w:color="auto" w:sz="4" w:space="0"/>
              <w:bottom w:val="single" w:color="auto" w:sz="4" w:space="0"/>
              <w:right w:val="single" w:color="auto" w:sz="4" w:space="0"/>
            </w:tcBorders>
          </w:tcPr>
          <w:p>
            <w:r>
              <w:t xml:space="preserve">ICLR 2024</w:t>
            </w:r>
          </w:p>
        </w:tc>
        <w:tc>
          <w:tcPr>
            <w:tcW w:w="1448" w:type="dxa"/>
            <w:tcBorders>
              <w:top w:val="single" w:color="auto" w:sz="4" w:space="0"/>
              <w:left w:val="single" w:color="auto" w:sz="4" w:space="0"/>
              <w:bottom w:val="single" w:color="auto" w:sz="4" w:space="0"/>
              <w:right w:val="single" w:color="auto" w:sz="4" w:space="0"/>
            </w:tcBorders>
          </w:tcPr>
          <w:p>
            <w:r>
              <w:t xml:space="preserve">独立一作（第1顺位）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提出蛋白质口袋自监督预训练方法，通过蛋白质片段与结构环境对齐学习高质量口袋表示</w:t>
            </w:r>
          </w:p>
        </w:tc>
      </w:tr>
      <w:tr w14:paraId="5CED9558">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Rethinking Specificity in SBDD: Leveraging Delta Score and Energy-Guided Diffusion
https://openreview.net/pdf?id=8WSNl2XA9r</w:t>
            </w:r>
          </w:p>
        </w:tc>
        <w:tc>
          <w:tcPr>
            <w:tcW w:w="1161" w:type="dxa"/>
            <w:tcBorders>
              <w:top w:val="single" w:color="auto" w:sz="4" w:space="0"/>
              <w:left w:val="single" w:color="auto" w:sz="4" w:space="0"/>
              <w:bottom w:val="single" w:color="auto" w:sz="4" w:space="0"/>
              <w:right w:val="single" w:color="auto" w:sz="4" w:space="0"/>
            </w:tcBorders>
          </w:tcPr>
          <w:p>
            <w:r>
              <w:t xml:space="preserve">ICML 2024</w:t>
            </w:r>
          </w:p>
        </w:tc>
        <w:tc>
          <w:tcPr>
            <w:tcW w:w="1448" w:type="dxa"/>
            <w:tcBorders>
              <w:top w:val="single" w:color="auto" w:sz="4" w:space="0"/>
              <w:left w:val="single" w:color="auto" w:sz="4" w:space="0"/>
              <w:bottom w:val="single" w:color="auto" w:sz="4" w:space="0"/>
              <w:right w:val="single" w:color="auto" w:sz="4" w:space="0"/>
            </w:tcBorders>
          </w:tcPr>
          <w:p>
            <w:r>
              <w:t xml:space="preserve">独立一作（第1顺位）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提出Delta Score特异性指标与能量引导扩散模型，解决SBDD中分子特异性不足问题</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SIU: A Million-Scale Structural Small Molecule-Protein Interaction Dataset for Unbiased Bioactivity Prediction
https://openreview.net/pdf?id=S8gbnkCgxZ</w:t>
            </w:r>
          </w:p>
        </w:tc>
        <w:tc>
          <w:tcPr>
            <w:tcW w:w="1161" w:type="dxa"/>
            <w:tcBorders>
              <w:top w:val="single" w:color="auto" w:sz="4" w:space="0"/>
              <w:left w:val="single" w:color="auto" w:sz="4" w:space="0"/>
              <w:bottom w:val="single" w:color="auto" w:sz="4" w:space="0"/>
              <w:right w:val="single" w:color="auto" w:sz="4" w:space="0"/>
            </w:tcBorders>
          </w:tcPr>
          <w:p>
            <w:r>
              <w:t xml:space="preserve">ICLR 2025</w:t>
            </w:r>
          </w:p>
        </w:tc>
        <w:tc>
          <w:tcPr>
            <w:tcW w:w="1448" w:type="dxa"/>
            <w:tcBorders>
              <w:top w:val="single" w:color="auto" w:sz="4" w:space="0"/>
              <w:left w:val="single" w:color="auto" w:sz="4" w:space="0"/>
              <w:bottom w:val="single" w:color="auto" w:sz="4" w:space="0"/>
              <w:right w:val="single" w:color="auto" w:sz="4" w:space="0"/>
            </w:tcBorders>
          </w:tcPr>
          <w:p>
            <w:r>
              <w:t xml:space="preserve">共同一作（第2顺位）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构建首个百万量级结构化小分子-蛋白质相互作用数据集，解决现有数据集偏差问题，支持无偏生物活性预测</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Reframing Structure-Based Drug Design Model Evaluation via Metrics Correlated to Practical Needs
https://openreview.net/pdf?id=RyWypcIMiE</w:t>
            </w:r>
          </w:p>
        </w:tc>
        <w:tc>
          <w:tcPr>
            <w:tcW w:w="1161" w:type="dxa"/>
            <w:tcBorders>
              <w:top w:val="single" w:color="auto" w:sz="4" w:space="0"/>
              <w:left w:val="single" w:color="auto" w:sz="4" w:space="0"/>
              <w:bottom w:val="single" w:color="auto" w:sz="4" w:space="0"/>
              <w:right w:val="single" w:color="auto" w:sz="4" w:space="0"/>
            </w:tcBorders>
          </w:tcPr>
          <w:p>
            <w:r>
              <w:t xml:space="preserve">ICLR 2025</w:t>
            </w:r>
          </w:p>
        </w:tc>
        <w:tc>
          <w:tcPr>
            <w:tcW w:w="1448" w:type="dxa"/>
            <w:tcBorders>
              <w:top w:val="single" w:color="auto" w:sz="4" w:space="0"/>
              <w:left w:val="single" w:color="auto" w:sz="4" w:space="0"/>
              <w:bottom w:val="single" w:color="auto" w:sz="4" w:space="0"/>
              <w:right w:val="single" w:color="auto" w:sz="4" w:space="0"/>
            </w:tcBorders>
          </w:tcPr>
          <w:p>
            <w:r>
              <w:t xml:space="preserve">独立一作（第1顺位）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系统性重构SBDD评估框架，提出与实际药物研发需求高度相关的评价指标体系，推动领域评估规范化</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AANet: Virtual Screening under Structural Uncertainty via Alignment and Aggregation</w:t>
            </w:r>
          </w:p>
        </w:tc>
        <w:tc>
          <w:tcPr>
            <w:tcW w:w="1161" w:type="dxa"/>
            <w:tcBorders>
              <w:top w:val="single" w:color="auto" w:sz="4" w:space="0"/>
              <w:left w:val="single" w:color="auto" w:sz="4" w:space="0"/>
              <w:bottom w:val="single" w:color="auto" w:sz="4" w:space="0"/>
              <w:right w:val="single" w:color="auto" w:sz="4" w:space="0"/>
            </w:tcBorders>
          </w:tcPr>
          <w:p>
            <w:r>
              <w:t xml:space="preserve">NeurIPS 2025</w:t>
            </w:r>
          </w:p>
        </w:tc>
        <w:tc>
          <w:tcPr>
            <w:tcW w:w="1448" w:type="dxa"/>
            <w:tcBorders>
              <w:top w:val="single" w:color="auto" w:sz="4" w:space="0"/>
              <w:left w:val="single" w:color="auto" w:sz="4" w:space="0"/>
              <w:bottom w:val="single" w:color="auto" w:sz="4" w:space="0"/>
              <w:right w:val="single" w:color="auto" w:sz="4" w:space="0"/>
            </w:tcBorders>
          </w:tcPr>
          <w:p>
            <w:r>
              <w:t xml:space="preserve">共同一作（第3顺位）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引入结构不确定性建模，通过对齐与聚合机制增强虚拟筛选在多构象蛋白靶标上的鲁棒性</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CIDD: Collaborative Intelligence for Structure-Based Drug Design Empowered by LLMs</w:t>
            </w:r>
          </w:p>
        </w:tc>
        <w:tc>
          <w:tcPr>
            <w:tcW w:w="1161" w:type="dxa"/>
            <w:tcBorders>
              <w:top w:val="single" w:color="auto" w:sz="4" w:space="0"/>
              <w:left w:val="single" w:color="auto" w:sz="4" w:space="0"/>
              <w:bottom w:val="single" w:color="auto" w:sz="4" w:space="0"/>
              <w:right w:val="single" w:color="auto" w:sz="4" w:space="0"/>
            </w:tcBorders>
          </w:tcPr>
          <w:p>
            <w:r>
              <w:t xml:space="preserve">NeurIPS 2025</w:t>
            </w:r>
          </w:p>
        </w:tc>
        <w:tc>
          <w:tcPr>
            <w:tcW w:w="1448" w:type="dxa"/>
            <w:tcBorders>
              <w:top w:val="single" w:color="auto" w:sz="4" w:space="0"/>
              <w:left w:val="single" w:color="auto" w:sz="4" w:space="0"/>
              <w:bottom w:val="single" w:color="auto" w:sz="4" w:space="0"/>
              <w:right w:val="single" w:color="auto" w:sz="4" w:space="0"/>
            </w:tcBorders>
          </w:tcPr>
          <w:p>
            <w:r>
              <w:t xml:space="preserve">独立一作（第1顺位）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提出基于LLM的协作智能框架用于结构导向药物设计，实现多智能体协作驱动的药物分子生成与优化</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Drugging the Undruggable: Benchmarking and Modeling Fragment-Based Screening
https://openreview.net/forum?id=fragclip2026</w:t>
            </w:r>
          </w:p>
        </w:tc>
        <w:tc>
          <w:tcPr>
            <w:tcW w:w="1161" w:type="dxa"/>
            <w:tcBorders>
              <w:top w:val="single" w:color="auto" w:sz="4" w:space="0"/>
              <w:left w:val="single" w:color="auto" w:sz="4" w:space="0"/>
              <w:bottom w:val="single" w:color="auto" w:sz="4" w:space="0"/>
              <w:right w:val="single" w:color="auto" w:sz="4" w:space="0"/>
            </w:tcBorders>
          </w:tcPr>
          <w:p>
            <w:r>
              <w:t xml:space="preserve">ICLR 2026</w:t>
            </w:r>
          </w:p>
        </w:tc>
        <w:tc>
          <w:tcPr>
            <w:tcW w:w="1448" w:type="dxa"/>
            <w:tcBorders>
              <w:top w:val="single" w:color="auto" w:sz="4" w:space="0"/>
              <w:left w:val="single" w:color="auto" w:sz="4" w:space="0"/>
              <w:bottom w:val="single" w:color="auto" w:sz="4" w:space="0"/>
              <w:right w:val="single" w:color="auto" w:sz="4" w:space="0"/>
            </w:tcBorders>
          </w:tcPr>
          <w:p>
            <w:r>
              <w:t xml:space="preserve">共同一作（第2顺位）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首次对基于片段的药物筛选（FBDD）场景进行系统性基准测评与深度建模，为攻克"不可成药"靶点提供新的计算工具</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Learning Protein–Ligand Binding in Hyperbolic Space</w:t>
            </w:r>
          </w:p>
        </w:tc>
        <w:tc>
          <w:tcPr>
            <w:tcW w:w="1161" w:type="dxa"/>
            <w:tcBorders>
              <w:top w:val="single" w:color="auto" w:sz="4" w:space="0"/>
              <w:left w:val="single" w:color="auto" w:sz="4" w:space="0"/>
              <w:bottom w:val="single" w:color="auto" w:sz="4" w:space="0"/>
              <w:right w:val="single" w:color="auto" w:sz="4" w:space="0"/>
            </w:tcBorders>
          </w:tcPr>
          <w:p>
            <w:r>
              <w:t xml:space="preserve">AAAI 2026</w:t>
            </w:r>
          </w:p>
        </w:tc>
        <w:tc>
          <w:tcPr>
            <w:tcW w:w="1448" w:type="dxa"/>
            <w:tcBorders>
              <w:top w:val="single" w:color="auto" w:sz="4" w:space="0"/>
              <w:left w:val="single" w:color="auto" w:sz="4" w:space="0"/>
              <w:bottom w:val="single" w:color="auto" w:sz="4" w:space="0"/>
              <w:right w:val="single" w:color="auto" w:sz="4" w:space="0"/>
            </w:tcBorders>
          </w:tcPr>
          <w:p>
            <w:r>
              <w:t xml:space="preserve">共同一作（第3顺位）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将蛋白质–配体结合建模迁移至双曲几何空间，从层次结构角度刻画分子相互作用</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S²Drug: Bridging Protein Sequence and 3D Structure in Contrastive Representation Learning for Virtual Screening
Proceedings of the AAAI Conference on Artificial Intelligence. Vol. 40. No. 1. 2026.</w:t>
            </w:r>
          </w:p>
        </w:tc>
        <w:tc>
          <w:tcPr>
            <w:tcW w:w="1161" w:type="dxa"/>
            <w:tcBorders>
              <w:top w:val="single" w:color="auto" w:sz="4" w:space="0"/>
              <w:left w:val="single" w:color="auto" w:sz="4" w:space="0"/>
              <w:bottom w:val="single" w:color="auto" w:sz="4" w:space="0"/>
              <w:right w:val="single" w:color="auto" w:sz="4" w:space="0"/>
            </w:tcBorders>
          </w:tcPr>
          <w:p>
            <w:r>
              <w:t xml:space="preserve">AAAI 2026</w:t>
            </w:r>
          </w:p>
        </w:tc>
        <w:tc>
          <w:tcPr>
            <w:tcW w:w="1448" w:type="dxa"/>
            <w:tcBorders>
              <w:top w:val="single" w:color="auto" w:sz="4" w:space="0"/>
              <w:left w:val="single" w:color="auto" w:sz="4" w:space="0"/>
              <w:bottom w:val="single" w:color="auto" w:sz="4" w:space="0"/>
              <w:right w:val="single" w:color="auto" w:sz="4" w:space="0"/>
            </w:tcBorders>
          </w:tcPr>
          <w:p>
            <w:r>
              <w:t xml:space="preserve">参与作者</w:t>
            </w:r>
          </w:p>
        </w:tc>
        <w:tc>
          <w:tcPr>
            <w:tcW w:w="1180" w:type="dxa"/>
            <w:gridSpan w:val="2"/>
            <w:tcBorders>
              <w:top w:val="single" w:color="auto" w:sz="4" w:space="0"/>
              <w:left w:val="single" w:color="auto" w:sz="4" w:space="0"/>
              <w:bottom w:val="single" w:color="auto" w:sz="4" w:space="0"/>
              <w:right w:val="single" w:color="auto" w:sz="4" w:space="0"/>
            </w:tcBorders>
          </w:tcPr>
          <w:p>
            <w:r>
              <w:t xml:space="preserve">CCF-A</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打通蛋白质序列与三维结构两条信息流，以跨模态对比学习强化虚拟筛选的表达能力</w:t>
            </w:r>
          </w:p>
        </w:tc>
      </w:tr>
      <w:tr w14:paraId="55E158B0">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r>
              <w:t xml:space="preserve">Deep Contrastive Learning Enables Genome-wide Virtual Screening
https://www.biorxiv.org/content/10.1101/2024.09.02.610777v1.full.pdf</w:t>
            </w:r>
          </w:p>
        </w:tc>
        <w:tc>
          <w:tcPr>
            <w:tcW w:w="1161" w:type="dxa"/>
            <w:tcBorders>
              <w:top w:val="single" w:color="auto" w:sz="4" w:space="0"/>
              <w:left w:val="single" w:color="auto" w:sz="4" w:space="0"/>
              <w:bottom w:val="single" w:color="auto" w:sz="4" w:space="0"/>
              <w:right w:val="single" w:color="auto" w:sz="4" w:space="0"/>
            </w:tcBorders>
          </w:tcPr>
          <w:p>
            <w:r>
              <w:t xml:space="preserve">Science 2026</w:t>
            </w:r>
          </w:p>
        </w:tc>
        <w:tc>
          <w:tcPr>
            <w:tcW w:w="1448" w:type="dxa"/>
            <w:tcBorders>
              <w:top w:val="single" w:color="auto" w:sz="4" w:space="0"/>
              <w:left w:val="single" w:color="auto" w:sz="4" w:space="0"/>
              <w:bottom w:val="single" w:color="auto" w:sz="4" w:space="0"/>
              <w:right w:val="single" w:color="auto" w:sz="4" w:space="0"/>
            </w:tcBorders>
          </w:tcPr>
          <w:p>
            <w:r>
              <w:t xml:space="preserve">共同一作（第2顺位）</w:t>
            </w:r>
          </w:p>
        </w:tc>
        <w:tc>
          <w:tcPr>
            <w:tcW w:w="1180" w:type="dxa"/>
            <w:gridSpan w:val="2"/>
            <w:tcBorders>
              <w:top w:val="single" w:color="auto" w:sz="4" w:space="0"/>
              <w:left w:val="single" w:color="auto" w:sz="4" w:space="0"/>
              <w:bottom w:val="single" w:color="auto" w:sz="4" w:space="0"/>
              <w:right w:val="single" w:color="auto" w:sz="4" w:space="0"/>
            </w:tcBorders>
          </w:tcPr>
          <w:p>
            <w:r>
              <w:t xml:space="preserve">Science（影响因子44.7）</w:t>
            </w:r>
          </w:p>
        </w:tc>
        <w:tc>
          <w:tcPr>
            <w:tcW w:w="878" w:type="dxa"/>
            <w:tcBorders>
              <w:top w:val="single" w:color="auto" w:sz="4" w:space="0"/>
              <w:left w:val="single" w:color="auto" w:sz="4" w:space="0"/>
              <w:bottom w:val="single" w:color="auto" w:sz="4" w:space="0"/>
              <w:right w:val="single" w:color="auto" w:sz="4" w:space="0"/>
            </w:tcBorders>
          </w:tcPr>
          <w:p>
            <w:r>
              <w:t xml:space="preserve"/>
            </w:r>
          </w:p>
        </w:tc>
        <w:tc>
          <w:tcPr>
            <w:tcW w:w="1955" w:type="dxa"/>
            <w:tcBorders>
              <w:top w:val="single" w:color="auto" w:sz="4" w:space="0"/>
              <w:left w:val="single" w:color="auto" w:sz="4" w:space="0"/>
              <w:bottom w:val="single" w:color="auto" w:sz="4" w:space="0"/>
              <w:right w:val="single" w:color="auto" w:sz="4" w:space="0"/>
            </w:tcBorders>
          </w:tcPr>
          <w:p>
            <w:r>
              <w:t xml:space="preserve">开发基因组规模的深度对比学习虚拟筛选方法，实现对全基因组靶标蛋白的系统性药物发现，支撑"Drug-The-Whole-Genome"计划</w:t>
            </w:r>
          </w:p>
        </w:tc>
      </w:tr>
      <w:tr w14:paraId="6BC96CC1">
        <w:trPr>
          <w:trHeight w:val="503" w:hRule="atLeast"/>
          <w:jc w:val="center"/>
        </w:trPr>
        <w:tc>
          <w:tcPr>
            <w:tcW w:w="8258" w:type="dxa"/>
            <w:gridSpan w:val="8"/>
            <w:tcBorders>
              <w:top w:val="single" w:color="auto" w:sz="4" w:space="0"/>
              <w:left w:val="single" w:color="auto" w:sz="4" w:space="0"/>
              <w:bottom w:val="single" w:color="auto" w:sz="4" w:space="0"/>
              <w:right w:val="single" w:color="auto" w:sz="4" w:space="0"/>
            </w:tcBorders>
            <w:vAlign w:val="center"/>
          </w:tcPr>
          <w:p w14:paraId="7B8300FA">
            <w:pPr>
              <w:jc w:val="center"/>
              <w:rPr>
                <w:rFonts w:eastAsia="宋体" w:cs="Times New Roman"/>
                <w:b/>
                <w:bCs/>
                <w:color w:val="000000" w:themeColor="text1"/>
                <w14:textFill>
                  <w14:solidFill>
                    <w14:schemeClr w14:val="tx1"/>
                  </w14:solidFill>
                </w14:textFill>
              </w:rPr>
            </w:pPr>
            <w:r>
              <w:rPr>
                <w:rFonts w:hint="eastAsia" w:eastAsia="宋体" w:cs="Times New Roman"/>
                <w:b/>
                <w:bCs/>
                <w:color w:val="000000" w:themeColor="text1"/>
                <w:sz w:val="24"/>
                <w:szCs w:val="24"/>
                <w14:textFill>
                  <w14:solidFill>
                    <w14:schemeClr w14:val="tx1"/>
                  </w14:solidFill>
                </w14:textFill>
              </w:rPr>
              <w:t>专利</w:t>
            </w:r>
          </w:p>
        </w:tc>
      </w:tr>
      <w:tr w14:paraId="4AEE0FA7">
        <w:trPr>
          <w:trHeight w:val="623" w:hRule="atLeast"/>
          <w:jc w:val="center"/>
        </w:trPr>
        <w:tc>
          <w:tcPr>
            <w:tcW w:w="1636" w:type="dxa"/>
            <w:gridSpan w:val="2"/>
            <w:tcBorders>
              <w:top w:val="single" w:color="auto" w:sz="4" w:space="0"/>
              <w:left w:val="single" w:color="auto" w:sz="4" w:space="0"/>
              <w:bottom w:val="single" w:color="auto" w:sz="4" w:space="0"/>
              <w:right w:val="single" w:color="auto" w:sz="4" w:space="0"/>
            </w:tcBorders>
            <w:vAlign w:val="center"/>
          </w:tcPr>
          <w:p w14:paraId="295E2492">
            <w:pPr>
              <w:jc w:val="center"/>
              <w:rPr>
                <w:rFonts w:eastAsia="宋体" w:cs="Times New Roman Bold"/>
                <w:b/>
                <w:bCs/>
                <w:color w:val="000000" w:themeColor="text1"/>
                <w:sz w:val="16"/>
                <w:szCs w:val="16"/>
                <w14:textFill>
                  <w14:solidFill>
                    <w14:schemeClr w14:val="tx1"/>
                  </w14:solidFill>
                </w14:textFill>
              </w:rPr>
            </w:pPr>
            <w:r>
              <w:rPr>
                <w:rFonts w:eastAsia="宋体" w:cs="Times New Roman Bold"/>
                <w:b/>
                <w:bCs/>
                <w:color w:val="000000" w:themeColor="text1"/>
                <w:sz w:val="16"/>
                <w:szCs w:val="16"/>
                <w14:textFill>
                  <w14:solidFill>
                    <w14:schemeClr w14:val="tx1"/>
                  </w14:solidFill>
                </w14:textFill>
              </w:rPr>
              <w:t>专利名称</w:t>
            </w:r>
          </w:p>
        </w:tc>
        <w:tc>
          <w:tcPr>
            <w:tcW w:w="1161" w:type="dxa"/>
            <w:tcBorders>
              <w:top w:val="single" w:color="auto" w:sz="4" w:space="0"/>
              <w:left w:val="single" w:color="auto" w:sz="4" w:space="0"/>
              <w:bottom w:val="single" w:color="auto" w:sz="4" w:space="0"/>
              <w:right w:val="single" w:color="auto" w:sz="4" w:space="0"/>
            </w:tcBorders>
            <w:vAlign w:val="center"/>
          </w:tcPr>
          <w:p w14:paraId="1BADC3A4">
            <w:pPr>
              <w:jc w:val="center"/>
              <w:rPr>
                <w:rFonts w:eastAsia="宋体" w:cs="Times New Roman Bold"/>
                <w:b/>
                <w:bCs/>
                <w:color w:val="000000" w:themeColor="text1"/>
                <w:sz w:val="16"/>
                <w:szCs w:val="16"/>
                <w14:textFill>
                  <w14:solidFill>
                    <w14:schemeClr w14:val="tx1"/>
                  </w14:solidFill>
                </w14:textFill>
              </w:rPr>
            </w:pPr>
            <w:r>
              <w:rPr>
                <w:rFonts w:eastAsia="宋体" w:cs="Times New Roman Bold"/>
                <w:b/>
                <w:bCs/>
                <w:color w:val="000000" w:themeColor="text1"/>
                <w:sz w:val="16"/>
                <w:szCs w:val="16"/>
                <w14:textFill>
                  <w14:solidFill>
                    <w14:schemeClr w14:val="tx1"/>
                  </w14:solidFill>
                </w14:textFill>
              </w:rPr>
              <w:t>专利号</w:t>
            </w:r>
          </w:p>
        </w:tc>
        <w:tc>
          <w:tcPr>
            <w:tcW w:w="1448" w:type="dxa"/>
            <w:tcBorders>
              <w:top w:val="single" w:color="auto" w:sz="4" w:space="0"/>
              <w:left w:val="single" w:color="auto" w:sz="4" w:space="0"/>
              <w:bottom w:val="single" w:color="auto" w:sz="4" w:space="0"/>
              <w:right w:val="single" w:color="auto" w:sz="4" w:space="0"/>
            </w:tcBorders>
            <w:vAlign w:val="center"/>
          </w:tcPr>
          <w:p w14:paraId="743732CE">
            <w:pPr>
              <w:jc w:val="center"/>
              <w:rPr>
                <w:rFonts w:eastAsia="宋体" w:cs="Times New Roman Bold"/>
                <w:b/>
                <w:bCs/>
                <w:color w:val="000000" w:themeColor="text1"/>
                <w:sz w:val="16"/>
                <w:szCs w:val="16"/>
                <w14:textFill>
                  <w14:solidFill>
                    <w14:schemeClr w14:val="tx1"/>
                  </w14:solidFill>
                </w14:textFill>
              </w:rPr>
            </w:pPr>
            <w:r>
              <w:rPr>
                <w:rFonts w:eastAsia="宋体" w:cs="Times New Roman Bold"/>
                <w:b/>
                <w:bCs/>
                <w:color w:val="000000" w:themeColor="text1"/>
                <w:sz w:val="16"/>
                <w:szCs w:val="16"/>
                <w14:textFill>
                  <w14:solidFill>
                    <w14:schemeClr w14:val="tx1"/>
                  </w14:solidFill>
                </w14:textFill>
              </w:rPr>
              <w:t>是否第一发明人</w:t>
            </w:r>
          </w:p>
        </w:tc>
        <w:tc>
          <w:tcPr>
            <w:tcW w:w="4013" w:type="dxa"/>
            <w:gridSpan w:val="4"/>
            <w:tcBorders>
              <w:top w:val="single" w:color="auto" w:sz="4" w:space="0"/>
              <w:left w:val="single" w:color="auto" w:sz="4" w:space="0"/>
              <w:bottom w:val="single" w:color="auto" w:sz="4" w:space="0"/>
              <w:right w:val="single" w:color="auto" w:sz="4" w:space="0"/>
            </w:tcBorders>
            <w:vAlign w:val="center"/>
          </w:tcPr>
          <w:p w14:paraId="04A50CF0">
            <w:pPr>
              <w:jc w:val="center"/>
              <w:rPr>
                <w:rFonts w:hint="eastAsia" w:eastAsia="宋体" w:cs="Times New Roman Bold"/>
                <w:b/>
                <w:bCs/>
                <w:color w:val="000000" w:themeColor="text1"/>
                <w:sz w:val="16"/>
                <w:szCs w:val="16"/>
                <w:lang w:val="en-US" w:eastAsia="zh-CN"/>
                <w14:textFill>
                  <w14:solidFill>
                    <w14:schemeClr w14:val="tx1"/>
                  </w14:solidFill>
                </w14:textFill>
              </w:rPr>
            </w:pPr>
            <w:r>
              <w:rPr>
                <w:rFonts w:eastAsia="宋体" w:cs="Times New Roman Bold"/>
                <w:b/>
                <w:bCs/>
                <w:color w:val="000000" w:themeColor="text1"/>
                <w:sz w:val="16"/>
                <w:szCs w:val="16"/>
                <w14:textFill>
                  <w14:solidFill>
                    <w14:schemeClr w14:val="tx1"/>
                  </w14:solidFill>
                </w14:textFill>
              </w:rPr>
              <w:t>其他</w:t>
            </w:r>
            <w:r>
              <w:rPr>
                <w:rFonts w:hint="eastAsia" w:cs="Times New Roman Bold"/>
                <w:b/>
                <w:bCs/>
                <w:color w:val="000000" w:themeColor="text1"/>
                <w:sz w:val="16"/>
                <w:szCs w:val="16"/>
                <w:lang w:val="en-US" w:eastAsia="zh-CN"/>
                <w14:textFill>
                  <w14:solidFill>
                    <w14:schemeClr w14:val="tx1"/>
                  </w14:solidFill>
                </w14:textFill>
              </w:rPr>
              <w:t>备注</w:t>
            </w:r>
          </w:p>
        </w:tc>
      </w:tr>
      <w:tr w14:paraId="2A185529">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vAlign w:val="top"/>
          </w:tcPr>
          <w:p w14:paraId="29DB69EA">
            <w:pPr>
              <w:jc w:val="both"/>
              <w:rPr>
                <w:rFonts w:eastAsia="宋体" w:cs="Times New Roman"/>
                <w:color w:val="B68C02" w:themeColor="accent3" w:themeShade="BF"/>
              </w:rPr>
            </w:pPr>
          </w:p>
        </w:tc>
        <w:tc>
          <w:tcPr>
            <w:tcW w:w="1161" w:type="dxa"/>
            <w:tcBorders>
              <w:top w:val="single" w:color="auto" w:sz="4" w:space="0"/>
              <w:left w:val="single" w:color="auto" w:sz="4" w:space="0"/>
              <w:bottom w:val="single" w:color="auto" w:sz="4" w:space="0"/>
              <w:right w:val="single" w:color="auto" w:sz="4" w:space="0"/>
            </w:tcBorders>
            <w:vAlign w:val="top"/>
          </w:tcPr>
          <w:p w14:paraId="617AED3A">
            <w:pPr>
              <w:jc w:val="both"/>
              <w:rPr>
                <w:rFonts w:ascii="Times New Roman" w:hAnsi="Times New Roman" w:eastAsia="Times New Roman" w:cs="Times New Roman"/>
                <w:color w:val="767171" w:themeColor="background2" w:themeShade="80"/>
                <w:sz w:val="16"/>
                <w:szCs w:val="16"/>
              </w:rPr>
            </w:pPr>
            <w:r>
              <w:rPr>
                <w:rFonts w:hint="eastAsia" w:ascii="宋体" w:hAnsi="宋体" w:eastAsia="Times New Roman" w:cs="Times New Roman"/>
                <w:color w:val="767171" w:themeColor="background2" w:themeShade="80"/>
                <w:sz w:val="16"/>
                <w:szCs w:val="16"/>
              </w:rPr>
              <w:t>ZLXXXX</w:t>
            </w:r>
          </w:p>
        </w:tc>
        <w:tc>
          <w:tcPr>
            <w:tcW w:w="1448" w:type="dxa"/>
            <w:tcBorders>
              <w:top w:val="single" w:color="auto" w:sz="4" w:space="0"/>
              <w:left w:val="single" w:color="auto" w:sz="4" w:space="0"/>
              <w:bottom w:val="single" w:color="auto" w:sz="4" w:space="0"/>
              <w:right w:val="single" w:color="auto" w:sz="4" w:space="0"/>
            </w:tcBorders>
            <w:vAlign w:val="top"/>
          </w:tcPr>
          <w:p w14:paraId="43EBC541">
            <w:pPr>
              <w:jc w:val="both"/>
              <w:rPr>
                <w:rFonts w:ascii="Times New Roman" w:hAnsi="Times New Roman" w:eastAsia="Times New Roman" w:cs="Times New Roman"/>
                <w:color w:val="767171" w:themeColor="background2" w:themeShade="80"/>
                <w:sz w:val="16"/>
                <w:szCs w:val="16"/>
              </w:rPr>
            </w:pPr>
            <w:r>
              <w:rPr>
                <w:rFonts w:hint="eastAsia" w:ascii="宋体" w:hAnsi="宋体" w:eastAsia="Times New Roman" w:cs="Times New Roman"/>
                <w:color w:val="767171" w:themeColor="background2" w:themeShade="80"/>
                <w:sz w:val="16"/>
                <w:szCs w:val="16"/>
              </w:rPr>
              <w:t>是/否</w:t>
            </w:r>
          </w:p>
        </w:tc>
        <w:tc>
          <w:tcPr>
            <w:tcW w:w="4013" w:type="dxa"/>
            <w:gridSpan w:val="4"/>
            <w:tcBorders>
              <w:top w:val="single" w:color="auto" w:sz="4" w:space="0"/>
              <w:left w:val="single" w:color="auto" w:sz="4" w:space="0"/>
              <w:bottom w:val="single" w:color="auto" w:sz="4" w:space="0"/>
              <w:right w:val="single" w:color="auto" w:sz="4" w:space="0"/>
            </w:tcBorders>
            <w:vAlign w:val="top"/>
          </w:tcPr>
          <w:p w14:paraId="46FB19C4">
            <w:pPr>
              <w:jc w:val="both"/>
              <w:rPr>
                <w:rFonts w:eastAsia="宋体" w:cs="Times New Roman"/>
                <w:color w:val="B68C02" w:themeColor="accent3" w:themeShade="BF"/>
              </w:rPr>
            </w:pPr>
          </w:p>
        </w:tc>
      </w:tr>
      <w:tr w14:paraId="670B9598">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14:paraId="0287E163">
            <w:pPr>
              <w:jc w:val="both"/>
              <w:rPr>
                <w:rFonts w:eastAsia="宋体" w:cs="Times New Roman"/>
                <w:color w:val="000000" w:themeColor="text1"/>
                <w14:textFill>
                  <w14:solidFill>
                    <w14:schemeClr w14:val="tx1"/>
                  </w14:solidFill>
                </w14:textFill>
              </w:rPr>
            </w:pPr>
          </w:p>
        </w:tc>
        <w:tc>
          <w:tcPr>
            <w:tcW w:w="1161" w:type="dxa"/>
            <w:tcBorders>
              <w:top w:val="single" w:color="auto" w:sz="4" w:space="0"/>
              <w:left w:val="single" w:color="auto" w:sz="4" w:space="0"/>
              <w:bottom w:val="single" w:color="auto" w:sz="4" w:space="0"/>
              <w:right w:val="single" w:color="auto" w:sz="4" w:space="0"/>
            </w:tcBorders>
          </w:tcPr>
          <w:p w14:paraId="31DE3E20">
            <w:pPr>
              <w:jc w:val="both"/>
              <w:rPr>
                <w:rFonts w:eastAsia="宋体" w:cs="Times New Roman"/>
                <w:color w:val="000000" w:themeColor="text1"/>
                <w:sz w:val="16"/>
                <w:szCs w:val="16"/>
                <w14:textFill>
                  <w14:solidFill>
                    <w14:schemeClr w14:val="tx1"/>
                  </w14:solidFill>
                </w14:textFill>
              </w:rPr>
            </w:pPr>
          </w:p>
        </w:tc>
        <w:tc>
          <w:tcPr>
            <w:tcW w:w="1448" w:type="dxa"/>
            <w:tcBorders>
              <w:top w:val="single" w:color="auto" w:sz="4" w:space="0"/>
              <w:left w:val="single" w:color="auto" w:sz="4" w:space="0"/>
              <w:bottom w:val="single" w:color="auto" w:sz="4" w:space="0"/>
              <w:right w:val="single" w:color="auto" w:sz="4" w:space="0"/>
            </w:tcBorders>
          </w:tcPr>
          <w:p w14:paraId="36021D15">
            <w:pPr>
              <w:jc w:val="both"/>
              <w:rPr>
                <w:rFonts w:eastAsia="宋体" w:cs="Times New Roman"/>
                <w:color w:val="000000" w:themeColor="text1"/>
                <w:sz w:val="16"/>
                <w:szCs w:val="16"/>
                <w14:textFill>
                  <w14:solidFill>
                    <w14:schemeClr w14:val="tx1"/>
                  </w14:solidFill>
                </w14:textFill>
              </w:rPr>
            </w:pPr>
          </w:p>
        </w:tc>
        <w:tc>
          <w:tcPr>
            <w:tcW w:w="4013" w:type="dxa"/>
            <w:gridSpan w:val="4"/>
            <w:tcBorders>
              <w:top w:val="single" w:color="auto" w:sz="4" w:space="0"/>
              <w:left w:val="single" w:color="auto" w:sz="4" w:space="0"/>
              <w:bottom w:val="single" w:color="auto" w:sz="4" w:space="0"/>
              <w:right w:val="single" w:color="auto" w:sz="4" w:space="0"/>
            </w:tcBorders>
          </w:tcPr>
          <w:p w14:paraId="0A2275BD">
            <w:pPr>
              <w:jc w:val="both"/>
              <w:rPr>
                <w:rFonts w:eastAsia="宋体" w:cs="Times New Roman"/>
                <w:color w:val="000000" w:themeColor="text1"/>
                <w14:textFill>
                  <w14:solidFill>
                    <w14:schemeClr w14:val="tx1"/>
                  </w14:solidFill>
                </w14:textFill>
              </w:rPr>
            </w:pPr>
          </w:p>
        </w:tc>
      </w:tr>
      <w:tr w14:paraId="0C28355B">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14:paraId="4276E26D">
            <w:pPr>
              <w:jc w:val="both"/>
              <w:rPr>
                <w:rFonts w:eastAsia="宋体" w:cs="Times New Roman"/>
                <w:color w:val="000000" w:themeColor="text1"/>
                <w14:textFill>
                  <w14:solidFill>
                    <w14:schemeClr w14:val="tx1"/>
                  </w14:solidFill>
                </w14:textFill>
              </w:rPr>
            </w:pPr>
          </w:p>
        </w:tc>
        <w:tc>
          <w:tcPr>
            <w:tcW w:w="1161" w:type="dxa"/>
            <w:tcBorders>
              <w:top w:val="single" w:color="auto" w:sz="4" w:space="0"/>
              <w:left w:val="single" w:color="auto" w:sz="4" w:space="0"/>
              <w:bottom w:val="single" w:color="auto" w:sz="4" w:space="0"/>
              <w:right w:val="single" w:color="auto" w:sz="4" w:space="0"/>
            </w:tcBorders>
          </w:tcPr>
          <w:p w14:paraId="65D95340">
            <w:pPr>
              <w:jc w:val="both"/>
              <w:rPr>
                <w:rFonts w:eastAsia="宋体" w:cs="Times New Roman"/>
                <w:color w:val="000000" w:themeColor="text1"/>
                <w:sz w:val="16"/>
                <w:szCs w:val="16"/>
                <w14:textFill>
                  <w14:solidFill>
                    <w14:schemeClr w14:val="tx1"/>
                  </w14:solidFill>
                </w14:textFill>
              </w:rPr>
            </w:pPr>
          </w:p>
        </w:tc>
        <w:tc>
          <w:tcPr>
            <w:tcW w:w="1448" w:type="dxa"/>
            <w:tcBorders>
              <w:top w:val="single" w:color="auto" w:sz="4" w:space="0"/>
              <w:left w:val="single" w:color="auto" w:sz="4" w:space="0"/>
              <w:bottom w:val="single" w:color="auto" w:sz="4" w:space="0"/>
              <w:right w:val="single" w:color="auto" w:sz="4" w:space="0"/>
            </w:tcBorders>
          </w:tcPr>
          <w:p w14:paraId="5D5BAE6B">
            <w:pPr>
              <w:jc w:val="both"/>
              <w:rPr>
                <w:rFonts w:eastAsia="宋体" w:cs="Times New Roman"/>
                <w:color w:val="000000" w:themeColor="text1"/>
                <w:sz w:val="16"/>
                <w:szCs w:val="16"/>
                <w14:textFill>
                  <w14:solidFill>
                    <w14:schemeClr w14:val="tx1"/>
                  </w14:solidFill>
                </w14:textFill>
              </w:rPr>
            </w:pPr>
          </w:p>
        </w:tc>
        <w:tc>
          <w:tcPr>
            <w:tcW w:w="4013" w:type="dxa"/>
            <w:gridSpan w:val="4"/>
            <w:tcBorders>
              <w:top w:val="single" w:color="auto" w:sz="4" w:space="0"/>
              <w:left w:val="single" w:color="auto" w:sz="4" w:space="0"/>
              <w:bottom w:val="single" w:color="auto" w:sz="4" w:space="0"/>
              <w:right w:val="single" w:color="auto" w:sz="4" w:space="0"/>
            </w:tcBorders>
          </w:tcPr>
          <w:p w14:paraId="213F157E">
            <w:pPr>
              <w:jc w:val="both"/>
              <w:rPr>
                <w:rFonts w:eastAsia="宋体" w:cs="Times New Roman"/>
                <w:color w:val="000000" w:themeColor="text1"/>
                <w14:textFill>
                  <w14:solidFill>
                    <w14:schemeClr w14:val="tx1"/>
                  </w14:solidFill>
                </w14:textFill>
              </w:rPr>
            </w:pPr>
          </w:p>
        </w:tc>
      </w:tr>
      <w:tr w14:paraId="4F687544">
        <w:trPr>
          <w:trHeight w:val="410" w:hRule="atLeast"/>
          <w:jc w:val="center"/>
        </w:trPr>
        <w:tc>
          <w:tcPr>
            <w:tcW w:w="1636" w:type="dxa"/>
            <w:gridSpan w:val="2"/>
            <w:tcBorders>
              <w:top w:val="single" w:color="auto" w:sz="4" w:space="0"/>
              <w:left w:val="single" w:color="auto" w:sz="4" w:space="0"/>
              <w:bottom w:val="single" w:color="auto" w:sz="4" w:space="0"/>
              <w:right w:val="single" w:color="auto" w:sz="4" w:space="0"/>
            </w:tcBorders>
          </w:tcPr>
          <w:p w14:paraId="7D938878">
            <w:pPr>
              <w:jc w:val="both"/>
              <w:rPr>
                <w:rFonts w:eastAsia="宋体" w:cs="Times New Roman"/>
                <w:color w:val="000000" w:themeColor="text1"/>
                <w14:textFill>
                  <w14:solidFill>
                    <w14:schemeClr w14:val="tx1"/>
                  </w14:solidFill>
                </w14:textFill>
              </w:rPr>
            </w:pPr>
          </w:p>
        </w:tc>
        <w:tc>
          <w:tcPr>
            <w:tcW w:w="1161" w:type="dxa"/>
            <w:tcBorders>
              <w:top w:val="single" w:color="auto" w:sz="4" w:space="0"/>
              <w:left w:val="single" w:color="auto" w:sz="4" w:space="0"/>
              <w:bottom w:val="single" w:color="auto" w:sz="4" w:space="0"/>
              <w:right w:val="single" w:color="auto" w:sz="4" w:space="0"/>
            </w:tcBorders>
          </w:tcPr>
          <w:p w14:paraId="1FE76E70">
            <w:pPr>
              <w:jc w:val="both"/>
              <w:rPr>
                <w:rFonts w:eastAsia="宋体" w:cs="Times New Roman"/>
                <w:color w:val="000000" w:themeColor="text1"/>
                <w:sz w:val="16"/>
                <w:szCs w:val="16"/>
                <w14:textFill>
                  <w14:solidFill>
                    <w14:schemeClr w14:val="tx1"/>
                  </w14:solidFill>
                </w14:textFill>
              </w:rPr>
            </w:pPr>
          </w:p>
        </w:tc>
        <w:tc>
          <w:tcPr>
            <w:tcW w:w="1448" w:type="dxa"/>
            <w:tcBorders>
              <w:top w:val="single" w:color="auto" w:sz="4" w:space="0"/>
              <w:left w:val="single" w:color="auto" w:sz="4" w:space="0"/>
              <w:bottom w:val="single" w:color="auto" w:sz="4" w:space="0"/>
              <w:right w:val="single" w:color="auto" w:sz="4" w:space="0"/>
            </w:tcBorders>
          </w:tcPr>
          <w:p w14:paraId="0C84887F">
            <w:pPr>
              <w:jc w:val="both"/>
              <w:rPr>
                <w:rFonts w:eastAsia="宋体" w:cs="Times New Roman"/>
                <w:color w:val="000000" w:themeColor="text1"/>
                <w:sz w:val="16"/>
                <w:szCs w:val="16"/>
                <w14:textFill>
                  <w14:solidFill>
                    <w14:schemeClr w14:val="tx1"/>
                  </w14:solidFill>
                </w14:textFill>
              </w:rPr>
            </w:pPr>
          </w:p>
        </w:tc>
        <w:tc>
          <w:tcPr>
            <w:tcW w:w="4013" w:type="dxa"/>
            <w:gridSpan w:val="4"/>
            <w:tcBorders>
              <w:top w:val="single" w:color="auto" w:sz="4" w:space="0"/>
              <w:left w:val="single" w:color="auto" w:sz="4" w:space="0"/>
              <w:bottom w:val="single" w:color="auto" w:sz="4" w:space="0"/>
              <w:right w:val="single" w:color="auto" w:sz="4" w:space="0"/>
            </w:tcBorders>
          </w:tcPr>
          <w:p w14:paraId="53752064">
            <w:pPr>
              <w:jc w:val="both"/>
              <w:rPr>
                <w:rFonts w:eastAsia="宋体" w:cs="Times New Roman"/>
                <w:color w:val="000000" w:themeColor="text1"/>
                <w14:textFill>
                  <w14:solidFill>
                    <w14:schemeClr w14:val="tx1"/>
                  </w14:solidFill>
                </w14:textFill>
              </w:rPr>
            </w:pPr>
          </w:p>
        </w:tc>
      </w:tr>
      <w:tr w14:paraId="23DF1CF3">
        <w:trPr>
          <w:trHeight w:val="503" w:hRule="atLeast"/>
          <w:jc w:val="center"/>
        </w:trPr>
        <w:tc>
          <w:tcPr>
            <w:tcW w:w="8258" w:type="dxa"/>
            <w:gridSpan w:val="8"/>
            <w:tcBorders>
              <w:top w:val="single" w:color="auto" w:sz="4" w:space="0"/>
              <w:left w:val="single" w:color="auto" w:sz="4" w:space="0"/>
              <w:bottom w:val="single" w:color="auto" w:sz="4" w:space="0"/>
              <w:right w:val="single" w:color="auto" w:sz="4" w:space="0"/>
            </w:tcBorders>
            <w:vAlign w:val="center"/>
          </w:tcPr>
          <w:p w14:paraId="7567A2D8">
            <w:pPr>
              <w:tabs>
                <w:tab w:val="left" w:pos="966"/>
              </w:tabs>
              <w:jc w:val="center"/>
              <w:rPr>
                <w:rFonts w:hint="eastAsia" w:eastAsia="宋体"/>
                <w:lang w:eastAsia="zh-CN"/>
              </w:rPr>
            </w:pPr>
            <w:r>
              <w:rPr>
                <w:rFonts w:hint="eastAsia" w:ascii="Times New Roman" w:hAnsi="Times New Roman" w:eastAsia="宋体" w:cs="Times New Roman"/>
                <w:b/>
                <w:bCs/>
                <w:sz w:val="24"/>
                <w:szCs w:val="24"/>
                <w:lang w:val="en-US" w:eastAsia="zh-CN"/>
              </w:rPr>
              <w:t>获得奖项</w:t>
            </w:r>
          </w:p>
        </w:tc>
      </w:tr>
      <w:tr w14:paraId="0F80DC40">
        <w:trPr>
          <w:trHeight w:val="3944" w:hRule="atLeast"/>
          <w:jc w:val="center"/>
        </w:trPr>
        <w:tc>
          <w:tcPr>
            <w:tcW w:w="8258" w:type="dxa"/>
            <w:gridSpan w:val="8"/>
            <w:tcBorders>
              <w:top w:val="single" w:color="auto" w:sz="4" w:space="0"/>
              <w:left w:val="single" w:color="auto" w:sz="4" w:space="0"/>
              <w:bottom w:val="single" w:color="auto" w:sz="4" w:space="0"/>
              <w:right w:val="single" w:color="auto" w:sz="4" w:space="0"/>
            </w:tcBorders>
          </w:tcPr>
          <w:p>
            <w:r>
              <w:t xml:space="preserve">• 清华大学综合优秀奖学金（2025）
• 多伦多大学本科毕业最高荣誉（Highest Honors，前5%，2019）
• Caltech硕士优秀毕业生（GPA 4.2/4.3，2021）
• 入选字节跳动奖学金候选（2026）
注：如有更多具体国家级/校级获奖信息请补充</w:t>
            </w:r>
          </w:p>
        </w:tc>
      </w:tr>
      <w:tr w14:paraId="33B3D0CC">
        <w:trPr>
          <w:trHeight w:val="503" w:hRule="atLeast"/>
          <w:jc w:val="center"/>
        </w:trPr>
        <w:tc>
          <w:tcPr>
            <w:tcW w:w="8258" w:type="dxa"/>
            <w:gridSpan w:val="8"/>
            <w:tcBorders>
              <w:top w:val="single" w:color="auto" w:sz="4" w:space="0"/>
              <w:left w:val="single" w:color="auto" w:sz="4" w:space="0"/>
              <w:bottom w:val="single" w:color="auto" w:sz="4" w:space="0"/>
              <w:right w:val="single" w:color="auto" w:sz="4" w:space="0"/>
            </w:tcBorders>
            <w:vAlign w:val="center"/>
          </w:tcPr>
          <w:p w14:paraId="5D8E35D3">
            <w:pPr>
              <w:tabs>
                <w:tab w:val="left" w:pos="966"/>
              </w:tabs>
              <w:jc w:val="center"/>
              <w:rPr>
                <w:rFonts w:hint="eastAsia" w:eastAsia="宋体"/>
                <w:lang w:eastAsia="zh-CN"/>
              </w:rPr>
            </w:pPr>
            <w:r>
              <w:rPr>
                <w:rFonts w:hint="eastAsia" w:ascii="Times New Roman" w:hAnsi="Times New Roman" w:eastAsia="宋体" w:cs="Times New Roman"/>
                <w:b/>
                <w:bCs/>
                <w:sz w:val="24"/>
                <w:szCs w:val="24"/>
                <w:lang w:val="en-US" w:eastAsia="zh-CN"/>
              </w:rPr>
              <w:t>项目提案</w:t>
            </w:r>
          </w:p>
        </w:tc>
      </w:tr>
      <w:tr w14:paraId="706FDACC">
        <w:trPr>
          <w:trHeight w:val="4172" w:hRule="atLeast"/>
          <w:jc w:val="center"/>
        </w:trPr>
        <w:tc>
          <w:tcPr>
            <w:tcW w:w="8258" w:type="dxa"/>
            <w:gridSpan w:val="8"/>
            <w:tcBorders>
              <w:top w:val="single" w:color="auto" w:sz="4" w:space="0"/>
              <w:left w:val="single" w:color="auto" w:sz="4" w:space="0"/>
              <w:bottom w:val="single" w:color="auto" w:sz="4" w:space="0"/>
              <w:right w:val="single" w:color="auto" w:sz="4" w:space="0"/>
            </w:tcBorders>
          </w:tcPr>
          <w:p>
            <w:r>
              <w:t xml:space="preserve">项目名称：面向临床转化的智能药物研发系统
研究背景与核心判断
当前AI药物发现的最大瓶颈，不在于单个模型的精度，而在于"计算预测"与"实验验证"之间的巨大断层——AI给出候选分子，实验室需要数月才能反馈结果，两端彼此割裂，无法形成有效迭代。本项目的核心判断是：下一代药物发现系统必须是一个干湿闭环、持续进化的智能体系统，而非孤立的预测模型。
研究方向与内容
多智能体驱动的药物研发全流程：以PharmAgents为核心平台，构建覆盖靶标识别、虚拟筛选、分子生成与优化、ADMET评估的完整智能体协作网络。各智能体分工明确、协同决策，研究者以自然语言驱动整条研发管线，实现"From Prompts to Drug"。
AI–实验干湿闭环：建立计算预测与湿实验验证的自动化反馈机制。以主动学习与贝叶斯优化驱动实验设计，每轮实验数据实时反哺模型迭代，使系统在真实项目中持续收敛至高活性先导化合物。以NET靶向ADHD管线为首个验证场景，推动计算筛选结果进入体外活性评价。
实验室自动化集成：探索AI智能体与实验室自动化系统的深度融合，使智能体具备多模态感知实验环境、自主规划实验protocol并调度自动化设备执行复杂实验流程的能力，最终实现AI从"提建议"到"做实验"的跨越，打通药物发现全链路的最后一公里。
阶段性目标
阶段一：完成PharmAgents v2.0全流程端到端部署；在NET-ADHD管线中完成首轮干湿闭环验证，获得≥3个具有体外活性的苗头化合物。
阶段二：将闭环体系推广至5个以上新靶标（含≥2个孤儿靶标）；完成AI智能体与自动化实验平台的系统集成原型；发表系统性方法论成果。
阶段三：推动≥1个AI发现的候选化合物进入体内药效学评价；向制药企业开放平台合作，探索商业化路径。
创新价值
本项目是国内首个尝试将多智能体AI决策、干湿闭环迭代与实验室自动化三者系统性整合的药物发现研究体系。学术上，将在多智能体协作、主动学习与AI-实验接口等方向形成原创贡献；产业上，drugclip.com平台已积累7000+用户与3万次筛选服务的真实基础，为本项目提供了天然的验证场景与商业化路径，有望将先导化合物发现周期从数年压缩至数月。</w:t>
            </w:r>
          </w:p>
        </w:tc>
      </w:tr>
    </w:tbl>
    <w:p w14:paraId="2A5121C1">
      <w:pPr>
        <w:rPr>
          <w:rStyle w:val="9"/>
          <w:rFonts w:hint="eastAsia" w:cs="Times New Roman"/>
          <w:i/>
          <w:iCs/>
          <w:color w:val="000000" w:themeColor="text1"/>
          <w:sz w:val="16"/>
          <w:szCs w:val="16"/>
          <w14:textFill>
            <w14:solidFill>
              <w14:schemeClr w14:val="tx1"/>
            </w14:solidFill>
          </w14:textFill>
        </w:rPr>
      </w:pPr>
      <w:r>
        <w:rPr>
          <w:rStyle w:val="9"/>
          <w:rFonts w:hint="eastAsia" w:cs="Times New Roman"/>
          <w:i/>
          <w:iCs/>
          <w:color w:val="000000" w:themeColor="text1"/>
          <w:sz w:val="16"/>
          <w:szCs w:val="16"/>
          <w14:textFill>
            <w14:solidFill>
              <w14:schemeClr w14:val="tx1"/>
            </w14:solidFill>
          </w14:textFill>
        </w:rPr>
        <w:t>备注：</w:t>
      </w:r>
    </w:p>
    <w:p w14:paraId="0588AB94">
      <w:pPr>
        <w:rPr>
          <w:rStyle w:val="9"/>
          <w:rFonts w:hint="eastAsia" w:cs="Times New Roman"/>
          <w:i/>
          <w:iCs/>
          <w:color w:val="000000" w:themeColor="text1"/>
          <w:sz w:val="16"/>
          <w:szCs w:val="16"/>
          <w14:textFill>
            <w14:solidFill>
              <w14:schemeClr w14:val="tx1"/>
            </w14:solidFill>
          </w14:textFill>
        </w:rPr>
      </w:pPr>
      <w:r>
        <w:rPr>
          <w:rStyle w:val="9"/>
          <w:rFonts w:hint="eastAsia" w:cs="Times New Roman"/>
          <w:i/>
          <w:iCs/>
          <w:color w:val="000000" w:themeColor="text1"/>
          <w:sz w:val="16"/>
          <w:szCs w:val="16"/>
          <w14:textFill>
            <w14:solidFill>
              <w14:schemeClr w14:val="tx1"/>
            </w14:solidFill>
          </w14:textFill>
        </w:rPr>
        <w:t>1、建议文档不超过4页；</w:t>
      </w:r>
    </w:p>
    <w:p w14:paraId="672B04A9">
      <w:pPr>
        <w:rPr>
          <w:rStyle w:val="9"/>
          <w:rFonts w:hint="eastAsia" w:cs="Times New Roman"/>
          <w:i/>
          <w:iCs/>
          <w:color w:val="000000" w:themeColor="text1"/>
          <w:sz w:val="16"/>
          <w:szCs w:val="16"/>
          <w14:textFill>
            <w14:solidFill>
              <w14:schemeClr w14:val="tx1"/>
            </w14:solidFill>
          </w14:textFill>
        </w:rPr>
      </w:pPr>
      <w:r>
        <w:rPr>
          <w:rStyle w:val="9"/>
          <w:rFonts w:hint="eastAsia" w:cs="Times New Roman"/>
          <w:i/>
          <w:iCs/>
          <w:color w:val="000000" w:themeColor="text1"/>
          <w:sz w:val="16"/>
          <w:szCs w:val="16"/>
          <w14:textFill>
            <w14:solidFill>
              <w14:schemeClr w14:val="tx1"/>
            </w14:solidFill>
          </w14:textFill>
        </w:rPr>
        <w:t>2、申请人应确保所提交信息真实、准确、完整。若存在材料不实或学术不端等情况，主办方有权取消其申请或获奖资格；</w:t>
      </w:r>
    </w:p>
    <w:p w14:paraId="278252F4">
      <w:pPr>
        <w:rPr>
          <w:rFonts w:ascii="Times New Roman" w:hAnsi="Times New Roman" w:cs="Times New Roman"/>
          <w:b/>
          <w:bCs/>
          <w:color w:val="000000" w:themeColor="text1"/>
          <w:sz w:val="36"/>
          <w:szCs w:val="36"/>
          <w14:textFill>
            <w14:solidFill>
              <w14:schemeClr w14:val="tx1"/>
            </w14:solidFill>
          </w14:textFill>
        </w:rPr>
      </w:pPr>
      <w:r>
        <w:rPr>
          <w:rStyle w:val="9"/>
          <w:rFonts w:hint="eastAsia" w:cs="Times New Roman"/>
          <w:i/>
          <w:iCs/>
          <w:color w:val="000000" w:themeColor="text1"/>
          <w:sz w:val="16"/>
          <w:szCs w:val="16"/>
          <w14:textFill>
            <w14:solidFill>
              <w14:schemeClr w14:val="tx1"/>
            </w14:solidFill>
          </w14:textFill>
        </w:rPr>
        <w:t>3、收集的上述个人信息仅用于奖学金的评审与颁发，不会用于其他目的，具体的隐私条款详见字节跳动奖学金项目主页</w:t>
      </w:r>
      <w:r>
        <w:rPr>
          <w:rStyle w:val="9"/>
          <w:rFonts w:cs="Times New Roman"/>
          <w:i/>
          <w:iCs/>
          <w:color w:val="000000" w:themeColor="text1"/>
          <w:sz w:val="16"/>
          <w:szCs w:val="16"/>
          <w14:textFill>
            <w14:solidFill>
              <w14:schemeClr w14:val="tx1"/>
            </w14:solidFill>
          </w14:textFill>
        </w:rPr>
        <w:t>：</w:t>
      </w:r>
      <w:r>
        <w:fldChar w:fldCharType="begin"/>
      </w:r>
      <w:r>
        <w:instrText xml:space="preserve"> HYPERLINK "https://ur.bytedance.com/scholarship" </w:instrText>
      </w:r>
      <w:r>
        <w:fldChar w:fldCharType="separate"/>
      </w:r>
      <w:r>
        <w:rPr>
          <w:rStyle w:val="8"/>
          <w:rFonts w:cs="Times New Roman"/>
          <w:i/>
          <w:iCs/>
          <w:sz w:val="16"/>
          <w:szCs w:val="16"/>
        </w:rPr>
        <w:t>https://</w:t>
      </w:r>
      <w:r>
        <w:rPr>
          <w:rStyle w:val="8"/>
          <w:rFonts w:hint="eastAsia" w:cs="Times New Roman"/>
          <w:i/>
          <w:iCs/>
          <w:sz w:val="16"/>
          <w:szCs w:val="16"/>
        </w:rPr>
        <w:t>scholarship</w:t>
      </w:r>
      <w:r>
        <w:rPr>
          <w:rStyle w:val="8"/>
          <w:rFonts w:cs="Times New Roman"/>
          <w:i/>
          <w:iCs/>
          <w:sz w:val="16"/>
          <w:szCs w:val="16"/>
        </w:rPr>
        <w:t>.bytedance.com/</w:t>
      </w:r>
      <w:r>
        <w:rPr>
          <w:rStyle w:val="8"/>
          <w:rFonts w:cs="Times New Roman"/>
          <w:i/>
          <w:iCs/>
          <w:sz w:val="16"/>
          <w:szCs w:val="16"/>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E1B06">
    <w:pPr>
      <w:pStyle w:val="3"/>
      <w:pBdr>
        <w:bottom w:val="none" w:color="auto" w:sz="0" w:space="1"/>
      </w:pBdr>
      <w:jc w:val="left"/>
      <w:rPr>
        <w:rFonts w:hint="eastAsia" w:eastAsiaTheme="minorEastAsia"/>
        <w:lang w:eastAsia="zh-CN"/>
      </w:rPr>
    </w:pPr>
    <w:r>
      <w:drawing>
        <wp:inline distT="0" distB="0" distL="114300" distR="114300">
          <wp:extent cx="1497330" cy="434975"/>
          <wp:effectExtent l="0" t="0" r="1270" b="222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1497330" cy="4349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7ACDE"/>
    <w:rsid w:val="329F5568"/>
    <w:rsid w:val="36FFD508"/>
    <w:rsid w:val="49FA6452"/>
    <w:rsid w:val="4F7B2CF8"/>
    <w:rsid w:val="75713892"/>
    <w:rsid w:val="7B7FF88D"/>
    <w:rsid w:val="7D8BA29B"/>
    <w:rsid w:val="7FF7ACDE"/>
    <w:rsid w:val="7FFB3F3E"/>
    <w:rsid w:val="DFBFA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3">
    <w:name w:val="header"/>
    <w:basedOn w:val="1"/>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table" w:styleId="5">
    <w:name w:val="Table Grid"/>
    <w:basedOn w:val="4"/>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semiHidden/>
    <w:unhideWhenUsed/>
    <w:qFormat/>
    <w:uiPriority w:val="99"/>
  </w:style>
  <w:style w:type="character" w:styleId="8">
    <w:name w:val="Hyperlink"/>
    <w:basedOn w:val="6"/>
    <w:unhideWhenUsed/>
    <w:uiPriority w:val="99"/>
    <w:rPr>
      <w:color w:val="0000FF"/>
      <w:u w:val="single"/>
    </w:rPr>
  </w:style>
  <w:style w:type="character" w:customStyle="1" w:styleId="9">
    <w:name w:val="text-only"/>
    <w:basedOn w:val="6"/>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2026-05-15T08:00:00Z</dcterms:created>
  <dc:creator>旺旺小糖包</dc:creator>
  <cp:lastModifiedBy>旺旺小糖包</cp:lastModifiedBy>
  <dcterms:modified xsi:type="dcterms:W3CDTF">2026-05-14T17:08:10Z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37C479EB27B359AD2881056A6F1D9D8F_41</vt:lpwstr>
  </property>
</Properties>
</file>