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Northwind Logistics — integration assumptions</w:t>
      </w:r>
    </w:p>
    <w:p>
      <w:r>
        <w:t xml:space="preserve"/>
      </w:r>
    </w:p>
    <w:p>
      <w:r>
        <w:t xml:space="preserve">This is our working view before the workshop. None of it has been confirmed by the client, and every line here is something to verify rather than something to rely on.</w:t>
      </w:r>
    </w:p>
    <w:p>
      <w:r>
        <w:t xml:space="preserve"/>
      </w:r>
    </w:p>
    <w:p>
      <w:r>
        <w:t xml:space="preserve">1. Zephyr WMS exposes a REST API we can call directly.</w:t>
      </w:r>
    </w:p>
    <w:p>
      <w:r>
        <w:t xml:space="preserve"/>
      </w:r>
    </w:p>
    <w:p>
      <w:r>
        <w:t xml:space="preserve">We assume slot bookings can be written into Zephyr in near real time rather than batched overnight. If it turns out to be the nightly CSV the scoping pack describes, the whole real-time story changes.</w:t>
      </w:r>
    </w:p>
    <w:p>
      <w:r>
        <w:t xml:space="preserve"/>
      </w:r>
    </w:p>
    <w:p>
      <w:r>
        <w:t xml:space="preserve">2. Felixstowe handles about 350,000 consignments a year.</w:t>
      </w:r>
    </w:p>
    <w:p>
      <w:r>
        <w:t xml:space="preserve"/>
      </w:r>
    </w:p>
    <w:p>
      <w:r>
        <w:t xml:space="preserve">Taken from the 2024 proposal. Worth checking against the throughput study, which reports a different order of magnitude.</w:t>
      </w:r>
    </w:p>
    <w:p>
      <w:r>
        <w:t xml:space="preserve"/>
      </w:r>
    </w:p>
    <w:p>
      <w:r>
        <w:t xml:space="preserve">3. There is one customs integration, not three.</w:t>
      </w:r>
    </w:p>
    <w:p>
      <w:r>
        <w:t xml:space="preserve"/>
      </w:r>
    </w:p>
    <w:p>
      <w:r>
        <w:t xml:space="preserve">We assume a single customs interface across all sites. Shenzhen may need its own, and the data-residency constraint suggests it will.</w:t>
      </w:r>
    </w:p>
    <w:p>
      <w:r>
        <w:t xml:space="preserve"/>
      </w:r>
    </w:p>
    <w:p>
      <w:r>
        <w:t xml:space="preserve">4. The driver app is ours to change.</w:t>
      </w:r>
    </w:p>
    <w:p>
      <w:r>
        <w:t xml:space="preserve"/>
      </w:r>
    </w:p>
    <w:p>
      <w:r>
        <w:t xml:space="preserve">We assume Northwind owns the driver app outright. If it is licensed, the two-week rollout window is somebody else's to grant.</w:t>
      </w:r>
    </w:p>
    <w:p>
      <w:r>
        <w:t xml:space="preserve"/>
      </w:r>
    </w:p>
    <w:p>
      <w:r>
        <w:t xml:space="preserve">5. Planners will accept a web interface.</w:t>
      </w:r>
    </w:p>
    <w:p>
      <w:r>
        <w:t xml:space="preserve"/>
      </w:r>
    </w:p>
    <w:p>
      <w:r>
        <w:t xml:space="preserve">We assume no native application is required. This has not been tested with anyone who does the job.</w:t>
      </w:r>
    </w:p>
    <w:sectPr>
      <w:pgSz w:w="11906" w:h="16838"/>
    </w:sectPr>
  </w:body>
</w:document>
</file>